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68.jpeg" ContentType="image/jpeg"/>
  <Override PartName="/word/media/image367.jpeg" ContentType="image/jpeg"/>
  <Override PartName="/word/media/image366.jpeg" ContentType="image/jpeg"/>
  <Override PartName="/word/media/image365.jpeg" ContentType="image/jpeg"/>
  <Override PartName="/word/media/image360.jpeg" ContentType="image/jpeg"/>
  <Override PartName="/word/media/image353.jpeg" ContentType="image/jpeg"/>
  <Override PartName="/word/media/image352.jpeg" ContentType="image/jpeg"/>
  <Override PartName="/word/media/image351.jpeg" ContentType="image/jpeg"/>
  <Override PartName="/word/media/image350.jpeg" ContentType="image/jpeg"/>
  <Override PartName="/word/media/image341.jpeg" ContentType="image/jpeg"/>
  <Override PartName="/word/media/image335.jpeg" ContentType="image/jpeg"/>
  <Override PartName="/word/media/image340.jpeg" ContentType="image/jpeg"/>
  <Override PartName="/word/media/image334.jpeg" ContentType="image/jpeg"/>
  <Override PartName="/word/media/image333.jpeg" ContentType="image/jpeg"/>
  <Override PartName="/word/media/image332.jpeg" ContentType="image/jpeg"/>
  <Override PartName="/word/media/image331.jpeg" ContentType="image/jpeg"/>
  <Override PartName="/word/media/image330.jpeg" ContentType="image/jpeg"/>
  <Override PartName="/word/media/image329.jpeg" ContentType="image/jpeg"/>
  <Override PartName="/word/media/image328.jpeg" ContentType="image/jpeg"/>
  <Override PartName="/word/media/image327.jpeg" ContentType="image/jpeg"/>
  <Override PartName="/word/media/image326.jpeg" ContentType="image/jpeg"/>
  <Override PartName="/word/media/image325.jpeg" ContentType="image/jpeg"/>
  <Override PartName="/word/media/image319.jpeg" ContentType="image/jpeg"/>
  <Override PartName="/word/media/image324.jpeg" ContentType="image/jpeg"/>
  <Override PartName="/word/media/image318.jpeg" ContentType="image/jpeg"/>
  <Override PartName="/word/media/image323.jpeg" ContentType="image/jpeg"/>
  <Override PartName="/word/media/image317.jpeg" ContentType="image/jpeg"/>
  <Override PartName="/word/media/image322.jpeg" ContentType="image/jpeg"/>
  <Override PartName="/word/media/image316.jpeg" ContentType="image/jpeg"/>
  <Override PartName="/word/media/image321.jpeg" ContentType="image/jpeg"/>
  <Override PartName="/word/media/image315.jpeg" ContentType="image/jpeg"/>
  <Override PartName="/word/media/image320.jpeg" ContentType="image/jpeg"/>
  <Override PartName="/word/media/image314.jpeg" ContentType="image/jpeg"/>
  <Override PartName="/word/media/image313.jpeg" ContentType="image/jpeg"/>
  <Override PartName="/word/media/image312.jpeg" ContentType="image/jpeg"/>
  <Override PartName="/word/media/image311.jpeg" ContentType="image/jpeg"/>
  <Override PartName="/word/media/image310.jpeg" ContentType="image/jpeg"/>
  <Override PartName="/word/media/image303.jpeg" ContentType="image/jpeg"/>
  <Override PartName="/word/media/image301.jpeg" ContentType="image/jpeg"/>
  <Override PartName="/word/media/image300.jpeg" ContentType="image/jpeg"/>
  <Override PartName="/word/media/image299.jpeg" ContentType="image/jpeg"/>
  <Override PartName="/word/media/image298.jpeg" ContentType="image/jpeg"/>
  <Override PartName="/word/media/image297.jpeg" ContentType="image/jpeg"/>
  <Override PartName="/word/media/image296.jpeg" ContentType="image/jpeg"/>
  <Override PartName="/word/media/image295.jpeg" ContentType="image/jpeg"/>
  <Override PartName="/word/media/image289.jpeg" ContentType="image/jpeg"/>
  <Override PartName="/word/media/image294.jpeg" ContentType="image/jpeg"/>
  <Override PartName="/word/media/image288.jpeg" ContentType="image/jpeg"/>
  <Override PartName="/word/media/image293.jpeg" ContentType="image/jpeg"/>
  <Override PartName="/word/media/image287.jpeg" ContentType="image/jpeg"/>
  <Override PartName="/word/media/image292.jpeg" ContentType="image/jpeg"/>
  <Override PartName="/word/media/image286.jpeg" ContentType="image/jpeg"/>
  <Override PartName="/word/media/image291.jpeg" ContentType="image/jpeg"/>
  <Override PartName="/word/media/image285.jpeg" ContentType="image/jpeg"/>
  <Override PartName="/word/media/image290.jpeg" ContentType="image/jpeg"/>
  <Override PartName="/word/media/image284.jpeg" ContentType="image/jpeg"/>
  <Override PartName="/word/media/image283.jpeg" ContentType="image/jpeg"/>
  <Override PartName="/word/media/image282.jpeg" ContentType="image/jpeg"/>
  <Override PartName="/word/media/image281.jpeg" ContentType="image/jpeg"/>
  <Override PartName="/word/media/image280.jpeg" ContentType="image/jpeg"/>
  <Override PartName="/word/media/image279.jpeg" ContentType="image/jpeg"/>
  <Override PartName="/word/media/image278.jpeg" ContentType="image/jpeg"/>
  <Override PartName="/word/media/image277.jpeg" ContentType="image/jpeg"/>
  <Override PartName="/word/media/image276.jpeg" ContentType="image/jpeg"/>
  <Override PartName="/word/media/image275.jpeg" ContentType="image/jpeg"/>
  <Override PartName="/word/media/image269.jpeg" ContentType="image/jpeg"/>
  <Override PartName="/word/media/image274.jpeg" ContentType="image/jpeg"/>
  <Override PartName="/word/media/image268.jpeg" ContentType="image/jpeg"/>
  <Override PartName="/word/media/image273.jpeg" ContentType="image/jpeg"/>
  <Override PartName="/word/media/image267.jpeg" ContentType="image/jpeg"/>
  <Override PartName="/word/media/image272.jpeg" ContentType="image/jpeg"/>
  <Override PartName="/word/media/image266.jpeg" ContentType="image/jpeg"/>
  <Override PartName="/word/media/image271.jpeg" ContentType="image/jpeg"/>
  <Override PartName="/word/media/image265.jpeg" ContentType="image/jpeg"/>
  <Override PartName="/word/media/image259.jpeg" ContentType="image/jpeg"/>
  <Override PartName="/word/media/image264.jpeg" ContentType="image/jpeg"/>
  <Override PartName="/word/media/image258.jpeg" ContentType="image/jpeg"/>
  <Override PartName="/word/media/image263.jpeg" ContentType="image/jpeg"/>
  <Override PartName="/word/media/image257.jpeg" ContentType="image/jpeg"/>
  <Override PartName="/word/media/image262.jpeg" ContentType="image/jpeg"/>
  <Override PartName="/word/media/image256.jpeg" ContentType="image/jpeg"/>
  <Override PartName="/word/media/image261.jpeg" ContentType="image/jpeg"/>
  <Override PartName="/word/media/image255.jpeg" ContentType="image/jpeg"/>
  <Override PartName="/word/media/image260.jpeg" ContentType="image/jpeg"/>
  <Override PartName="/word/media/image254.jpeg" ContentType="image/jpeg"/>
  <Override PartName="/word/media/image253.jpeg" ContentType="image/jpeg"/>
  <Override PartName="/word/media/image252.jpeg" ContentType="image/jpeg"/>
  <Override PartName="/word/media/image251.jpeg" ContentType="image/jpeg"/>
  <Override PartName="/word/media/image250.jpeg" ContentType="image/jpeg"/>
  <Override PartName="/word/media/image249.jpeg" ContentType="image/jpeg"/>
  <Override PartName="/word/media/image248.jpeg" ContentType="image/jpeg"/>
  <Override PartName="/word/media/image247.jpeg" ContentType="image/jpeg"/>
  <Override PartName="/word/media/image246.jpeg" ContentType="image/jpeg"/>
  <Override PartName="/word/media/image245.jpeg" ContentType="image/jpeg"/>
  <Override PartName="/word/media/image239.jpeg" ContentType="image/jpeg"/>
  <Override PartName="/word/media/image244.jpeg" ContentType="image/jpeg"/>
  <Override PartName="/word/media/image238.jpeg" ContentType="image/jpeg"/>
  <Override PartName="/word/media/image243.jpeg" ContentType="image/jpeg"/>
  <Override PartName="/word/media/image237.jpeg" ContentType="image/jpeg"/>
  <Override PartName="/word/media/image242.jpeg" ContentType="image/jpeg"/>
  <Override PartName="/word/media/image236.jpeg" ContentType="image/jpeg"/>
  <Override PartName="/word/media/image241.jpeg" ContentType="image/jpeg"/>
  <Override PartName="/word/media/image235.jpeg" ContentType="image/jpeg"/>
  <Override PartName="/word/media/image240.jpeg" ContentType="image/jpeg"/>
  <Override PartName="/word/media/image234.jpeg" ContentType="image/jpeg"/>
  <Override PartName="/word/media/image233.jpeg" ContentType="image/jpeg"/>
  <Override PartName="/word/media/image232.jpeg" ContentType="image/jpeg"/>
  <Override PartName="/word/media/image231.jpeg" ContentType="image/jpeg"/>
  <Override PartName="/word/media/image230.jpeg" ContentType="image/jpeg"/>
  <Override PartName="/word/media/image229.jpeg" ContentType="image/jpeg"/>
  <Override PartName="/word/media/image228.jpeg" ContentType="image/jpeg"/>
  <Override PartName="/word/media/image227.jpeg" ContentType="image/jpeg"/>
  <Override PartName="/word/media/image226.jpeg" ContentType="image/jpeg"/>
  <Override PartName="/word/media/image225.jpeg" ContentType="image/jpeg"/>
  <Override PartName="/word/media/image219.jpeg" ContentType="image/jpeg"/>
  <Override PartName="/word/media/image224.jpeg" ContentType="image/jpeg"/>
  <Override PartName="/word/media/image218.jpeg" ContentType="image/jpeg"/>
  <Override PartName="/word/media/image223.jpeg" ContentType="image/jpeg"/>
  <Override PartName="/word/media/image217.jpeg" ContentType="image/jpeg"/>
  <Override PartName="/word/media/image222.jpeg" ContentType="image/jpeg"/>
  <Override PartName="/word/media/image216.jpeg" ContentType="image/jpeg"/>
  <Override PartName="/word/media/image221.jpeg" ContentType="image/jpeg"/>
  <Override PartName="/word/media/image215.jpeg" ContentType="image/jpeg"/>
  <Override PartName="/word/media/image220.jpeg" ContentType="image/jpeg"/>
  <Override PartName="/word/media/image214.jpeg" ContentType="image/jpeg"/>
  <Override PartName="/word/media/image209.jpeg" ContentType="image/jpeg"/>
  <Override PartName="/word/media/image208.jpeg" ContentType="image/jpeg"/>
  <Override PartName="/word/media/image213.jpeg" ContentType="image/jpeg"/>
  <Override PartName="/word/media/image207.jpeg" ContentType="image/jpeg"/>
  <Override PartName="/word/media/image212.jpeg" ContentType="image/jpeg"/>
  <Override PartName="/word/media/image206.jpeg" ContentType="image/jpeg"/>
  <Override PartName="/word/media/image211.jpeg" ContentType="image/jpeg"/>
  <Override PartName="/word/media/image205.jpeg" ContentType="image/jpeg"/>
  <Override PartName="/word/media/image210.jpeg" ContentType="image/jpeg"/>
  <Override PartName="/word/media/image204.jpeg" ContentType="image/jpeg"/>
  <Override PartName="/word/media/image203.jpeg" ContentType="image/jpeg"/>
  <Override PartName="/word/media/image202.jpeg" ContentType="image/jpeg"/>
  <Override PartName="/word/media/image201.jpeg" ContentType="image/jpeg"/>
  <Override PartName="/word/media/image200.jpeg" ContentType="image/jpeg"/>
  <Override PartName="/word/media/image199.jpeg" ContentType="image/jpeg"/>
  <Override PartName="/word/media/image96.jpeg" ContentType="image/jpeg"/>
  <Override PartName="/word/media/image95.jpeg" ContentType="image/jpeg"/>
  <Override PartName="/word/media/image149.jpeg" ContentType="image/jpeg"/>
  <Override PartName="/word/media/image94.jpeg" ContentType="image/jpeg"/>
  <Override PartName="/word/media/image148.jpeg" ContentType="image/jpeg"/>
  <Override PartName="/word/media/image93.jpeg" ContentType="image/jpeg"/>
  <Override PartName="/word/media/image147.jpeg" ContentType="image/jpeg"/>
  <Override PartName="/word/media/image83.jpeg" ContentType="image/jpeg"/>
  <Override PartName="/word/media/image82.jpeg" ContentType="image/jpeg"/>
  <Override PartName="/word/media/image81.jpeg" ContentType="image/jpeg"/>
  <Override PartName="/word/media/image80.jpeg" ContentType="image/jpeg"/>
  <Override PartName="/word/media/image119.jpeg" ContentType="image/jpeg"/>
  <Override PartName="/word/media/image359.jpeg" ContentType="image/jpeg"/>
  <Override PartName="/word/media/image118.jpeg" ContentType="image/jpeg"/>
  <Override PartName="/word/media/image63.jpeg" ContentType="image/jpeg"/>
  <Override PartName="/word/media/image358.jpeg" ContentType="image/jpeg"/>
  <Override PartName="/word/media/image117.jpeg" ContentType="image/jpeg"/>
  <Override PartName="/word/media/image62.jpeg" ContentType="image/jpeg"/>
  <Override PartName="/word/media/image357.jpeg" ContentType="image/jpeg"/>
  <Override PartName="/word/media/image116.jpeg" ContentType="image/jpeg"/>
  <Override PartName="/word/media/image61.jpeg" ContentType="image/jpeg"/>
  <Override PartName="/word/media/image60.jpeg" ContentType="image/jpeg"/>
  <Override PartName="/word/media/image66.jpeg" ContentType="image/jpeg"/>
  <Override PartName="/word/media/image72.jpeg" ContentType="image/jpeg"/>
  <Override PartName="/word/media/image39.jpeg" ContentType="image/jpeg"/>
  <Override PartName="/word/media/image59.jpeg" ContentType="image/jpeg"/>
  <Override PartName="/word/media/image86.jpeg" ContentType="image/jpeg"/>
  <Override PartName="/word/media/image92.jpeg" ContentType="image/jpeg"/>
  <Override PartName="/word/media/image22.jpeg" ContentType="image/jpeg"/>
  <Override PartName="/word/media/image16.jpeg" ContentType="image/jpeg"/>
  <Override PartName="/word/media/image302.jpeg" ContentType="image/jpeg"/>
  <Override PartName="/word/media/image89.jpeg" ContentType="image/jpeg"/>
  <Override PartName="/word/media/image65.jpeg" ContentType="image/jpeg"/>
  <Override PartName="/word/media/image71.jpeg" ContentType="image/jpeg"/>
  <Override PartName="/word/media/image38.jpeg" ContentType="image/jpeg"/>
  <Override PartName="/word/media/image99.jpeg" ContentType="image/jpeg"/>
  <Override PartName="/word/media/image58.jpeg" ContentType="image/jpeg"/>
  <Override PartName="/word/media/image85.jpeg" ContentType="image/jpeg"/>
  <Override PartName="/word/media/image91.jpeg" ContentType="image/jpeg"/>
  <Override PartName="/word/media/image21.jpeg" ContentType="image/jpeg"/>
  <Override PartName="/word/media/image15.jpeg" ContentType="image/jpeg"/>
  <Override PartName="/word/media/image64.jpeg" ContentType="image/jpeg"/>
  <Override PartName="/word/media/image70.jpeg" ContentType="image/jpeg"/>
  <Override PartName="/word/media/image98.jpeg" ContentType="image/jpeg"/>
  <Override PartName="/word/media/image57.jpeg" ContentType="image/jpeg"/>
  <Override PartName="/word/media/image84.jpeg" ContentType="image/jpeg"/>
  <Override PartName="/word/media/image90.jpeg" ContentType="image/jpeg"/>
  <Override PartName="/word/media/image20.jpeg" ContentType="image/jpeg"/>
  <Override PartName="/word/media/image14.jpeg" ContentType="image/jpeg"/>
  <Override PartName="/word/media/image344.jpeg" ContentType="image/jpeg"/>
  <Override PartName="/word/media/image338.jpeg" ContentType="image/jpeg"/>
  <Override PartName="/word/media/image50.jpeg" ContentType="image/jpeg"/>
  <Override PartName="/word/media/image44.jpeg" ContentType="image/jpeg"/>
  <Override PartName="/word/media/image165.jpeg" ContentType="image/jpeg"/>
  <Override PartName="/word/media/image159.jpeg" ContentType="image/jpeg"/>
  <Override PartName="/word/media/image56.jpeg" ContentType="image/jpeg"/>
  <Override PartName="/word/media/image13.jpeg" ContentType="image/jpeg"/>
  <Override PartName="/word/media/image343.jpeg" ContentType="image/jpeg"/>
  <Override PartName="/word/media/image337.jpeg" ContentType="image/jpeg"/>
  <Override PartName="/word/media/image43.jpeg" ContentType="image/jpeg"/>
  <Override PartName="/word/media/image349.jpeg" ContentType="image/jpeg"/>
  <Override PartName="/word/media/image49.jpeg" ContentType="image/jpeg"/>
  <Override PartName="/word/media/image55.jpeg" ContentType="image/jpeg"/>
  <Override PartName="/word/media/image12.jpeg" ContentType="image/jpeg"/>
  <Override PartName="/word/media/image342.jpeg" ContentType="image/jpeg"/>
  <Override PartName="/word/media/image336.jpeg" ContentType="image/jpeg"/>
  <Override PartName="/word/media/image42.jpeg" ContentType="image/jpeg"/>
  <Override PartName="/word/media/image348.jpeg" ContentType="image/jpeg"/>
  <Override PartName="/word/media/image48.jpeg" ContentType="image/jpeg"/>
  <Override PartName="/word/media/image54.jpeg" ContentType="image/jpeg"/>
  <Override PartName="/word/media/image169.jpeg" ContentType="image/jpeg"/>
  <Override PartName="/word/media/image11.jpeg" ContentType="image/jpeg"/>
  <Override PartName="/word/media/image79.jpeg" ContentType="image/jpeg"/>
  <Override PartName="/word/media/image36.jpeg" ContentType="image/jpeg"/>
  <Override PartName="/word/media/image4.jpeg" ContentType="image/jpeg"/>
  <Override PartName="/word/media/image347.jpeg" ContentType="image/jpeg"/>
  <Override PartName="/word/media/image47.jpeg" ContentType="image/jpeg"/>
  <Override PartName="/word/media/image53.jpeg" ContentType="image/jpeg"/>
  <Override PartName="/word/media/image168.jpeg" ContentType="image/jpeg"/>
  <Override PartName="/word/media/image10.jpeg" ContentType="image/jpeg"/>
  <Override PartName="/word/media/image270.jpeg" ContentType="image/jpeg"/>
  <Override PartName="/word/media/image37.jpeg" ContentType="image/jpeg"/>
  <Override PartName="/word/media/image5.jpeg" ContentType="image/jpeg"/>
  <Override PartName="/word/media/image78.jpeg" ContentType="image/jpeg"/>
  <Override PartName="/word/media/image41.jpeg" ContentType="image/jpeg"/>
  <Override PartName="/word/media/image35.jpeg" ContentType="image/jpeg"/>
  <Override PartName="/word/media/image3.jpeg" ContentType="image/jpeg"/>
  <Override PartName="/word/media/image175.jpeg" ContentType="image/jpeg"/>
  <Override PartName="/word/media/image176.jpeg" ContentType="image/jpeg"/>
  <Override PartName="/word/media/image177.jpeg" ContentType="image/jpeg"/>
  <Override PartName="/word/media/image26.jpeg" ContentType="image/jpeg"/>
  <Override PartName="/word/media/image87.jpeg" ContentType="image/jpeg"/>
  <Override PartName="/word/media/image27.jpeg" ContentType="image/jpeg"/>
  <Override PartName="/word/media/image88.jpeg" ContentType="image/jpeg"/>
  <Override PartName="/word/media/image28.jpeg" ContentType="image/jpeg"/>
  <Override PartName="/word/media/image29.jpeg" ContentType="image/jpeg"/>
  <Override PartName="/word/media/image67.jpeg" ContentType="image/jpeg"/>
  <Override PartName="/word/media/image73.jpeg" ContentType="image/jpeg"/>
  <Override PartName="/word/media/image23.jpeg" ContentType="image/jpeg"/>
  <Override PartName="/word/media/image17.jpeg" ContentType="image/jpeg"/>
  <Override PartName="/word/media/image6.jpeg" ContentType="image/jpeg"/>
  <Override PartName="/word/media/image30.jpeg" ContentType="image/jpeg"/>
  <Override PartName="/word/media/image68.jpeg" ContentType="image/jpeg"/>
  <Override PartName="/word/media/image74.jpeg" ContentType="image/jpeg"/>
  <Override PartName="/word/media/image24.jpeg" ContentType="image/jpeg"/>
  <Override PartName="/word/media/image18.jpeg" ContentType="image/jpeg"/>
  <Override PartName="/word/media/image1.jpeg" ContentType="image/jpeg"/>
  <Override PartName="/word/media/image7.jpeg" ContentType="image/jpeg"/>
  <Override PartName="/word/media/image31.jpeg" ContentType="image/jpeg"/>
  <Override PartName="/word/media/image69.jpeg" ContentType="image/jpeg"/>
  <Override PartName="/word/media/image75.jpeg" ContentType="image/jpeg"/>
  <Override PartName="/word/media/image25.jpeg" ContentType="image/jpeg"/>
  <Override PartName="/word/media/image19.jpeg" ContentType="image/jpeg"/>
  <Override PartName="/word/media/image2.jpeg" ContentType="image/jpeg"/>
  <Override PartName="/word/media/image8.jpeg" ContentType="image/jpeg"/>
  <Override PartName="/word/media/image32.jpeg" ContentType="image/jpeg"/>
  <Override PartName="/word/media/image76.jpeg" ContentType="image/jpeg"/>
  <Override PartName="/word/media/image9.jpeg" ContentType="image/jpeg"/>
  <Override PartName="/word/media/image33.jpeg" ContentType="image/jpeg"/>
  <Override PartName="/word/media/image77.jpeg" ContentType="image/jpeg"/>
  <Override PartName="/word/media/image40.jpeg" ContentType="image/jpeg"/>
  <Override PartName="/word/media/image34.jpeg" ContentType="image/jpeg"/>
  <Override PartName="/word/media/image345.jpeg" ContentType="image/jpeg"/>
  <Override PartName="/word/media/image339.jpeg" ContentType="image/jpeg"/>
  <Override PartName="/word/media/image45.jpeg" ContentType="image/jpeg"/>
  <Override PartName="/word/media/image51.jpeg" ContentType="image/jpeg"/>
  <Override PartName="/word/media/image166.jpeg" ContentType="image/jpeg"/>
  <Override PartName="/word/media/image346.jpeg" ContentType="image/jpeg"/>
  <Override PartName="/word/media/image46.jpeg" ContentType="image/jpeg"/>
  <Override PartName="/word/media/image52.jpeg" ContentType="image/jpeg"/>
  <Override PartName="/word/media/image167.jpeg" ContentType="image/jpeg"/>
  <Override PartName="/word/media/image97.jpeg" ContentType="image/jpeg"/>
  <Override PartName="/word/media/image100.jpeg" ContentType="image/jpeg"/>
  <Override PartName="/word/media/image101.jpeg" ContentType="image/jpeg"/>
  <Override PartName="/word/media/image102.jpeg" ContentType="image/jpeg"/>
  <Override PartName="/word/media/image103.jpeg" ContentType="image/jpeg"/>
  <Override PartName="/word/media/image355.jpeg" ContentType="image/jpeg"/>
  <Override PartName="/word/media/image114.jpeg" ContentType="image/jpeg"/>
  <Override PartName="/word/media/image108.jpeg" ContentType="image/jpeg"/>
  <Override PartName="/word/media/image356.jpeg" ContentType="image/jpeg"/>
  <Override PartName="/word/media/image115.jpeg" ContentType="image/jpeg"/>
  <Override PartName="/word/media/image109.jpeg" ContentType="image/jpeg"/>
  <Override PartName="/word/media/image104.jpeg" ContentType="image/jpeg"/>
  <Override PartName="/word/media/image110.jpeg" ContentType="image/jpeg"/>
  <Override PartName="/word/media/image171.jpeg" ContentType="image/jpeg"/>
  <Override PartName="/word/media/image105.jpeg" ContentType="image/jpeg"/>
  <Override PartName="/word/media/image111.jpeg" ContentType="image/jpeg"/>
  <Override PartName="/word/media/image172.jpeg" ContentType="image/jpeg"/>
  <Override PartName="/word/media/image106.jpeg" ContentType="image/jpeg"/>
  <Override PartName="/word/media/image112.jpeg" ContentType="image/jpeg"/>
  <Override PartName="/word/media/image173.jpeg" ContentType="image/jpeg"/>
  <Override PartName="/word/media/image354.jpeg" ContentType="image/jpeg"/>
  <Override PartName="/word/media/image107.jpeg" ContentType="image/jpeg"/>
  <Override PartName="/word/media/image113.jpeg" ContentType="image/jpeg"/>
  <Override PartName="/word/media/image174.jpeg" ContentType="image/jpeg"/>
  <Override PartName="/word/media/image361.jpeg" ContentType="image/jpeg"/>
  <Override PartName="/word/media/image120.jpeg" ContentType="image/jpeg"/>
  <Override PartName="/word/media/image362.jpeg" ContentType="image/jpeg"/>
  <Override PartName="/word/media/image121.jpeg" ContentType="image/jpeg"/>
  <Override PartName="/word/media/image363.jpeg" ContentType="image/jpeg"/>
  <Override PartName="/word/media/image122.jpeg" ContentType="image/jpeg"/>
  <Override PartName="/word/media/image364.jpeg" ContentType="image/jpeg"/>
  <Override PartName="/word/media/image123.jpeg" ContentType="image/jpeg"/>
  <Override PartName="/word/media/image124.jpeg" ContentType="image/jpeg"/>
  <Override PartName="/word/media/image125.jpeg" ContentType="image/jpeg"/>
  <Override PartName="/word/media/image126.jpeg" ContentType="image/jpeg"/>
  <Override PartName="/word/media/image127.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70.jpeg" ContentType="image/jpeg"/>
  <Override PartName="/word/media/image134.jpeg" ContentType="image/jpeg"/>
  <Override PartName="/word/media/image140.jpeg" ContentType="image/jpeg"/>
  <Override PartName="/word/media/image135.jpeg" ContentType="image/jpeg"/>
  <Override PartName="/word/media/image141.jpeg" ContentType="image/jpeg"/>
  <Override PartName="/word/media/image136.jpeg" ContentType="image/jpeg"/>
  <Override PartName="/word/media/image142.jpeg" ContentType="image/jpeg"/>
  <Override PartName="/word/media/image137.jpeg" ContentType="image/jpeg"/>
  <Override PartName="/word/media/image143.jpeg" ContentType="image/jpeg"/>
  <Override PartName="/word/media/image138.jpeg" ContentType="image/jpeg"/>
  <Override PartName="/word/media/image144.jpeg" ContentType="image/jpeg"/>
  <Override PartName="/word/media/image139.jpeg" ContentType="image/jpeg"/>
  <Override PartName="/word/media/image145.jpeg" ContentType="image/jpeg"/>
  <Override PartName="/word/media/image146.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60.jpeg" ContentType="image/jpeg"/>
  <Override PartName="/word/media/image154.jpeg" ContentType="image/jpeg"/>
  <Override PartName="/word/media/image161.jpeg" ContentType="image/jpeg"/>
  <Override PartName="/word/media/image155.jpeg" ContentType="image/jpeg"/>
  <Override PartName="/word/media/image162.jpeg" ContentType="image/jpeg"/>
  <Override PartName="/word/media/image156.jpeg" ContentType="image/jpeg"/>
  <Override PartName="/word/media/image157.jpeg" ContentType="image/jpeg"/>
  <Override PartName="/word/media/image163.jpeg" ContentType="image/jpeg"/>
  <Override PartName="/word/media/image158.jpeg" ContentType="image/jpeg"/>
  <Override PartName="/word/media/image164.jpeg" ContentType="image/jpeg"/>
  <Override PartName="/word/media/image178.jpeg" ContentType="image/jpeg"/>
  <Override PartName="/word/media/image179.jpeg" ContentType="image/jpeg"/>
  <Override PartName="/word/media/image304.jpeg" ContentType="image/jpeg"/>
  <Override PartName="/word/media/image180.jpeg" ContentType="image/jpeg"/>
  <Override PartName="/word/media/image305.jpeg" ContentType="image/jpeg"/>
  <Override PartName="/word/media/image181.jpeg" ContentType="image/jpeg"/>
  <Override PartName="/word/media/image306.jpeg" ContentType="image/jpeg"/>
  <Override PartName="/word/media/image182.jpeg" ContentType="image/jpeg"/>
  <Override PartName="/word/media/image307.jpeg" ContentType="image/jpeg"/>
  <Override PartName="/word/media/image183.jpeg" ContentType="image/jpeg"/>
  <Override PartName="/word/media/image308.jpeg" ContentType="image/jpeg"/>
  <Override PartName="/word/media/image184.jpeg" ContentType="image/jpeg"/>
  <Override PartName="/word/media/image190.jpeg" ContentType="image/jpeg"/>
  <Override PartName="/word/media/image309.jpeg" ContentType="image/jpeg"/>
  <Override PartName="/word/media/image185.jpeg" ContentType="image/jpeg"/>
  <Override PartName="/word/media/image191.jpeg" ContentType="image/jpeg"/>
  <Override PartName="/word/media/image186.jpeg" ContentType="image/jpeg"/>
  <Override PartName="/word/media/image192.jpeg" ContentType="image/jpeg"/>
  <Override PartName="/word/media/image187.jpeg" ContentType="image/jpeg"/>
  <Override PartName="/word/media/image193.jpeg" ContentType="image/jpeg"/>
  <Override PartName="/word/media/image188.jpeg" ContentType="image/jpeg"/>
  <Override PartName="/word/media/image194.jpeg" ContentType="image/jpeg"/>
  <Override PartName="/word/media/image189.jpeg" ContentType="image/jpeg"/>
  <Override PartName="/word/media/image195.jpeg" ContentType="image/jpeg"/>
  <Override PartName="/word/media/image196.jpeg" ContentType="image/jpeg"/>
  <Override PartName="/word/media/image197.jpeg" ContentType="image/jpeg"/>
  <Override PartName="/word/media/image198.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left"/>
        <w:rPr/>
      </w:pPr>
      <w:hyperlink w:anchor="toc">
        <w:bookmarkStart w:id="0" w:name="slg4166501-def14a.htm"/>
        <w:bookmarkStart w:id="1" w:name="ksslg4166501def14a"/>
        <w:bookmarkEnd w:id="0"/>
        <w:bookmarkEnd w:id="1"/>
        <w:r>
          <w:rPr>
            <w:rStyle w:val="InternetLink"/>
            <w:rFonts w:ascii="Arial" w:hAnsi="Arial"/>
            <w:b/>
            <w:sz w:val="20"/>
          </w:rPr>
          <w:t>Table of Contents</w:t>
        </w:r>
      </w:hyperlink>
    </w:p>
    <w:p>
      <w:pPr>
        <w:pStyle w:val="TextBody"/>
        <w:jc w:val="center"/>
        <w:rPr>
          <w:rFonts w:ascii="Arial" w:hAnsi="Arial"/>
          <w:sz w:val="20"/>
        </w:rPr>
      </w:pPr>
      <w:r>
        <w:rPr>
          <w:rFonts w:ascii="Arial" w:hAnsi="Arial"/>
          <w:sz w:val="20"/>
        </w:rPr>
        <w:t>UNITED STATES</w:t>
        <w:br/>
        <w:t>SECURITIES AND EXCHANGE COMMISSION</w:t>
        <w:br/>
        <w:t xml:space="preserve">Washington, D.C. 20549 </w:t>
      </w:r>
    </w:p>
    <w:p>
      <w:pPr>
        <w:pStyle w:val="TextBody"/>
        <w:jc w:val="center"/>
        <w:rPr>
          <w:rFonts w:ascii="Arial" w:hAnsi="Arial"/>
          <w:sz w:val="20"/>
        </w:rPr>
      </w:pPr>
      <w:bookmarkStart w:id="2" w:name="xdx_902_edei--DocumentType_dxL_c20220101"/>
      <w:bookmarkEnd w:id="2"/>
      <w:r>
        <w:rPr>
          <w:rFonts w:ascii="Arial" w:hAnsi="Arial"/>
          <w:sz w:val="20"/>
        </w:rPr>
        <w:t xml:space="preserve">SCHEDULE 14A </w:t>
      </w:r>
    </w:p>
    <w:p>
      <w:pPr>
        <w:pStyle w:val="TextBody"/>
        <w:jc w:val="center"/>
        <w:rPr>
          <w:rFonts w:ascii="Arial" w:hAnsi="Arial"/>
          <w:sz w:val="20"/>
        </w:rPr>
      </w:pPr>
      <w:r>
        <w:rPr>
          <w:rFonts w:ascii="Arial" w:hAnsi="Arial"/>
          <w:sz w:val="20"/>
        </w:rPr>
        <w:t xml:space="preserve">Proxy Statement Pursuant to Section 14(a) of the </w:t>
        <w:br/>
        <w:t xml:space="preserve">Securities Exchange Act of 1934 (Amendment No. ) </w:t>
      </w:r>
    </w:p>
    <w:tbl>
      <w:tblPr>
        <w:tblW w:w="6320" w:type="dxa"/>
        <w:jc w:val="left"/>
        <w:tblInd w:w="0" w:type="dxa"/>
        <w:tblCellMar>
          <w:top w:w="0" w:type="dxa"/>
          <w:left w:w="0" w:type="dxa"/>
          <w:bottom w:w="0" w:type="dxa"/>
          <w:right w:w="0" w:type="dxa"/>
        </w:tblCellMar>
      </w:tblPr>
      <w:tblGrid>
        <w:gridCol w:w="230"/>
        <w:gridCol w:w="1985"/>
        <w:gridCol w:w="230"/>
        <w:gridCol w:w="3575"/>
        <w:gridCol w:w="300"/>
      </w:tblGrid>
      <w:tr>
        <w:trPr/>
        <w:tc>
          <w:tcPr>
            <w:tcW w:w="230" w:type="dxa"/>
            <w:tcBorders/>
            <w:shd w:fill="auto" w:val="clear"/>
            <w:vAlign w:val="center"/>
          </w:tcPr>
          <w:p>
            <w:pPr>
              <w:pStyle w:val="TableContents"/>
              <w:spacing w:before="0" w:after="283"/>
              <w:jc w:val="left"/>
              <w:rPr/>
            </w:pPr>
            <w:r>
              <w:rPr/>
              <w:t>☑</w:t>
            </w:r>
          </w:p>
        </w:tc>
        <w:tc>
          <w:tcPr>
            <w:tcW w:w="1985" w:type="dxa"/>
            <w:tcBorders/>
            <w:shd w:fill="auto" w:val="clear"/>
            <w:vAlign w:val="center"/>
          </w:tcPr>
          <w:p>
            <w:pPr>
              <w:pStyle w:val="TableContents"/>
              <w:spacing w:before="0" w:after="283"/>
              <w:jc w:val="left"/>
              <w:rPr>
                <w:rFonts w:ascii="Arial" w:hAnsi="Arial"/>
                <w:sz w:val="20"/>
              </w:rPr>
            </w:pPr>
            <w:r>
              <w:rPr>
                <w:rFonts w:ascii="Arial" w:hAnsi="Arial"/>
                <w:sz w:val="20"/>
              </w:rPr>
              <w:t>Filed by the Registrant</w:t>
            </w:r>
          </w:p>
        </w:tc>
        <w:tc>
          <w:tcPr>
            <w:tcW w:w="230" w:type="dxa"/>
            <w:tcBorders/>
            <w:shd w:fill="auto" w:val="clear"/>
            <w:vAlign w:val="center"/>
          </w:tcPr>
          <w:p>
            <w:pPr>
              <w:pStyle w:val="TableContents"/>
              <w:spacing w:before="0" w:after="283"/>
              <w:jc w:val="left"/>
              <w:rPr/>
            </w:pPr>
            <w:r>
              <w:rPr/>
              <w:t>☐</w:t>
            </w:r>
          </w:p>
        </w:tc>
        <w:tc>
          <w:tcPr>
            <w:tcW w:w="3575" w:type="dxa"/>
            <w:tcBorders/>
            <w:shd w:fill="auto" w:val="clear"/>
            <w:vAlign w:val="center"/>
          </w:tcPr>
          <w:p>
            <w:pPr>
              <w:pStyle w:val="TableContents"/>
              <w:spacing w:before="0" w:after="283"/>
              <w:jc w:val="left"/>
              <w:rPr>
                <w:rFonts w:ascii="Arial" w:hAnsi="Arial"/>
                <w:sz w:val="20"/>
              </w:rPr>
            </w:pPr>
            <w:r>
              <w:rPr>
                <w:rFonts w:ascii="Arial" w:hAnsi="Arial"/>
                <w:sz w:val="20"/>
              </w:rPr>
              <w:t>Filed by a party other than the Registrant</w:t>
            </w:r>
          </w:p>
        </w:tc>
        <w:tc>
          <w:tcPr>
            <w:tcW w:w="300" w:type="dxa"/>
            <w:tcBorders/>
            <w:shd w:fill="auto" w:val="clear"/>
            <w:vAlign w:val="center"/>
          </w:tcPr>
          <w:p>
            <w:pPr>
              <w:pStyle w:val="TableContents"/>
              <w:spacing w:before="0" w:after="283"/>
              <w:jc w:val="left"/>
              <w:rPr/>
            </w:pPr>
            <w:r>
              <w:rPr/>
              <w:t>     </w:t>
            </w:r>
          </w:p>
        </w:tc>
      </w:tr>
    </w:tbl>
    <w:p>
      <w:pPr>
        <w:pStyle w:val="TextBody"/>
        <w:spacing w:before="0" w:after="0"/>
        <w:rPr/>
      </w:pPr>
      <w:r>
        <w:rPr/>
      </w:r>
    </w:p>
    <w:tbl>
      <w:tblPr>
        <w:tblW w:w="7210" w:type="dxa"/>
        <w:jc w:val="left"/>
        <w:tblInd w:w="0" w:type="dxa"/>
        <w:tblCellMar>
          <w:top w:w="0" w:type="dxa"/>
          <w:left w:w="0" w:type="dxa"/>
          <w:bottom w:w="28" w:type="dxa"/>
          <w:right w:w="0" w:type="dxa"/>
        </w:tblCellMar>
      </w:tblPr>
      <w:tblGrid>
        <w:gridCol w:w="230"/>
        <w:gridCol w:w="60"/>
        <w:gridCol w:w="6920"/>
      </w:tblGrid>
      <w:tr>
        <w:trPr/>
        <w:tc>
          <w:tcPr>
            <w:tcW w:w="7210" w:type="dxa"/>
            <w:gridSpan w:val="3"/>
            <w:tcBorders>
              <w:bottom w:val="single" w:sz="8" w:space="0" w:color="000000"/>
            </w:tcBorders>
            <w:shd w:fill="auto" w:val="clear"/>
            <w:vAlign w:val="center"/>
          </w:tcPr>
          <w:p>
            <w:pPr>
              <w:pStyle w:val="TableContents"/>
              <w:spacing w:before="0" w:after="283"/>
              <w:jc w:val="left"/>
              <w:rPr>
                <w:rFonts w:ascii="Arial" w:hAnsi="Arial"/>
                <w:sz w:val="20"/>
              </w:rPr>
            </w:pPr>
            <w:r>
              <w:rPr>
                <w:rFonts w:ascii="Arial" w:hAnsi="Arial"/>
                <w:sz w:val="20"/>
              </w:rPr>
              <w:t>CHECK THE APPROPRIATE BOX:</w:t>
            </w:r>
          </w:p>
        </w:tc>
      </w:tr>
      <w:tr>
        <w:trPr/>
        <w:tc>
          <w:tcPr>
            <w:tcW w:w="230" w:type="dxa"/>
            <w:tcBorders>
              <w:bottom w:val="single" w:sz="8" w:space="0" w:color="000000"/>
            </w:tcBorders>
            <w:shd w:fill="F2F2F2" w:val="clear"/>
            <w:vAlign w:val="center"/>
          </w:tcPr>
          <w:p>
            <w:pPr>
              <w:pStyle w:val="TableContents"/>
              <w:spacing w:before="0" w:after="283"/>
              <w:jc w:val="left"/>
              <w:rPr/>
            </w:pPr>
            <w:r>
              <w:rPr/>
              <w:t>☐</w:t>
            </w:r>
          </w:p>
        </w:tc>
        <w:tc>
          <w:tcPr>
            <w:tcW w:w="60" w:type="dxa"/>
            <w:tcBorders>
              <w:bottom w:val="single" w:sz="8" w:space="0" w:color="000000"/>
            </w:tcBorders>
            <w:shd w:fill="F2F2F2" w:val="clear"/>
            <w:vAlign w:val="center"/>
          </w:tcPr>
          <w:p>
            <w:pPr>
              <w:pStyle w:val="TableContents"/>
              <w:spacing w:before="0" w:after="283"/>
              <w:jc w:val="left"/>
              <w:rPr/>
            </w:pPr>
            <w:r>
              <w:rPr/>
              <w:t> </w:t>
            </w:r>
          </w:p>
        </w:tc>
        <w:tc>
          <w:tcPr>
            <w:tcW w:w="6920" w:type="dxa"/>
            <w:tcBorders>
              <w:bottom w:val="single" w:sz="8" w:space="0" w:color="000000"/>
            </w:tcBorders>
            <w:shd w:fill="F2F2F2" w:val="clear"/>
            <w:vAlign w:val="center"/>
          </w:tcPr>
          <w:p>
            <w:pPr>
              <w:pStyle w:val="TableContents"/>
              <w:spacing w:before="0" w:after="283"/>
              <w:jc w:val="left"/>
              <w:rPr>
                <w:rFonts w:ascii="Arial" w:hAnsi="Arial"/>
                <w:sz w:val="20"/>
              </w:rPr>
            </w:pPr>
            <w:r>
              <w:rPr>
                <w:rFonts w:ascii="Arial" w:hAnsi="Arial"/>
                <w:sz w:val="20"/>
              </w:rPr>
              <w:t>Preliminary Proxy Statement</w:t>
            </w:r>
          </w:p>
        </w:tc>
      </w:tr>
      <w:tr>
        <w:trPr/>
        <w:tc>
          <w:tcPr>
            <w:tcW w:w="230" w:type="dxa"/>
            <w:tcBorders>
              <w:bottom w:val="single" w:sz="8" w:space="0" w:color="000000"/>
            </w:tcBorders>
            <w:shd w:fill="F2F2F2" w:val="clear"/>
            <w:vAlign w:val="center"/>
          </w:tcPr>
          <w:p>
            <w:pPr>
              <w:pStyle w:val="TableContents"/>
              <w:spacing w:before="0" w:after="283"/>
              <w:jc w:val="left"/>
              <w:rPr/>
            </w:pPr>
            <w:r>
              <w:rPr/>
              <w:t>☐</w:t>
            </w:r>
          </w:p>
        </w:tc>
        <w:tc>
          <w:tcPr>
            <w:tcW w:w="60" w:type="dxa"/>
            <w:tcBorders>
              <w:bottom w:val="single" w:sz="8" w:space="0" w:color="000000"/>
            </w:tcBorders>
            <w:shd w:fill="F2F2F2" w:val="clear"/>
            <w:vAlign w:val="center"/>
          </w:tcPr>
          <w:p>
            <w:pPr>
              <w:pStyle w:val="TableContents"/>
              <w:spacing w:before="0" w:after="283"/>
              <w:rPr>
                <w:sz w:val="4"/>
                <w:szCs w:val="4"/>
              </w:rPr>
            </w:pPr>
            <w:r>
              <w:rPr>
                <w:sz w:val="4"/>
                <w:szCs w:val="4"/>
              </w:rPr>
            </w:r>
          </w:p>
        </w:tc>
        <w:tc>
          <w:tcPr>
            <w:tcW w:w="6920" w:type="dxa"/>
            <w:tcBorders>
              <w:bottom w:val="single" w:sz="8" w:space="0" w:color="000000"/>
            </w:tcBorders>
            <w:shd w:fill="F2F2F2" w:val="clear"/>
            <w:vAlign w:val="center"/>
          </w:tcPr>
          <w:p>
            <w:pPr>
              <w:pStyle w:val="TableContents"/>
              <w:spacing w:before="0" w:after="283"/>
              <w:jc w:val="left"/>
              <w:rPr>
                <w:rFonts w:ascii="Arial" w:hAnsi="Arial"/>
                <w:sz w:val="20"/>
              </w:rPr>
            </w:pPr>
            <w:r>
              <w:rPr>
                <w:rFonts w:ascii="Arial" w:hAnsi="Arial"/>
                <w:sz w:val="20"/>
              </w:rPr>
              <w:t>Confidential, for Use of the Commission Only (as permitted by Rule 14a-6(e)(2))</w:t>
            </w:r>
          </w:p>
        </w:tc>
      </w:tr>
      <w:tr>
        <w:trPr/>
        <w:tc>
          <w:tcPr>
            <w:tcW w:w="230" w:type="dxa"/>
            <w:tcBorders>
              <w:bottom w:val="single" w:sz="8" w:space="0" w:color="000000"/>
            </w:tcBorders>
            <w:shd w:fill="F2F2F2" w:val="clear"/>
            <w:vAlign w:val="center"/>
          </w:tcPr>
          <w:p>
            <w:pPr>
              <w:pStyle w:val="TableContents"/>
              <w:spacing w:before="0" w:after="283"/>
              <w:jc w:val="left"/>
              <w:rPr/>
            </w:pPr>
            <w:r>
              <w:rPr/>
              <w:t>☑</w:t>
            </w:r>
          </w:p>
        </w:tc>
        <w:tc>
          <w:tcPr>
            <w:tcW w:w="60" w:type="dxa"/>
            <w:tcBorders>
              <w:bottom w:val="single" w:sz="8" w:space="0" w:color="000000"/>
            </w:tcBorders>
            <w:shd w:fill="F2F2F2" w:val="clear"/>
            <w:vAlign w:val="center"/>
          </w:tcPr>
          <w:p>
            <w:pPr>
              <w:pStyle w:val="TableContents"/>
              <w:spacing w:before="0" w:after="283"/>
              <w:rPr>
                <w:sz w:val="4"/>
                <w:szCs w:val="4"/>
              </w:rPr>
            </w:pPr>
            <w:r>
              <w:rPr>
                <w:sz w:val="4"/>
                <w:szCs w:val="4"/>
              </w:rPr>
            </w:r>
          </w:p>
        </w:tc>
        <w:tc>
          <w:tcPr>
            <w:tcW w:w="6920" w:type="dxa"/>
            <w:tcBorders>
              <w:bottom w:val="single" w:sz="8" w:space="0" w:color="000000"/>
            </w:tcBorders>
            <w:shd w:fill="F2F2F2" w:val="clear"/>
            <w:vAlign w:val="center"/>
          </w:tcPr>
          <w:p>
            <w:pPr>
              <w:pStyle w:val="TableContents"/>
              <w:spacing w:before="0" w:after="283"/>
              <w:jc w:val="left"/>
              <w:rPr>
                <w:rFonts w:ascii="Arial" w:hAnsi="Arial"/>
                <w:sz w:val="20"/>
              </w:rPr>
            </w:pPr>
            <w:r>
              <w:rPr>
                <w:rFonts w:ascii="Arial" w:hAnsi="Arial"/>
                <w:sz w:val="20"/>
              </w:rPr>
              <w:t>Definitive Proxy Statement</w:t>
            </w:r>
          </w:p>
        </w:tc>
      </w:tr>
      <w:tr>
        <w:trPr/>
        <w:tc>
          <w:tcPr>
            <w:tcW w:w="230" w:type="dxa"/>
            <w:tcBorders>
              <w:bottom w:val="single" w:sz="8" w:space="0" w:color="000000"/>
            </w:tcBorders>
            <w:shd w:fill="F2F2F2" w:val="clear"/>
            <w:vAlign w:val="center"/>
          </w:tcPr>
          <w:p>
            <w:pPr>
              <w:pStyle w:val="TableContents"/>
              <w:spacing w:before="0" w:after="283"/>
              <w:jc w:val="left"/>
              <w:rPr/>
            </w:pPr>
            <w:r>
              <w:rPr/>
              <w:t>☐</w:t>
            </w:r>
          </w:p>
        </w:tc>
        <w:tc>
          <w:tcPr>
            <w:tcW w:w="60" w:type="dxa"/>
            <w:tcBorders>
              <w:bottom w:val="single" w:sz="8" w:space="0" w:color="000000"/>
            </w:tcBorders>
            <w:shd w:fill="F2F2F2" w:val="clear"/>
            <w:vAlign w:val="center"/>
          </w:tcPr>
          <w:p>
            <w:pPr>
              <w:pStyle w:val="TableContents"/>
              <w:spacing w:before="0" w:after="283"/>
              <w:jc w:val="left"/>
              <w:rPr/>
            </w:pPr>
            <w:r>
              <w:rPr/>
              <w:t> </w:t>
            </w:r>
          </w:p>
        </w:tc>
        <w:tc>
          <w:tcPr>
            <w:tcW w:w="6920" w:type="dxa"/>
            <w:tcBorders>
              <w:bottom w:val="single" w:sz="8" w:space="0" w:color="000000"/>
            </w:tcBorders>
            <w:shd w:fill="F2F2F2" w:val="clear"/>
            <w:vAlign w:val="center"/>
          </w:tcPr>
          <w:p>
            <w:pPr>
              <w:pStyle w:val="TableContents"/>
              <w:spacing w:before="0" w:after="283"/>
              <w:jc w:val="left"/>
              <w:rPr>
                <w:rFonts w:ascii="Arial" w:hAnsi="Arial"/>
                <w:sz w:val="20"/>
              </w:rPr>
            </w:pPr>
            <w:r>
              <w:rPr>
                <w:rFonts w:ascii="Arial" w:hAnsi="Arial"/>
                <w:sz w:val="20"/>
              </w:rPr>
              <w:t>Definitive Additional Materials</w:t>
            </w:r>
          </w:p>
        </w:tc>
      </w:tr>
      <w:tr>
        <w:trPr/>
        <w:tc>
          <w:tcPr>
            <w:tcW w:w="230" w:type="dxa"/>
            <w:tcBorders>
              <w:bottom w:val="single" w:sz="8" w:space="0" w:color="000000"/>
            </w:tcBorders>
            <w:shd w:fill="F2F2F2" w:val="clear"/>
            <w:vAlign w:val="center"/>
          </w:tcPr>
          <w:p>
            <w:pPr>
              <w:pStyle w:val="TableContents"/>
              <w:spacing w:before="0" w:after="283"/>
              <w:jc w:val="left"/>
              <w:rPr/>
            </w:pPr>
            <w:r>
              <w:rPr/>
              <w:t>☐</w:t>
            </w:r>
          </w:p>
        </w:tc>
        <w:tc>
          <w:tcPr>
            <w:tcW w:w="60" w:type="dxa"/>
            <w:tcBorders>
              <w:bottom w:val="single" w:sz="8" w:space="0" w:color="000000"/>
            </w:tcBorders>
            <w:shd w:fill="F2F2F2" w:val="clear"/>
            <w:vAlign w:val="center"/>
          </w:tcPr>
          <w:p>
            <w:pPr>
              <w:pStyle w:val="TableContents"/>
              <w:spacing w:before="0" w:after="283"/>
              <w:rPr>
                <w:sz w:val="4"/>
                <w:szCs w:val="4"/>
              </w:rPr>
            </w:pPr>
            <w:r>
              <w:rPr>
                <w:sz w:val="4"/>
                <w:szCs w:val="4"/>
              </w:rPr>
            </w:r>
          </w:p>
        </w:tc>
        <w:tc>
          <w:tcPr>
            <w:tcW w:w="6920" w:type="dxa"/>
            <w:tcBorders>
              <w:bottom w:val="single" w:sz="8" w:space="0" w:color="000000"/>
            </w:tcBorders>
            <w:shd w:fill="F2F2F2" w:val="clear"/>
            <w:vAlign w:val="center"/>
          </w:tcPr>
          <w:p>
            <w:pPr>
              <w:pStyle w:val="TableContents"/>
              <w:spacing w:before="0" w:after="283"/>
              <w:jc w:val="left"/>
              <w:rPr>
                <w:rFonts w:ascii="Arial" w:hAnsi="Arial"/>
                <w:sz w:val="20"/>
              </w:rPr>
            </w:pPr>
            <w:r>
              <w:rPr>
                <w:rFonts w:ascii="Arial" w:hAnsi="Arial"/>
                <w:sz w:val="20"/>
              </w:rPr>
              <w:t>Soliciting Material under §240.14a-12</w:t>
            </w:r>
          </w:p>
        </w:tc>
      </w:tr>
    </w:tbl>
    <w:p>
      <w:pPr>
        <w:pStyle w:val="TextBody"/>
        <w:spacing w:before="240" w:after="283"/>
        <w:jc w:val="center"/>
        <w:rPr/>
      </w:pPr>
      <w:r>
        <w:rPr/>
        <w:drawing>
          <wp:inline distT="0" distB="0" distL="0" distR="0">
            <wp:extent cx="127635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789" t="-2786" r="-789" b="-2786"/>
                    <a:stretch>
                      <a:fillRect/>
                    </a:stretch>
                  </pic:blipFill>
                  <pic:spPr bwMode="auto">
                    <a:xfrm>
                      <a:off x="0" y="0"/>
                      <a:ext cx="1276350" cy="361950"/>
                    </a:xfrm>
                    <a:prstGeom prst="rect">
                      <a:avLst/>
                    </a:prstGeom>
                    <a:ln w="635">
                      <a:solidFill>
                        <a:srgbClr val="000000"/>
                      </a:solidFill>
                    </a:ln>
                  </pic:spPr>
                </pic:pic>
              </a:graphicData>
            </a:graphic>
          </wp:inline>
        </w:drawing>
      </w:r>
    </w:p>
    <w:p>
      <w:pPr>
        <w:pStyle w:val="TextBody"/>
        <w:spacing w:before="0" w:after="283"/>
        <w:jc w:val="center"/>
        <w:rPr>
          <w:rFonts w:ascii="Arial" w:hAnsi="Arial"/>
          <w:b/>
          <w:sz w:val="24"/>
        </w:rPr>
      </w:pPr>
      <w:bookmarkStart w:id="3" w:name="xdx_98B_edei--EntityRegistrantName_dxL_c"/>
      <w:bookmarkEnd w:id="3"/>
      <w:r>
        <w:rPr>
          <w:rFonts w:ascii="Arial" w:hAnsi="Arial"/>
          <w:b/>
          <w:sz w:val="24"/>
        </w:rPr>
        <w:t>SL Green Realty Corp.</w:t>
      </w:r>
    </w:p>
    <w:p>
      <w:pPr>
        <w:pStyle w:val="TextBody"/>
        <w:jc w:val="center"/>
        <w:rPr/>
      </w:pPr>
      <w:r>
        <w:rPr>
          <w:rFonts w:ascii="Arial" w:hAnsi="Arial"/>
          <w:sz w:val="15"/>
        </w:rPr>
        <w:t>(Name of Registrant as Specified In Its Charter)</w:t>
        <w:br/>
        <w:t>(Name of Person(s) Filing Proxy Statement, if other than the Registrant)</w:t>
      </w:r>
      <w:r>
        <w:rPr/>
        <w:t xml:space="preserve"> </w:t>
      </w:r>
    </w:p>
    <w:tbl>
      <w:tblPr>
        <w:tblW w:w="9025" w:type="dxa"/>
        <w:jc w:val="left"/>
        <w:tblInd w:w="0" w:type="dxa"/>
        <w:tblCellMar>
          <w:top w:w="0" w:type="dxa"/>
          <w:left w:w="0" w:type="dxa"/>
          <w:bottom w:w="28" w:type="dxa"/>
          <w:right w:w="0" w:type="dxa"/>
        </w:tblCellMar>
      </w:tblPr>
      <w:tblGrid>
        <w:gridCol w:w="230"/>
        <w:gridCol w:w="60"/>
        <w:gridCol w:w="8735"/>
      </w:tblGrid>
      <w:tr>
        <w:trPr/>
        <w:tc>
          <w:tcPr>
            <w:tcW w:w="9025" w:type="dxa"/>
            <w:gridSpan w:val="3"/>
            <w:tcBorders>
              <w:bottom w:val="single" w:sz="8" w:space="0" w:color="000000"/>
            </w:tcBorders>
            <w:shd w:fill="auto" w:val="clear"/>
            <w:vAlign w:val="center"/>
          </w:tcPr>
          <w:p>
            <w:pPr>
              <w:pStyle w:val="TableContents"/>
              <w:spacing w:before="0" w:after="283"/>
              <w:jc w:val="left"/>
              <w:rPr>
                <w:rFonts w:ascii="Arial" w:hAnsi="Arial"/>
                <w:sz w:val="20"/>
              </w:rPr>
            </w:pPr>
            <w:r>
              <w:rPr>
                <w:rFonts w:ascii="Arial" w:hAnsi="Arial"/>
                <w:sz w:val="20"/>
              </w:rPr>
              <w:t>PAYMENT OF FILING FEE (CHECK ALL BOXES THAT APPLY):</w:t>
            </w:r>
          </w:p>
        </w:tc>
      </w:tr>
      <w:tr>
        <w:trPr/>
        <w:tc>
          <w:tcPr>
            <w:tcW w:w="230" w:type="dxa"/>
            <w:tcBorders>
              <w:bottom w:val="single" w:sz="8" w:space="0" w:color="000000"/>
            </w:tcBorders>
            <w:shd w:fill="F2F2F2" w:val="clear"/>
            <w:vAlign w:val="center"/>
          </w:tcPr>
          <w:p>
            <w:pPr>
              <w:pStyle w:val="TableContents"/>
              <w:spacing w:before="0" w:after="283"/>
              <w:jc w:val="left"/>
              <w:rPr/>
            </w:pPr>
            <w:r>
              <w:rPr/>
              <w:t>☑</w:t>
            </w:r>
          </w:p>
        </w:tc>
        <w:tc>
          <w:tcPr>
            <w:tcW w:w="60" w:type="dxa"/>
            <w:tcBorders>
              <w:bottom w:val="single" w:sz="8" w:space="0" w:color="000000"/>
            </w:tcBorders>
            <w:shd w:fill="F2F2F2" w:val="clear"/>
            <w:vAlign w:val="center"/>
          </w:tcPr>
          <w:p>
            <w:pPr>
              <w:pStyle w:val="TableContents"/>
              <w:spacing w:before="0" w:after="283"/>
              <w:jc w:val="left"/>
              <w:rPr/>
            </w:pPr>
            <w:r>
              <w:rPr/>
              <w:t> </w:t>
            </w:r>
          </w:p>
        </w:tc>
        <w:tc>
          <w:tcPr>
            <w:tcW w:w="8735" w:type="dxa"/>
            <w:tcBorders>
              <w:bottom w:val="single" w:sz="8" w:space="0" w:color="000000"/>
            </w:tcBorders>
            <w:shd w:fill="F2F2F2" w:val="clear"/>
            <w:vAlign w:val="center"/>
          </w:tcPr>
          <w:p>
            <w:pPr>
              <w:pStyle w:val="TableContents"/>
              <w:spacing w:before="0" w:after="283"/>
              <w:jc w:val="left"/>
              <w:rPr>
                <w:rFonts w:ascii="Arial" w:hAnsi="Arial"/>
                <w:sz w:val="20"/>
              </w:rPr>
            </w:pPr>
            <w:r>
              <w:rPr>
                <w:rFonts w:ascii="Arial" w:hAnsi="Arial"/>
                <w:sz w:val="20"/>
              </w:rPr>
              <w:t>No fee required</w:t>
            </w:r>
          </w:p>
        </w:tc>
      </w:tr>
      <w:tr>
        <w:trPr/>
        <w:tc>
          <w:tcPr>
            <w:tcW w:w="230" w:type="dxa"/>
            <w:tcBorders>
              <w:bottom w:val="single" w:sz="8" w:space="0" w:color="000000"/>
            </w:tcBorders>
            <w:shd w:fill="F2F2F2" w:val="clear"/>
            <w:vAlign w:val="center"/>
          </w:tcPr>
          <w:p>
            <w:pPr>
              <w:pStyle w:val="TableContents"/>
              <w:spacing w:before="0" w:after="283"/>
              <w:jc w:val="left"/>
              <w:rPr/>
            </w:pPr>
            <w:r>
              <w:rPr/>
              <w:t>☐</w:t>
            </w:r>
          </w:p>
        </w:tc>
        <w:tc>
          <w:tcPr>
            <w:tcW w:w="60" w:type="dxa"/>
            <w:tcBorders>
              <w:bottom w:val="single" w:sz="8" w:space="0" w:color="000000"/>
            </w:tcBorders>
            <w:shd w:fill="F2F2F2" w:val="clear"/>
            <w:vAlign w:val="center"/>
          </w:tcPr>
          <w:p>
            <w:pPr>
              <w:pStyle w:val="TableContents"/>
              <w:spacing w:before="0" w:after="283"/>
              <w:rPr>
                <w:sz w:val="4"/>
                <w:szCs w:val="4"/>
              </w:rPr>
            </w:pPr>
            <w:r>
              <w:rPr>
                <w:sz w:val="4"/>
                <w:szCs w:val="4"/>
              </w:rPr>
            </w:r>
          </w:p>
        </w:tc>
        <w:tc>
          <w:tcPr>
            <w:tcW w:w="8735" w:type="dxa"/>
            <w:tcBorders>
              <w:bottom w:val="single" w:sz="8" w:space="0" w:color="000000"/>
            </w:tcBorders>
            <w:shd w:fill="F2F2F2" w:val="clear"/>
            <w:vAlign w:val="center"/>
          </w:tcPr>
          <w:p>
            <w:pPr>
              <w:pStyle w:val="TableContents"/>
              <w:spacing w:before="0" w:after="283"/>
              <w:jc w:val="left"/>
              <w:rPr>
                <w:rFonts w:ascii="Arial" w:hAnsi="Arial"/>
                <w:sz w:val="20"/>
              </w:rPr>
            </w:pPr>
            <w:r>
              <w:rPr>
                <w:rFonts w:ascii="Arial" w:hAnsi="Arial"/>
                <w:sz w:val="20"/>
              </w:rPr>
              <w:t>Fee paid previously with preliminary materials</w:t>
            </w:r>
          </w:p>
        </w:tc>
      </w:tr>
      <w:tr>
        <w:trPr/>
        <w:tc>
          <w:tcPr>
            <w:tcW w:w="230" w:type="dxa"/>
            <w:tcBorders>
              <w:bottom w:val="single" w:sz="8" w:space="0" w:color="000000"/>
            </w:tcBorders>
            <w:shd w:fill="F2F2F2" w:val="clear"/>
            <w:vAlign w:val="center"/>
          </w:tcPr>
          <w:p>
            <w:pPr>
              <w:pStyle w:val="TableContents"/>
              <w:spacing w:before="0" w:after="283"/>
              <w:jc w:val="left"/>
              <w:rPr/>
            </w:pPr>
            <w:r>
              <w:rPr/>
              <w:t>☐</w:t>
            </w:r>
          </w:p>
        </w:tc>
        <w:tc>
          <w:tcPr>
            <w:tcW w:w="60" w:type="dxa"/>
            <w:tcBorders>
              <w:bottom w:val="single" w:sz="8" w:space="0" w:color="000000"/>
            </w:tcBorders>
            <w:shd w:fill="F2F2F2" w:val="clear"/>
            <w:vAlign w:val="center"/>
          </w:tcPr>
          <w:p>
            <w:pPr>
              <w:pStyle w:val="TableContents"/>
              <w:spacing w:before="0" w:after="283"/>
              <w:rPr>
                <w:sz w:val="4"/>
                <w:szCs w:val="4"/>
              </w:rPr>
            </w:pPr>
            <w:r>
              <w:rPr>
                <w:sz w:val="4"/>
                <w:szCs w:val="4"/>
              </w:rPr>
            </w:r>
          </w:p>
        </w:tc>
        <w:tc>
          <w:tcPr>
            <w:tcW w:w="8735" w:type="dxa"/>
            <w:tcBorders>
              <w:bottom w:val="single" w:sz="8" w:space="0" w:color="000000"/>
            </w:tcBorders>
            <w:shd w:fill="F2F2F2" w:val="clear"/>
            <w:vAlign w:val="center"/>
          </w:tcPr>
          <w:p>
            <w:pPr>
              <w:pStyle w:val="TableContents"/>
              <w:spacing w:before="0" w:after="283"/>
              <w:jc w:val="left"/>
              <w:rPr>
                <w:rFonts w:ascii="Arial" w:hAnsi="Arial"/>
                <w:sz w:val="20"/>
              </w:rPr>
            </w:pPr>
            <w:r>
              <w:rPr>
                <w:rFonts w:ascii="Arial" w:hAnsi="Arial"/>
                <w:sz w:val="20"/>
              </w:rPr>
              <w:t>Fee computed on table in exhibit required by Item 25(b) per Exchange Act Rules 14a-6(i)(1) and 0-11</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center"/>
        <w:rPr/>
      </w:pPr>
      <w:r>
        <w:rPr/>
        <w:drawing>
          <wp:inline distT="0" distB="0" distL="0" distR="0">
            <wp:extent cx="6858000" cy="9858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9858375"/>
                    </a:xfrm>
                    <a:prstGeom prst="rect">
                      <a:avLst/>
                    </a:prstGeom>
                  </pic:spPr>
                </pic:pic>
              </a:graphicData>
            </a:graphic>
          </wp:inline>
        </w:drawing>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b/>
          <w:color w:val="15163A"/>
          <w:sz w:val="42"/>
        </w:rPr>
      </w:pPr>
      <w:bookmarkStart w:id="4" w:name="LETTERTOSTOCKHOLDERS"/>
      <w:bookmarkEnd w:id="4"/>
      <w:r>
        <w:rPr>
          <w:rFonts w:ascii="Arial" w:hAnsi="Arial"/>
          <w:b/>
          <w:color w:val="15163A"/>
          <w:sz w:val="42"/>
        </w:rPr>
        <w:t>LETTER TO STOCKHOLDERS</w:t>
      </w:r>
    </w:p>
    <w:p>
      <w:pPr>
        <w:pStyle w:val="TextBody"/>
        <w:jc w:val="left"/>
        <w:rPr>
          <w:rFonts w:ascii="Arial" w:hAnsi="Arial"/>
          <w:b/>
          <w:color w:val="15163A"/>
          <w:sz w:val="26"/>
        </w:rPr>
      </w:pPr>
      <w:r>
        <w:rPr>
          <w:rFonts w:ascii="Arial" w:hAnsi="Arial"/>
          <w:b/>
          <w:color w:val="15163A"/>
          <w:sz w:val="26"/>
        </w:rPr>
        <w:t>Dear Fellow Stockholders,</w:t>
      </w:r>
    </w:p>
    <w:p>
      <w:pPr>
        <w:pStyle w:val="TextBody"/>
        <w:jc w:val="left"/>
        <w:rPr>
          <w:rFonts w:ascii="Arial" w:hAnsi="Arial"/>
          <w:sz w:val="20"/>
        </w:rPr>
      </w:pPr>
      <w:r>
        <w:rPr>
          <w:rFonts w:ascii="Arial" w:hAnsi="Arial"/>
          <w:sz w:val="20"/>
        </w:rPr>
        <w:t>The year 2022 marked many important milestones - SL Green celebrated its 25th anniversary as a publicly traded company on the New York Stock Exchange, our recently opened skyline-defining tower, One Vanderbilt, is nearing full occupancy and our immersive observatory experience, SUMMIT One Vanderbilt, welcomed its 1 millionth guest, ahead of expectations. These achievements are a direct reflection of the dedication and hard work of our incredible workforce.</w:t>
      </w:r>
    </w:p>
    <w:p>
      <w:pPr>
        <w:pStyle w:val="TextBody"/>
        <w:jc w:val="left"/>
        <w:rPr>
          <w:rFonts w:ascii="Arial" w:hAnsi="Arial"/>
          <w:sz w:val="20"/>
        </w:rPr>
      </w:pPr>
      <w:r>
        <w:rPr>
          <w:rFonts w:ascii="Arial" w:hAnsi="Arial"/>
          <w:sz w:val="20"/>
        </w:rPr>
        <w:t>Our investment in the future is underscored by ESG principles, and our portfolio continues to build long-term value that benefits our shareholders, tenants, employees, and community. One Vanderbilt is the first building in the world to simultaneously achieve LEED v3 Platinum and v4 Gold certification, setting the standard in responsible development and tenant wellness. We apply these same principles to our latest project, the transformative redevelopment of a historical asset, One Madison, where we demonstrate that existing buildings can also achieve the highest levels of sustainability.</w:t>
      </w:r>
    </w:p>
    <w:p>
      <w:pPr>
        <w:pStyle w:val="TextBody"/>
        <w:jc w:val="left"/>
        <w:rPr>
          <w:rFonts w:ascii="Arial" w:hAnsi="Arial"/>
          <w:sz w:val="20"/>
        </w:rPr>
      </w:pPr>
      <w:r>
        <w:rPr>
          <w:rFonts w:ascii="Arial" w:hAnsi="Arial"/>
          <w:sz w:val="20"/>
        </w:rPr>
        <w:t>SL Green’s ESG leadership is a reflection of the Board’s effective risk oversight to safeguard stockholder assets and drive value creation. The Board continues to oversee the execution of decarbonization strategies to reduce SL Green’s environmental footprint and optimize our energy portfolio’s efficiency. To advance these efforts, the Company developed a GHG Emissions Reduction Plan in line with the 1.5°C pathway, which recently received validation from the Science Based Targets initiative (SBTi). Our status as an industry leader in ESG is validated by our performance in the Dow Jones Sustainability Indexes – our 2022 score increased from 64 to 68 against the peer average of 21, placing us in the top 10% of our global peers and positioning us as an S&amp;P Global Sustainability Yearbook member for 2023.</w:t>
      </w:r>
    </w:p>
    <w:p>
      <w:pPr>
        <w:pStyle w:val="TextBody"/>
        <w:jc w:val="left"/>
        <w:rPr>
          <w:rFonts w:ascii="Arial" w:hAnsi="Arial"/>
          <w:sz w:val="20"/>
        </w:rPr>
      </w:pPr>
      <w:r>
        <w:rPr>
          <w:rFonts w:ascii="Arial" w:hAnsi="Arial"/>
          <w:sz w:val="20"/>
        </w:rPr>
        <w:t>Vital to the Board’s oversight responsibilities is ongoing outreach and responsiveness to our stockholders. In 2022, in response to stockholder feedback, we appointed Carol Brown as an independent director to our Board, enhancing the Board’s diversity of background, skills and experience. Further, we enhanced our proxy disclosure, adding a director-by-director skills matrix and expanded our executive compensation discussion. Delivering on public commitments made in May 2022, the Compensation Committee enhanced executive compensation and incentive design.</w:t>
      </w:r>
    </w:p>
    <w:p>
      <w:pPr>
        <w:pStyle w:val="TextBody"/>
        <w:jc w:val="left"/>
        <w:rPr>
          <w:rFonts w:ascii="Arial" w:hAnsi="Arial"/>
          <w:sz w:val="20"/>
        </w:rPr>
      </w:pPr>
      <w:r>
        <w:rPr>
          <w:rFonts w:ascii="Arial" w:hAnsi="Arial"/>
          <w:sz w:val="20"/>
        </w:rPr>
        <w:t>SL Green continued to expand its philanthropic work to support the New York City community. This includes our work with the two organizations we established to support residents—Food1st and the SUMMIT Foundation. From inception in 2020, Food1st has served over 1 million meals to food-insecure New Yorkers and the SUMMIT Foundation has invested 1% of gross ticket sales to New York focused charities and organizations. In 2022, SL Green also provided employment, training, and mentorship to New York City youth. We were honored with the 2022 Employer of the Year award by the Mayor’s Fund to Advance New York City in recognition of our participation in the city’s Summer Youth Employment Program and our focus on providing enrichment opportunities to New York City students.</w:t>
      </w:r>
    </w:p>
    <w:p>
      <w:pPr>
        <w:pStyle w:val="TextBody"/>
        <w:jc w:val="left"/>
        <w:rPr>
          <w:rFonts w:ascii="Arial" w:hAnsi="Arial"/>
          <w:sz w:val="20"/>
        </w:rPr>
      </w:pPr>
      <w:r>
        <w:rPr>
          <w:rFonts w:ascii="Arial" w:hAnsi="Arial"/>
          <w:sz w:val="20"/>
        </w:rPr>
        <w:t>The SL Green Board will continue to provide robust oversight and execution of the Company’s strategic priorities. We are proud of our reputation as a responsible corporate citizen and will work tirelessly to create long-term, sustainable stockholder value.</w:t>
      </w:r>
    </w:p>
    <w:p>
      <w:pPr>
        <w:pStyle w:val="TextBody"/>
        <w:jc w:val="left"/>
        <w:rPr>
          <w:rFonts w:ascii="Arial" w:hAnsi="Arial"/>
          <w:sz w:val="20"/>
        </w:rPr>
      </w:pPr>
      <w:r>
        <w:rPr>
          <w:rFonts w:ascii="Arial" w:hAnsi="Arial"/>
          <w:sz w:val="20"/>
        </w:rPr>
        <w:t>Sincerely,</w:t>
      </w:r>
    </w:p>
    <w:tbl>
      <w:tblPr>
        <w:tblW w:w="8130" w:type="dxa"/>
        <w:jc w:val="left"/>
        <w:tblInd w:w="0" w:type="dxa"/>
        <w:tblCellMar>
          <w:top w:w="0" w:type="dxa"/>
          <w:left w:w="0" w:type="dxa"/>
          <w:bottom w:w="0" w:type="dxa"/>
          <w:right w:w="0" w:type="dxa"/>
        </w:tblCellMar>
      </w:tblPr>
      <w:tblGrid>
        <w:gridCol w:w="2300"/>
        <w:gridCol w:w="3035"/>
        <w:gridCol w:w="2795"/>
      </w:tblGrid>
      <w:tr>
        <w:trPr/>
        <w:tc>
          <w:tcPr>
            <w:tcW w:w="2300" w:type="dxa"/>
            <w:tcBorders/>
            <w:shd w:fill="auto" w:val="clear"/>
            <w:vAlign w:val="center"/>
          </w:tcPr>
          <w:p>
            <w:pPr>
              <w:pStyle w:val="TableContents"/>
              <w:spacing w:before="0" w:after="283"/>
              <w:jc w:val="left"/>
              <w:rPr/>
            </w:pPr>
            <w:r>
              <w:rPr>
                <w:rStyle w:val="StrongEmphasis"/>
                <w:rFonts w:ascii="Arial" w:hAnsi="Arial"/>
                <w:sz w:val="20"/>
              </w:rPr>
              <w:t>John H. Alschuler</w:t>
            </w:r>
          </w:p>
        </w:tc>
        <w:tc>
          <w:tcPr>
            <w:tcW w:w="3035" w:type="dxa"/>
            <w:tcBorders/>
            <w:shd w:fill="auto" w:val="clear"/>
            <w:vAlign w:val="center"/>
          </w:tcPr>
          <w:p>
            <w:pPr>
              <w:pStyle w:val="TableContents"/>
              <w:spacing w:before="0" w:after="283"/>
              <w:jc w:val="left"/>
              <w:rPr/>
            </w:pPr>
            <w:r>
              <w:rPr>
                <w:rStyle w:val="StrongEmphasis"/>
                <w:rFonts w:ascii="Arial" w:hAnsi="Arial"/>
                <w:sz w:val="20"/>
              </w:rPr>
              <w:t>Betsy S. Atkins</w:t>
            </w:r>
          </w:p>
        </w:tc>
        <w:tc>
          <w:tcPr>
            <w:tcW w:w="2795" w:type="dxa"/>
            <w:tcBorders/>
            <w:shd w:fill="auto" w:val="clear"/>
            <w:vAlign w:val="center"/>
          </w:tcPr>
          <w:p>
            <w:pPr>
              <w:pStyle w:val="TableContents"/>
              <w:spacing w:before="0" w:after="283"/>
              <w:jc w:val="left"/>
              <w:rPr/>
            </w:pPr>
            <w:r>
              <w:rPr>
                <w:rStyle w:val="StrongEmphasis"/>
                <w:rFonts w:ascii="Arial" w:hAnsi="Arial"/>
                <w:sz w:val="20"/>
              </w:rPr>
              <w:t>Carol N. Brown</w:t>
            </w:r>
          </w:p>
        </w:tc>
      </w:tr>
      <w:tr>
        <w:trPr/>
        <w:tc>
          <w:tcPr>
            <w:tcW w:w="2300" w:type="dxa"/>
            <w:tcBorders/>
            <w:shd w:fill="auto" w:val="clear"/>
            <w:vAlign w:val="center"/>
          </w:tcPr>
          <w:p>
            <w:pPr>
              <w:pStyle w:val="TableContents"/>
              <w:spacing w:before="0" w:after="283"/>
              <w:jc w:val="left"/>
              <w:rPr>
                <w:rFonts w:ascii="Arial" w:hAnsi="Arial"/>
                <w:sz w:val="20"/>
              </w:rPr>
            </w:pPr>
            <w:r>
              <w:rPr>
                <w:rFonts w:ascii="Arial" w:hAnsi="Arial"/>
                <w:sz w:val="20"/>
              </w:rPr>
              <w:t>Lead Independent Director</w:t>
            </w:r>
          </w:p>
        </w:tc>
        <w:tc>
          <w:tcPr>
            <w:tcW w:w="3035" w:type="dxa"/>
            <w:tcBorders/>
            <w:shd w:fill="auto" w:val="clear"/>
            <w:vAlign w:val="center"/>
          </w:tcPr>
          <w:p>
            <w:pPr>
              <w:pStyle w:val="TableContents"/>
              <w:spacing w:before="0" w:after="283"/>
              <w:jc w:val="left"/>
              <w:rPr>
                <w:rFonts w:ascii="Arial" w:hAnsi="Arial"/>
                <w:sz w:val="20"/>
              </w:rPr>
            </w:pPr>
            <w:r>
              <w:rPr>
                <w:rFonts w:ascii="Arial" w:hAnsi="Arial"/>
                <w:sz w:val="20"/>
              </w:rPr>
              <w:t>Independent Director</w:t>
            </w:r>
          </w:p>
        </w:tc>
        <w:tc>
          <w:tcPr>
            <w:tcW w:w="2795" w:type="dxa"/>
            <w:tcBorders/>
            <w:shd w:fill="auto" w:val="clear"/>
            <w:vAlign w:val="center"/>
          </w:tcPr>
          <w:p>
            <w:pPr>
              <w:pStyle w:val="TableContents"/>
              <w:spacing w:before="0" w:after="283"/>
              <w:jc w:val="left"/>
              <w:rPr>
                <w:rFonts w:ascii="Arial" w:hAnsi="Arial"/>
                <w:sz w:val="20"/>
              </w:rPr>
            </w:pPr>
            <w:r>
              <w:rPr>
                <w:rFonts w:ascii="Arial" w:hAnsi="Arial"/>
                <w:sz w:val="20"/>
              </w:rPr>
              <w:t>Independent Director</w:t>
            </w:r>
          </w:p>
        </w:tc>
      </w:tr>
      <w:tr>
        <w:trPr/>
        <w:tc>
          <w:tcPr>
            <w:tcW w:w="8130" w:type="dxa"/>
            <w:gridSpan w:val="3"/>
            <w:tcBorders/>
            <w:shd w:fill="auto" w:val="clear"/>
            <w:vAlign w:val="center"/>
          </w:tcPr>
          <w:p>
            <w:pPr>
              <w:pStyle w:val="TableContents"/>
              <w:spacing w:before="0" w:after="283"/>
              <w:rPr/>
            </w:pPr>
            <w:r>
              <w:rPr/>
              <w:t> </w:t>
            </w:r>
          </w:p>
        </w:tc>
      </w:tr>
      <w:tr>
        <w:trPr/>
        <w:tc>
          <w:tcPr>
            <w:tcW w:w="2300" w:type="dxa"/>
            <w:tcBorders/>
            <w:shd w:fill="auto" w:val="clear"/>
            <w:vAlign w:val="center"/>
          </w:tcPr>
          <w:p>
            <w:pPr>
              <w:pStyle w:val="TableContents"/>
              <w:spacing w:before="0" w:after="283"/>
              <w:jc w:val="left"/>
              <w:rPr/>
            </w:pPr>
            <w:r>
              <w:rPr>
                <w:rStyle w:val="StrongEmphasis"/>
                <w:rFonts w:ascii="Arial" w:hAnsi="Arial"/>
                <w:sz w:val="20"/>
              </w:rPr>
              <w:t>Edwin T. Burton, III</w:t>
            </w:r>
          </w:p>
        </w:tc>
        <w:tc>
          <w:tcPr>
            <w:tcW w:w="3035" w:type="dxa"/>
            <w:tcBorders/>
            <w:shd w:fill="auto" w:val="clear"/>
            <w:vAlign w:val="center"/>
          </w:tcPr>
          <w:p>
            <w:pPr>
              <w:pStyle w:val="TableContents"/>
              <w:spacing w:before="0" w:after="283"/>
              <w:jc w:val="left"/>
              <w:rPr/>
            </w:pPr>
            <w:r>
              <w:rPr>
                <w:rStyle w:val="StrongEmphasis"/>
                <w:rFonts w:ascii="Arial" w:hAnsi="Arial"/>
                <w:sz w:val="20"/>
              </w:rPr>
              <w:t>Lauren B. Dillard</w:t>
            </w:r>
          </w:p>
        </w:tc>
        <w:tc>
          <w:tcPr>
            <w:tcW w:w="2795" w:type="dxa"/>
            <w:tcBorders/>
            <w:shd w:fill="auto" w:val="clear"/>
            <w:vAlign w:val="center"/>
          </w:tcPr>
          <w:p>
            <w:pPr>
              <w:pStyle w:val="TableContents"/>
              <w:spacing w:before="0" w:after="283"/>
              <w:jc w:val="left"/>
              <w:rPr/>
            </w:pPr>
            <w:r>
              <w:rPr>
                <w:rStyle w:val="StrongEmphasis"/>
                <w:rFonts w:ascii="Arial" w:hAnsi="Arial"/>
                <w:sz w:val="20"/>
              </w:rPr>
              <w:t>Stephen L. Green</w:t>
            </w:r>
          </w:p>
        </w:tc>
      </w:tr>
      <w:tr>
        <w:trPr/>
        <w:tc>
          <w:tcPr>
            <w:tcW w:w="2300" w:type="dxa"/>
            <w:tcBorders/>
            <w:shd w:fill="auto" w:val="clear"/>
            <w:vAlign w:val="center"/>
          </w:tcPr>
          <w:p>
            <w:pPr>
              <w:pStyle w:val="TableContents"/>
              <w:spacing w:before="0" w:after="283"/>
              <w:jc w:val="left"/>
              <w:rPr>
                <w:rFonts w:ascii="Arial" w:hAnsi="Arial"/>
                <w:sz w:val="20"/>
              </w:rPr>
            </w:pPr>
            <w:r>
              <w:rPr>
                <w:rFonts w:ascii="Arial" w:hAnsi="Arial"/>
                <w:sz w:val="20"/>
              </w:rPr>
              <w:t>Independent Director</w:t>
            </w:r>
          </w:p>
        </w:tc>
        <w:tc>
          <w:tcPr>
            <w:tcW w:w="3035" w:type="dxa"/>
            <w:tcBorders/>
            <w:shd w:fill="auto" w:val="clear"/>
            <w:vAlign w:val="center"/>
          </w:tcPr>
          <w:p>
            <w:pPr>
              <w:pStyle w:val="TableContents"/>
              <w:spacing w:before="0" w:after="283"/>
              <w:jc w:val="left"/>
              <w:rPr>
                <w:rFonts w:ascii="Arial" w:hAnsi="Arial"/>
                <w:sz w:val="20"/>
              </w:rPr>
            </w:pPr>
            <w:r>
              <w:rPr>
                <w:rFonts w:ascii="Arial" w:hAnsi="Arial"/>
                <w:sz w:val="20"/>
              </w:rPr>
              <w:t>Independent Director</w:t>
            </w:r>
          </w:p>
        </w:tc>
        <w:tc>
          <w:tcPr>
            <w:tcW w:w="2795" w:type="dxa"/>
            <w:tcBorders/>
            <w:shd w:fill="auto" w:val="clear"/>
            <w:vAlign w:val="center"/>
          </w:tcPr>
          <w:p>
            <w:pPr>
              <w:pStyle w:val="TableContents"/>
              <w:spacing w:before="0" w:after="283"/>
              <w:jc w:val="left"/>
              <w:rPr>
                <w:rFonts w:ascii="Arial" w:hAnsi="Arial"/>
                <w:sz w:val="20"/>
              </w:rPr>
            </w:pPr>
            <w:r>
              <w:rPr>
                <w:rFonts w:ascii="Arial" w:hAnsi="Arial"/>
                <w:sz w:val="20"/>
              </w:rPr>
              <w:t>Director and Chairman Emeritus</w:t>
            </w:r>
          </w:p>
        </w:tc>
      </w:tr>
      <w:tr>
        <w:trPr/>
        <w:tc>
          <w:tcPr>
            <w:tcW w:w="8130" w:type="dxa"/>
            <w:gridSpan w:val="3"/>
            <w:tcBorders/>
            <w:shd w:fill="auto" w:val="clear"/>
            <w:vAlign w:val="center"/>
          </w:tcPr>
          <w:p>
            <w:pPr>
              <w:pStyle w:val="TableContents"/>
              <w:spacing w:before="0" w:after="283"/>
              <w:rPr/>
            </w:pPr>
            <w:r>
              <w:rPr/>
              <w:t> </w:t>
            </w:r>
          </w:p>
        </w:tc>
      </w:tr>
      <w:tr>
        <w:trPr/>
        <w:tc>
          <w:tcPr>
            <w:tcW w:w="2300" w:type="dxa"/>
            <w:tcBorders/>
            <w:shd w:fill="auto" w:val="clear"/>
            <w:vAlign w:val="center"/>
          </w:tcPr>
          <w:p>
            <w:pPr>
              <w:pStyle w:val="TableContents"/>
              <w:spacing w:before="0" w:after="283"/>
              <w:jc w:val="left"/>
              <w:rPr/>
            </w:pPr>
            <w:r>
              <w:rPr>
                <w:rStyle w:val="StrongEmphasis"/>
                <w:rFonts w:ascii="Arial" w:hAnsi="Arial"/>
                <w:sz w:val="20"/>
              </w:rPr>
              <w:t>Craig M. Hatkoff</w:t>
            </w:r>
          </w:p>
        </w:tc>
        <w:tc>
          <w:tcPr>
            <w:tcW w:w="3035" w:type="dxa"/>
            <w:tcBorders/>
            <w:shd w:fill="auto" w:val="clear"/>
            <w:vAlign w:val="center"/>
          </w:tcPr>
          <w:p>
            <w:pPr>
              <w:pStyle w:val="TableContents"/>
              <w:spacing w:before="0" w:after="283"/>
              <w:jc w:val="left"/>
              <w:rPr/>
            </w:pPr>
            <w:r>
              <w:rPr>
                <w:rStyle w:val="StrongEmphasis"/>
                <w:rFonts w:ascii="Arial" w:hAnsi="Arial"/>
                <w:sz w:val="20"/>
              </w:rPr>
              <w:t>Marc Holliday</w:t>
            </w:r>
          </w:p>
        </w:tc>
        <w:tc>
          <w:tcPr>
            <w:tcW w:w="2795" w:type="dxa"/>
            <w:tcBorders/>
            <w:shd w:fill="auto" w:val="clear"/>
            <w:vAlign w:val="center"/>
          </w:tcPr>
          <w:p>
            <w:pPr>
              <w:pStyle w:val="TableContents"/>
              <w:spacing w:before="0" w:after="283"/>
              <w:jc w:val="left"/>
              <w:rPr/>
            </w:pPr>
            <w:r>
              <w:rPr>
                <w:rStyle w:val="StrongEmphasis"/>
                <w:rFonts w:ascii="Arial" w:hAnsi="Arial"/>
                <w:sz w:val="20"/>
              </w:rPr>
              <w:t>John S. Levy</w:t>
            </w:r>
          </w:p>
        </w:tc>
      </w:tr>
      <w:tr>
        <w:trPr/>
        <w:tc>
          <w:tcPr>
            <w:tcW w:w="2300" w:type="dxa"/>
            <w:tcBorders/>
            <w:shd w:fill="auto" w:val="clear"/>
            <w:vAlign w:val="center"/>
          </w:tcPr>
          <w:p>
            <w:pPr>
              <w:pStyle w:val="TableContents"/>
              <w:spacing w:before="0" w:after="283"/>
              <w:jc w:val="left"/>
              <w:rPr>
                <w:rFonts w:ascii="Arial" w:hAnsi="Arial"/>
                <w:sz w:val="20"/>
              </w:rPr>
            </w:pPr>
            <w:r>
              <w:rPr>
                <w:rFonts w:ascii="Arial" w:hAnsi="Arial"/>
                <w:sz w:val="20"/>
              </w:rPr>
              <w:t>Independent Director</w:t>
            </w:r>
          </w:p>
        </w:tc>
        <w:tc>
          <w:tcPr>
            <w:tcW w:w="3035" w:type="dxa"/>
            <w:tcBorders/>
            <w:shd w:fill="auto" w:val="clear"/>
            <w:vAlign w:val="center"/>
          </w:tcPr>
          <w:p>
            <w:pPr>
              <w:pStyle w:val="TableContents"/>
              <w:spacing w:before="0" w:after="283"/>
              <w:jc w:val="left"/>
              <w:rPr/>
            </w:pPr>
            <w:r>
              <w:rPr>
                <w:rFonts w:ascii="Arial" w:hAnsi="Arial"/>
                <w:sz w:val="20"/>
              </w:rPr>
              <w:t>Chairman of the Board of Directors</w:t>
            </w:r>
            <w:r>
              <w:rPr/>
              <w:br/>
            </w:r>
            <w:r>
              <w:rPr>
                <w:rFonts w:ascii="Arial" w:hAnsi="Arial"/>
                <w:sz w:val="20"/>
              </w:rPr>
              <w:t>and Chief Executive Officer</w:t>
            </w:r>
          </w:p>
        </w:tc>
        <w:tc>
          <w:tcPr>
            <w:tcW w:w="2795" w:type="dxa"/>
            <w:tcBorders/>
            <w:shd w:fill="auto" w:val="clear"/>
            <w:vAlign w:val="center"/>
          </w:tcPr>
          <w:p>
            <w:pPr>
              <w:pStyle w:val="TableContents"/>
              <w:spacing w:before="0" w:after="283"/>
              <w:jc w:val="left"/>
              <w:rPr>
                <w:rFonts w:ascii="Arial" w:hAnsi="Arial"/>
                <w:sz w:val="20"/>
              </w:rPr>
            </w:pPr>
            <w:r>
              <w:rPr>
                <w:rFonts w:ascii="Arial" w:hAnsi="Arial"/>
                <w:sz w:val="20"/>
              </w:rPr>
              <w:t>Independent Director</w:t>
            </w:r>
          </w:p>
        </w:tc>
      </w:tr>
      <w:tr>
        <w:trPr/>
        <w:tc>
          <w:tcPr>
            <w:tcW w:w="2300" w:type="dxa"/>
            <w:tcBorders/>
            <w:shd w:fill="auto" w:val="clear"/>
            <w:vAlign w:val="center"/>
          </w:tcPr>
          <w:p>
            <w:pPr>
              <w:pStyle w:val="TableContents"/>
              <w:spacing w:before="0" w:after="283"/>
              <w:jc w:val="left"/>
              <w:rPr/>
            </w:pPr>
            <w:r>
              <w:rPr/>
              <w:t> </w:t>
            </w:r>
          </w:p>
        </w:tc>
        <w:tc>
          <w:tcPr>
            <w:tcW w:w="3035"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2300" w:type="dxa"/>
            <w:tcBorders/>
            <w:shd w:fill="auto" w:val="clear"/>
            <w:vAlign w:val="center"/>
          </w:tcPr>
          <w:p>
            <w:pPr>
              <w:pStyle w:val="TableContents"/>
              <w:spacing w:before="0" w:after="283"/>
              <w:jc w:val="left"/>
              <w:rPr/>
            </w:pPr>
            <w:r>
              <w:rPr>
                <w:rStyle w:val="StrongEmphasis"/>
                <w:rFonts w:ascii="Arial" w:hAnsi="Arial"/>
                <w:sz w:val="20"/>
              </w:rPr>
              <w:t>Andrew W. Mathias</w:t>
            </w:r>
          </w:p>
        </w:tc>
        <w:tc>
          <w:tcPr>
            <w:tcW w:w="3035"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2300" w:type="dxa"/>
            <w:tcBorders/>
            <w:shd w:fill="auto" w:val="clear"/>
            <w:vAlign w:val="center"/>
          </w:tcPr>
          <w:p>
            <w:pPr>
              <w:pStyle w:val="TableContents"/>
              <w:spacing w:before="0" w:after="283"/>
              <w:jc w:val="left"/>
              <w:rPr>
                <w:rFonts w:ascii="Arial" w:hAnsi="Arial"/>
                <w:sz w:val="20"/>
              </w:rPr>
            </w:pPr>
            <w:r>
              <w:rPr>
                <w:rFonts w:ascii="Arial" w:hAnsi="Arial"/>
                <w:sz w:val="20"/>
              </w:rPr>
              <w:t>President and Director</w:t>
            </w:r>
          </w:p>
        </w:tc>
        <w:tc>
          <w:tcPr>
            <w:tcW w:w="3035"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78" w:type="dxa"/>
        <w:jc w:val="left"/>
        <w:tblInd w:w="0" w:type="dxa"/>
        <w:tblCellMar>
          <w:top w:w="0" w:type="dxa"/>
          <w:left w:w="0" w:type="dxa"/>
          <w:bottom w:w="0" w:type="dxa"/>
          <w:right w:w="0" w:type="dxa"/>
        </w:tblCellMar>
      </w:tblPr>
      <w:tblGrid>
        <w:gridCol w:w="23"/>
        <w:gridCol w:w="155"/>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jc w:val="right"/>
              <w:rPr>
                <w:rFonts w:ascii="Arial" w:hAnsi="Arial"/>
                <w:b/>
                <w:color w:val="15163A"/>
                <w:sz w:val="24"/>
              </w:rPr>
            </w:pPr>
            <w:r>
              <w:rPr>
                <w:rFonts w:ascii="Arial" w:hAnsi="Arial"/>
                <w:b/>
                <w:color w:val="15163A"/>
                <w:sz w:val="24"/>
              </w:rPr>
              <w:t>1</w:t>
            </w:r>
          </w:p>
        </w:tc>
      </w:tr>
    </w:tbl>
    <w:p>
      <w:pPr>
        <w:pStyle w:val="TextBody"/>
        <w:spacing w:before="240" w:after="283"/>
        <w:jc w:val="left"/>
        <w:rPr/>
      </w:pPr>
      <w:r>
        <w:rPr>
          <w:rStyle w:val="StrongEmphasis"/>
          <w:rFonts w:ascii="Arial" w:hAnsi="Arial"/>
          <w:color w:val="8BA73B"/>
          <w:sz w:val="32"/>
        </w:rPr>
        <w:t>OUR TRACK RECORD OF RESPONSIVENESS</w:t>
      </w:r>
    </w:p>
    <w:p>
      <w:pPr>
        <w:pStyle w:val="TextBody"/>
        <w:jc w:val="left"/>
        <w:rPr/>
      </w:pPr>
      <w:r>
        <w:rPr>
          <w:rFonts w:ascii="Arial" w:hAnsi="Arial"/>
          <w:sz w:val="20"/>
        </w:rPr>
        <w:t xml:space="preserve">Our Board has always </w:t>
      </w:r>
      <w:r>
        <w:rPr>
          <w:rStyle w:val="StrongEmphasis"/>
          <w:rFonts w:ascii="Arial" w:hAnsi="Arial"/>
          <w:sz w:val="20"/>
        </w:rPr>
        <w:t xml:space="preserve">valued stockholder feedback </w:t>
      </w:r>
      <w:r>
        <w:rPr>
          <w:rFonts w:ascii="Arial" w:hAnsi="Arial"/>
          <w:sz w:val="20"/>
        </w:rPr>
        <w:t xml:space="preserve">and has over the last few years embarked on a </w:t>
      </w:r>
      <w:r>
        <w:rPr>
          <w:rStyle w:val="StrongEmphasis"/>
          <w:rFonts w:ascii="Arial" w:hAnsi="Arial"/>
          <w:sz w:val="20"/>
        </w:rPr>
        <w:t xml:space="preserve">robust stockholder outreach </w:t>
      </w:r>
      <w:r>
        <w:rPr>
          <w:rFonts w:ascii="Arial" w:hAnsi="Arial"/>
          <w:sz w:val="20"/>
        </w:rPr>
        <w:t xml:space="preserve">program. That feedback has served as a </w:t>
      </w:r>
      <w:r>
        <w:rPr>
          <w:rStyle w:val="StrongEmphasis"/>
          <w:rFonts w:ascii="Arial" w:hAnsi="Arial"/>
          <w:sz w:val="20"/>
        </w:rPr>
        <w:t xml:space="preserve">key input </w:t>
      </w:r>
      <w:r>
        <w:rPr>
          <w:rFonts w:ascii="Arial" w:hAnsi="Arial"/>
          <w:sz w:val="20"/>
        </w:rPr>
        <w:t>to Board composition, corporate governance, and executive compensation, as well as environmental and social discussions and decisions at the Board and committee levels. The Board is proud of our track record of responsiveness to stockholder feedback as outlined below.</w:t>
      </w:r>
    </w:p>
    <w:tbl>
      <w:tblPr>
        <w:tblW w:w="10205" w:type="dxa"/>
        <w:jc w:val="left"/>
        <w:tblInd w:w="0" w:type="dxa"/>
        <w:tblCellMar>
          <w:top w:w="0" w:type="dxa"/>
          <w:left w:w="0" w:type="dxa"/>
          <w:bottom w:w="40" w:type="dxa"/>
          <w:right w:w="0" w:type="dxa"/>
        </w:tblCellMar>
      </w:tblPr>
      <w:tblGrid>
        <w:gridCol w:w="180"/>
        <w:gridCol w:w="300"/>
        <w:gridCol w:w="3116"/>
        <w:gridCol w:w="300"/>
        <w:gridCol w:w="3489"/>
        <w:gridCol w:w="300"/>
        <w:gridCol w:w="2520"/>
      </w:tblGrid>
      <w:tr>
        <w:trPr/>
        <w:tc>
          <w:tcPr>
            <w:tcW w:w="180"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300" w:type="dxa"/>
            <w:tcBorders>
              <w:bottom w:val="single" w:sz="12" w:space="0" w:color="1A2343"/>
            </w:tcBorders>
            <w:shd w:fill="auto" w:val="clear"/>
            <w:vAlign w:val="center"/>
          </w:tcPr>
          <w:p>
            <w:pPr>
              <w:pStyle w:val="TableContents"/>
              <w:spacing w:before="0" w:after="283"/>
              <w:jc w:val="left"/>
              <w:rPr/>
            </w:pPr>
            <w:r>
              <w:rPr/>
              <w:t>     </w:t>
            </w:r>
          </w:p>
        </w:tc>
        <w:tc>
          <w:tcPr>
            <w:tcW w:w="3116" w:type="dxa"/>
            <w:tcBorders>
              <w:bottom w:val="single" w:sz="12" w:space="0" w:color="1A2343"/>
            </w:tcBorders>
            <w:shd w:fill="auto" w:val="clear"/>
            <w:vAlign w:val="center"/>
          </w:tcPr>
          <w:p>
            <w:pPr>
              <w:pStyle w:val="TableContents"/>
              <w:spacing w:before="0" w:after="283"/>
              <w:jc w:val="left"/>
              <w:rPr>
                <w:rFonts w:ascii="Arial" w:hAnsi="Arial"/>
                <w:color w:val="15163A"/>
                <w:sz w:val="15"/>
              </w:rPr>
            </w:pPr>
            <w:r>
              <w:rPr>
                <w:rFonts w:ascii="Arial" w:hAnsi="Arial"/>
                <w:color w:val="15163A"/>
                <w:sz w:val="15"/>
              </w:rPr>
              <w:t>Board Composition &amp;</w:t>
              <w:br/>
              <w:t>Corporate Governance</w:t>
            </w:r>
          </w:p>
        </w:tc>
        <w:tc>
          <w:tcPr>
            <w:tcW w:w="300" w:type="dxa"/>
            <w:tcBorders>
              <w:bottom w:val="single" w:sz="12" w:space="0" w:color="1A2343"/>
            </w:tcBorders>
            <w:shd w:fill="auto" w:val="clear"/>
            <w:vAlign w:val="center"/>
          </w:tcPr>
          <w:p>
            <w:pPr>
              <w:pStyle w:val="TableContents"/>
              <w:spacing w:before="0" w:after="283"/>
              <w:jc w:val="left"/>
              <w:rPr/>
            </w:pPr>
            <w:r>
              <w:rPr/>
              <w:t>     </w:t>
            </w:r>
          </w:p>
        </w:tc>
        <w:tc>
          <w:tcPr>
            <w:tcW w:w="3489" w:type="dxa"/>
            <w:tcBorders>
              <w:bottom w:val="single" w:sz="12" w:space="0" w:color="1A2343"/>
            </w:tcBorders>
            <w:shd w:fill="auto" w:val="clear"/>
            <w:vAlign w:val="center"/>
          </w:tcPr>
          <w:p>
            <w:pPr>
              <w:pStyle w:val="TableContents"/>
              <w:spacing w:before="0" w:after="283"/>
              <w:jc w:val="left"/>
              <w:rPr>
                <w:rFonts w:ascii="Arial" w:hAnsi="Arial"/>
                <w:color w:val="15163A"/>
                <w:sz w:val="15"/>
              </w:rPr>
            </w:pPr>
            <w:r>
              <w:rPr>
                <w:rFonts w:ascii="Arial" w:hAnsi="Arial"/>
                <w:color w:val="15163A"/>
                <w:sz w:val="15"/>
              </w:rPr>
              <w:t>Executive Compensation</w:t>
            </w:r>
          </w:p>
        </w:tc>
        <w:tc>
          <w:tcPr>
            <w:tcW w:w="300" w:type="dxa"/>
            <w:tcBorders>
              <w:bottom w:val="single" w:sz="12" w:space="0" w:color="1A2343"/>
            </w:tcBorders>
            <w:shd w:fill="auto" w:val="clear"/>
            <w:vAlign w:val="center"/>
          </w:tcPr>
          <w:p>
            <w:pPr>
              <w:pStyle w:val="TableContents"/>
              <w:spacing w:before="0" w:after="283"/>
              <w:jc w:val="left"/>
              <w:rPr/>
            </w:pPr>
            <w:r>
              <w:rPr/>
              <w:t>     </w:t>
            </w:r>
          </w:p>
        </w:tc>
        <w:tc>
          <w:tcPr>
            <w:tcW w:w="2520" w:type="dxa"/>
            <w:tcBorders>
              <w:bottom w:val="single" w:sz="12" w:space="0" w:color="1A2343"/>
            </w:tcBorders>
            <w:shd w:fill="auto" w:val="clear"/>
            <w:vAlign w:val="center"/>
          </w:tcPr>
          <w:p>
            <w:pPr>
              <w:pStyle w:val="TableContents"/>
              <w:spacing w:before="0" w:after="283"/>
              <w:jc w:val="left"/>
              <w:rPr>
                <w:rFonts w:ascii="Arial" w:hAnsi="Arial"/>
                <w:color w:val="15163A"/>
                <w:sz w:val="15"/>
              </w:rPr>
            </w:pPr>
            <w:r>
              <w:rPr>
                <w:rFonts w:ascii="Arial" w:hAnsi="Arial"/>
                <w:color w:val="15163A"/>
                <w:sz w:val="15"/>
              </w:rPr>
              <w:t>Environmental &amp; Social</w:t>
            </w:r>
          </w:p>
        </w:tc>
      </w:tr>
      <w:tr>
        <w:trPr/>
        <w:tc>
          <w:tcPr>
            <w:tcW w:w="180" w:type="dxa"/>
            <w:tcBorders>
              <w:bottom w:val="single" w:sz="8" w:space="0" w:color="1A2343"/>
            </w:tcBorders>
            <w:shd w:fill="auto" w:val="clear"/>
            <w:vAlign w:val="center"/>
          </w:tcPr>
          <w:p>
            <w:pPr>
              <w:pStyle w:val="TableContents"/>
              <w:spacing w:before="0" w:after="283"/>
              <w:jc w:val="center"/>
              <w:rPr/>
            </w:pPr>
            <w:r>
              <w:rPr/>
              <w:drawing>
                <wp:inline distT="0" distB="0" distL="0" distR="0">
                  <wp:extent cx="114300" cy="2559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rcRect l="-11023" t="-3938" r="-11023" b="-3938"/>
                          <a:stretch>
                            <a:fillRect/>
                          </a:stretch>
                        </pic:blipFill>
                        <pic:spPr bwMode="auto">
                          <a:xfrm>
                            <a:off x="0" y="0"/>
                            <a:ext cx="114300" cy="255905"/>
                          </a:xfrm>
                          <a:prstGeom prst="rect">
                            <a:avLst/>
                          </a:prstGeom>
                          <a:ln w="635">
                            <a:solidFill>
                              <a:srgbClr val="000000"/>
                            </a:solidFill>
                          </a:ln>
                        </pic:spPr>
                      </pic:pic>
                    </a:graphicData>
                  </a:graphic>
                </wp:inline>
              </w:drawing>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3116"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Amended bylaws to permit stockholders to amend bylaws by a majority vote </w:t>
            </w:r>
          </w:p>
          <w:p>
            <w:pPr>
              <w:pStyle w:val="TableContents"/>
              <w:spacing w:before="0" w:after="0"/>
              <w:ind w:left="0" w:right="0" w:hanging="290"/>
              <w:jc w:val="left"/>
              <w:rPr/>
            </w:pPr>
            <w:r>
              <w:rPr>
                <w:color w:val="8BA73B"/>
              </w:rPr>
              <w:t>✓</w:t>
            </w:r>
            <w:r>
              <w:rPr>
                <w:rFonts w:ascii="Arial" w:hAnsi="Arial"/>
                <w:sz w:val="20"/>
              </w:rPr>
              <w:t xml:space="preserve">Lauren Dillard appointed Compensation Committee Chair </w:t>
            </w:r>
          </w:p>
          <w:p>
            <w:pPr>
              <w:pStyle w:val="TableContents"/>
              <w:spacing w:before="0" w:after="0"/>
              <w:ind w:left="0" w:right="0" w:hanging="290"/>
              <w:jc w:val="left"/>
              <w:rPr/>
            </w:pPr>
            <w:r>
              <w:rPr>
                <w:color w:val="8BA73B"/>
              </w:rPr>
              <w:t>✓</w:t>
            </w:r>
            <w:r>
              <w:rPr>
                <w:rFonts w:ascii="Arial" w:hAnsi="Arial"/>
                <w:sz w:val="20"/>
              </w:rPr>
              <w:t>Craig Hatkoff appointed chair of Nominating and Governance Committee</w:t>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3489"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Retroactively reduced CEO base salary </w:t>
            </w:r>
          </w:p>
          <w:p>
            <w:pPr>
              <w:pStyle w:val="TableContents"/>
              <w:spacing w:before="0" w:after="0"/>
              <w:ind w:left="0" w:right="0" w:hanging="290"/>
              <w:jc w:val="left"/>
              <w:rPr/>
            </w:pPr>
            <w:r>
              <w:rPr>
                <w:color w:val="8BA73B"/>
              </w:rPr>
              <w:t>✓</w:t>
            </w:r>
            <w:r>
              <w:rPr>
                <w:rFonts w:ascii="Arial" w:hAnsi="Arial"/>
                <w:sz w:val="20"/>
              </w:rPr>
              <w:t>Announced reduction of Director Compensation effective 2019</w:t>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2520"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Committed to reduce GHG emission intensity 30% by 2025 </w:t>
            </w:r>
          </w:p>
          <w:p>
            <w:pPr>
              <w:pStyle w:val="TableContents"/>
              <w:spacing w:before="0" w:after="0"/>
              <w:ind w:left="0" w:right="0" w:hanging="290"/>
              <w:jc w:val="left"/>
              <w:rPr/>
            </w:pPr>
            <w:r>
              <w:rPr>
                <w:color w:val="8BA73B"/>
              </w:rPr>
              <w:t>✓</w:t>
            </w:r>
            <w:r>
              <w:rPr>
                <w:rFonts w:ascii="Arial" w:hAnsi="Arial"/>
                <w:sz w:val="20"/>
              </w:rPr>
              <w:t xml:space="preserve">Achieved a “B” CDP score as first-time reporter </w:t>
            </w:r>
          </w:p>
          <w:p>
            <w:pPr>
              <w:pStyle w:val="TableContents"/>
              <w:spacing w:before="0" w:after="0"/>
              <w:ind w:left="0" w:right="0" w:hanging="290"/>
              <w:jc w:val="left"/>
              <w:rPr/>
            </w:pPr>
            <w:r>
              <w:rPr>
                <w:color w:val="8BA73B"/>
              </w:rPr>
              <w:t>✓</w:t>
            </w:r>
            <w:r>
              <w:rPr>
                <w:rFonts w:ascii="Arial" w:hAnsi="Arial"/>
                <w:sz w:val="20"/>
              </w:rPr>
              <w:t>Awarded NYC’s “Changemaker Award” for volunteerism &amp; philanthropy</w:t>
            </w:r>
          </w:p>
        </w:tc>
      </w:tr>
      <w:tr>
        <w:trPr/>
        <w:tc>
          <w:tcPr>
            <w:tcW w:w="180" w:type="dxa"/>
            <w:tcBorders>
              <w:bottom w:val="single" w:sz="8" w:space="0" w:color="1A2343"/>
            </w:tcBorders>
            <w:shd w:fill="auto" w:val="clear"/>
            <w:vAlign w:val="center"/>
          </w:tcPr>
          <w:p>
            <w:pPr>
              <w:pStyle w:val="TableContents"/>
              <w:spacing w:before="0" w:after="283"/>
              <w:jc w:val="center"/>
              <w:rPr/>
            </w:pPr>
            <w:r>
              <w:rPr/>
              <w:drawing>
                <wp:inline distT="0" distB="0" distL="0" distR="0">
                  <wp:extent cx="114300" cy="2559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rcRect l="-11382" t="-3938" r="-11382" b="-3938"/>
                          <a:stretch>
                            <a:fillRect/>
                          </a:stretch>
                        </pic:blipFill>
                        <pic:spPr bwMode="auto">
                          <a:xfrm>
                            <a:off x="0" y="0"/>
                            <a:ext cx="114300" cy="255905"/>
                          </a:xfrm>
                          <a:prstGeom prst="rect">
                            <a:avLst/>
                          </a:prstGeom>
                          <a:ln w="635">
                            <a:solidFill>
                              <a:srgbClr val="000000"/>
                            </a:solidFill>
                          </a:ln>
                        </pic:spPr>
                      </pic:pic>
                    </a:graphicData>
                  </a:graphic>
                </wp:inline>
              </w:drawing>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3116"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Transition of Stephen L. Green from Chairman to “Chairman Emeritus”</w:t>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3489"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Simplified pay plan by reducing elements from seven to four </w:t>
            </w:r>
          </w:p>
          <w:p>
            <w:pPr>
              <w:pStyle w:val="TableContents"/>
              <w:spacing w:before="0" w:after="0"/>
              <w:ind w:left="0" w:right="0" w:hanging="290"/>
              <w:jc w:val="left"/>
              <w:rPr/>
            </w:pPr>
            <w:r>
              <w:rPr>
                <w:color w:val="8BA73B"/>
              </w:rPr>
              <w:t>✓</w:t>
            </w:r>
            <w:r>
              <w:rPr>
                <w:rFonts w:ascii="Arial" w:hAnsi="Arial"/>
                <w:sz w:val="20"/>
              </w:rPr>
              <w:t xml:space="preserve">Eliminated retesting, guaranteed equity grants and discretionary components and replaced with performance driven incentives </w:t>
            </w:r>
          </w:p>
          <w:p>
            <w:pPr>
              <w:pStyle w:val="TableContents"/>
              <w:spacing w:before="0" w:after="0"/>
              <w:ind w:left="0" w:right="0" w:hanging="290"/>
              <w:jc w:val="left"/>
              <w:rPr/>
            </w:pPr>
            <w:r>
              <w:rPr>
                <w:color w:val="8BA73B"/>
              </w:rPr>
              <w:t>✓</w:t>
            </w:r>
            <w:r>
              <w:rPr>
                <w:rFonts w:ascii="Arial" w:hAnsi="Arial"/>
                <w:sz w:val="20"/>
              </w:rPr>
              <w:t>Added three-year absolute and relative TSR modifier to extend performance period</w:t>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2520"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Committed to &gt;$2M in annual donations to NYC charities </w:t>
            </w:r>
          </w:p>
          <w:p>
            <w:pPr>
              <w:pStyle w:val="TableContents"/>
              <w:spacing w:before="0" w:after="0"/>
              <w:ind w:left="0" w:right="0" w:hanging="290"/>
              <w:jc w:val="left"/>
              <w:rPr/>
            </w:pPr>
            <w:r>
              <w:rPr>
                <w:color w:val="8BA73B"/>
              </w:rPr>
              <w:t>✓</w:t>
            </w:r>
            <w:r>
              <w:rPr>
                <w:rFonts w:ascii="Arial" w:hAnsi="Arial"/>
                <w:sz w:val="20"/>
              </w:rPr>
              <w:t xml:space="preserve">#1 scoring REIT for ESG Disclosures on Bloomberg World Index </w:t>
            </w:r>
          </w:p>
          <w:p>
            <w:pPr>
              <w:pStyle w:val="TableContents"/>
              <w:spacing w:before="0" w:after="0"/>
              <w:ind w:left="0" w:right="0" w:hanging="290"/>
              <w:jc w:val="left"/>
              <w:rPr/>
            </w:pPr>
            <w:r>
              <w:rPr>
                <w:color w:val="8BA73B"/>
              </w:rPr>
              <w:t>✓</w:t>
            </w:r>
            <w:r>
              <w:rPr>
                <w:rFonts w:ascii="Arial" w:hAnsi="Arial"/>
                <w:sz w:val="20"/>
              </w:rPr>
              <w:t>Achieved GRESB Green Star designation as a first-time responder and an “A” rating on GRESB’s Public Disclosure Report</w:t>
            </w:r>
          </w:p>
        </w:tc>
      </w:tr>
      <w:tr>
        <w:trPr/>
        <w:tc>
          <w:tcPr>
            <w:tcW w:w="180" w:type="dxa"/>
            <w:tcBorders>
              <w:bottom w:val="single" w:sz="8" w:space="0" w:color="1A2343"/>
            </w:tcBorders>
            <w:shd w:fill="auto" w:val="clear"/>
            <w:vAlign w:val="center"/>
          </w:tcPr>
          <w:p>
            <w:pPr>
              <w:pStyle w:val="TableContents"/>
              <w:spacing w:before="0" w:after="283"/>
              <w:jc w:val="center"/>
              <w:rPr/>
            </w:pPr>
            <w:r>
              <w:rPr/>
              <w:drawing>
                <wp:inline distT="0" distB="0" distL="0" distR="0">
                  <wp:extent cx="114300" cy="2590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rcRect l="-11382" t="-3888" r="-11382" b="-3888"/>
                          <a:stretch>
                            <a:fillRect/>
                          </a:stretch>
                        </pic:blipFill>
                        <pic:spPr bwMode="auto">
                          <a:xfrm>
                            <a:off x="0" y="0"/>
                            <a:ext cx="114300" cy="259080"/>
                          </a:xfrm>
                          <a:prstGeom prst="rect">
                            <a:avLst/>
                          </a:prstGeom>
                          <a:ln w="635">
                            <a:solidFill>
                              <a:srgbClr val="000000"/>
                            </a:solidFill>
                          </a:ln>
                        </pic:spPr>
                      </pic:pic>
                    </a:graphicData>
                  </a:graphic>
                </wp:inline>
              </w:drawing>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3116"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Completed declassification of the Board with all directors elected for one-year terms for the first time </w:t>
            </w:r>
          </w:p>
          <w:p>
            <w:pPr>
              <w:pStyle w:val="TableContents"/>
              <w:spacing w:before="0" w:after="0"/>
              <w:ind w:left="0" w:right="0" w:hanging="290"/>
              <w:jc w:val="left"/>
              <w:rPr/>
            </w:pPr>
            <w:r>
              <w:rPr>
                <w:color w:val="8BA73B"/>
              </w:rPr>
              <w:t>✓</w:t>
            </w:r>
            <w:r>
              <w:rPr>
                <w:rFonts w:ascii="Arial" w:hAnsi="Arial"/>
                <w:sz w:val="20"/>
              </w:rPr>
              <w:t>Activated existing Pandemic Response Plan to ensure buildings remained accessible to essential workers during the onset of the COVID-19 pandemic</w:t>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3489"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Compensation Committee determined to make no adjustments to preset 2020 performance goals despite Company providing pandemic-related revised guidance </w:t>
            </w:r>
          </w:p>
          <w:p>
            <w:pPr>
              <w:pStyle w:val="TableContents"/>
              <w:spacing w:before="0" w:after="0"/>
              <w:ind w:left="0" w:right="0" w:hanging="290"/>
              <w:jc w:val="left"/>
              <w:rPr/>
            </w:pPr>
            <w:r>
              <w:rPr>
                <w:color w:val="8BA73B"/>
              </w:rPr>
              <w:t>✓</w:t>
            </w:r>
            <w:r>
              <w:rPr>
                <w:rFonts w:ascii="Arial" w:hAnsi="Arial"/>
                <w:sz w:val="20"/>
              </w:rPr>
              <w:t>Compensation Committee utilized discretion to align pay to reflect management’s performance during the pandemic</w:t>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2520"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Launched not-for-profit Food 1st to serve first responders and food-insecure New Yorkers, while revitalizing NYC’s restaurants </w:t>
            </w:r>
          </w:p>
          <w:p>
            <w:pPr>
              <w:pStyle w:val="TableContents"/>
              <w:spacing w:before="0" w:after="0"/>
              <w:ind w:left="0" w:right="0" w:hanging="290"/>
              <w:jc w:val="left"/>
              <w:rPr/>
            </w:pPr>
            <w:r>
              <w:rPr>
                <w:color w:val="8BA73B"/>
              </w:rPr>
              <w:t>✓</w:t>
            </w:r>
            <w:r>
              <w:rPr>
                <w:rFonts w:ascii="Arial" w:hAnsi="Arial"/>
                <w:sz w:val="20"/>
              </w:rPr>
              <w:t xml:space="preserve">Invested $220M in public transit improvements in and around Grand Central Terminal </w:t>
            </w:r>
          </w:p>
          <w:p>
            <w:pPr>
              <w:pStyle w:val="TableContents"/>
              <w:spacing w:before="0" w:after="0"/>
              <w:ind w:left="0" w:right="0" w:hanging="290"/>
              <w:jc w:val="left"/>
              <w:rPr/>
            </w:pPr>
            <w:r>
              <w:rPr>
                <w:color w:val="8BA73B"/>
              </w:rPr>
              <w:t>✓</w:t>
            </w:r>
            <w:r>
              <w:rPr>
                <w:rFonts w:ascii="Arial" w:hAnsi="Arial"/>
                <w:sz w:val="20"/>
              </w:rPr>
              <w:t>Released first formal SASB disclosures</w:t>
            </w:r>
          </w:p>
        </w:tc>
      </w:tr>
      <w:tr>
        <w:trPr/>
        <w:tc>
          <w:tcPr>
            <w:tcW w:w="180" w:type="dxa"/>
            <w:tcBorders>
              <w:bottom w:val="single" w:sz="8" w:space="0" w:color="1A2343"/>
            </w:tcBorders>
            <w:shd w:fill="auto" w:val="clear"/>
            <w:vAlign w:val="center"/>
          </w:tcPr>
          <w:p>
            <w:pPr>
              <w:pStyle w:val="TableContents"/>
              <w:spacing w:before="0" w:after="283"/>
              <w:jc w:val="center"/>
              <w:rPr/>
            </w:pPr>
            <w:r>
              <w:rPr/>
              <w:drawing>
                <wp:inline distT="0" distB="0" distL="0" distR="0">
                  <wp:extent cx="114300" cy="24066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rcRect l="-11382" t="-4185" r="-11382" b="-4185"/>
                          <a:stretch>
                            <a:fillRect/>
                          </a:stretch>
                        </pic:blipFill>
                        <pic:spPr bwMode="auto">
                          <a:xfrm>
                            <a:off x="0" y="0"/>
                            <a:ext cx="114300" cy="240665"/>
                          </a:xfrm>
                          <a:prstGeom prst="rect">
                            <a:avLst/>
                          </a:prstGeom>
                          <a:ln w="635">
                            <a:solidFill>
                              <a:srgbClr val="000000"/>
                            </a:solidFill>
                          </a:ln>
                        </pic:spPr>
                      </pic:pic>
                    </a:graphicData>
                  </a:graphic>
                </wp:inline>
              </w:drawing>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3116"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Committed to enhancing board diversity by 2022 annual meeting</w:t>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3489"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CEO performance incentives realigned with pre-pandemic structure </w:t>
            </w:r>
          </w:p>
          <w:p>
            <w:pPr>
              <w:pStyle w:val="TableContents"/>
              <w:spacing w:before="0" w:after="0"/>
              <w:ind w:left="0" w:right="0" w:hanging="290"/>
              <w:jc w:val="left"/>
              <w:rPr/>
            </w:pPr>
            <w:r>
              <w:rPr>
                <w:color w:val="8BA73B"/>
              </w:rPr>
              <w:t>✓</w:t>
            </w:r>
            <w:r>
              <w:rPr>
                <w:rFonts w:ascii="Arial" w:hAnsi="Arial"/>
                <w:sz w:val="20"/>
              </w:rPr>
              <w:t>Committed to not make discretionary, one-time awards absent extraordinary circumstances with appropriate transparency</w:t>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2520"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Signatory to TCFD and published first formal TCFD report </w:t>
            </w:r>
          </w:p>
          <w:p>
            <w:pPr>
              <w:pStyle w:val="TableContents"/>
              <w:spacing w:before="0" w:after="0"/>
              <w:ind w:left="0" w:right="0" w:hanging="290"/>
              <w:jc w:val="left"/>
              <w:rPr/>
            </w:pPr>
            <w:r>
              <w:rPr>
                <w:color w:val="8BA73B"/>
              </w:rPr>
              <w:t>✓</w:t>
            </w:r>
            <w:r>
              <w:rPr>
                <w:rFonts w:ascii="Arial" w:hAnsi="Arial"/>
                <w:sz w:val="20"/>
              </w:rPr>
              <w:t>Donated $6M to more than 70 not-for-profit organizations</w:t>
            </w:r>
          </w:p>
        </w:tc>
      </w:tr>
      <w:tr>
        <w:trPr/>
        <w:tc>
          <w:tcPr>
            <w:tcW w:w="180" w:type="dxa"/>
            <w:tcBorders>
              <w:bottom w:val="single" w:sz="12" w:space="0" w:color="1A2343"/>
            </w:tcBorders>
            <w:shd w:fill="F3F5E9" w:val="clear"/>
            <w:vAlign w:val="center"/>
          </w:tcPr>
          <w:p>
            <w:pPr>
              <w:pStyle w:val="TableContents"/>
              <w:spacing w:before="0" w:after="283"/>
              <w:jc w:val="center"/>
              <w:rPr/>
            </w:pPr>
            <w:r>
              <w:rPr/>
              <w:drawing>
                <wp:inline distT="0" distB="0" distL="0" distR="0">
                  <wp:extent cx="114300" cy="619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rcRect l="-10687" t="-1628" r="-10687" b="-1628"/>
                          <a:stretch>
                            <a:fillRect/>
                          </a:stretch>
                        </pic:blipFill>
                        <pic:spPr bwMode="auto">
                          <a:xfrm>
                            <a:off x="0" y="0"/>
                            <a:ext cx="114300" cy="619125"/>
                          </a:xfrm>
                          <a:prstGeom prst="rect">
                            <a:avLst/>
                          </a:prstGeom>
                          <a:ln w="635">
                            <a:solidFill>
                              <a:srgbClr val="000000"/>
                            </a:solidFill>
                          </a:ln>
                        </pic:spPr>
                      </pic:pic>
                    </a:graphicData>
                  </a:graphic>
                </wp:inline>
              </w:drawing>
            </w:r>
          </w:p>
        </w:tc>
        <w:tc>
          <w:tcPr>
            <w:tcW w:w="300" w:type="dxa"/>
            <w:tcBorders>
              <w:bottom w:val="single" w:sz="12" w:space="0" w:color="1A2343"/>
            </w:tcBorders>
            <w:shd w:fill="F3F5E9" w:val="clear"/>
            <w:vAlign w:val="center"/>
          </w:tcPr>
          <w:p>
            <w:pPr>
              <w:pStyle w:val="TableContents"/>
              <w:spacing w:before="0" w:after="283"/>
              <w:rPr>
                <w:sz w:val="4"/>
                <w:szCs w:val="4"/>
              </w:rPr>
            </w:pPr>
            <w:r>
              <w:rPr>
                <w:sz w:val="4"/>
                <w:szCs w:val="4"/>
              </w:rPr>
            </w:r>
          </w:p>
        </w:tc>
        <w:tc>
          <w:tcPr>
            <w:tcW w:w="3116" w:type="dxa"/>
            <w:tcBorders>
              <w:bottom w:val="single" w:sz="12" w:space="0" w:color="1A2343"/>
            </w:tcBorders>
            <w:shd w:fill="F3F5E9" w:val="clear"/>
            <w:vAlign w:val="center"/>
          </w:tcPr>
          <w:p>
            <w:pPr>
              <w:pStyle w:val="TableContents"/>
              <w:spacing w:before="0" w:after="0"/>
              <w:ind w:left="0" w:right="0" w:hanging="290"/>
              <w:jc w:val="left"/>
              <w:rPr/>
            </w:pPr>
            <w:r>
              <w:rPr>
                <w:color w:val="8BA73B"/>
              </w:rPr>
              <w:t>✓</w:t>
            </w:r>
            <w:r>
              <w:rPr>
                <w:rFonts w:ascii="Arial" w:hAnsi="Arial"/>
                <w:sz w:val="20"/>
              </w:rPr>
              <w:t>Appointed Carol Brown, enhancing Board diversity</w:t>
            </w:r>
          </w:p>
          <w:p>
            <w:pPr>
              <w:pStyle w:val="TableContents"/>
              <w:spacing w:before="0" w:after="0"/>
              <w:ind w:left="0" w:right="0" w:hanging="290"/>
              <w:jc w:val="left"/>
              <w:rPr/>
            </w:pPr>
            <w:r>
              <w:rPr>
                <w:color w:val="8BA73B"/>
              </w:rPr>
              <w:t>✓</w:t>
            </w:r>
            <w:r>
              <w:rPr>
                <w:rFonts w:ascii="Arial" w:hAnsi="Arial"/>
                <w:sz w:val="20"/>
              </w:rPr>
              <w:t>Disclosed board succession planning related to John Levy’s retirement and termination of Chairman Emeritus’ retainer</w:t>
            </w:r>
          </w:p>
          <w:p>
            <w:pPr>
              <w:pStyle w:val="TableContents"/>
              <w:spacing w:before="0" w:after="0"/>
              <w:ind w:left="0" w:right="0" w:hanging="290"/>
              <w:jc w:val="left"/>
              <w:rPr/>
            </w:pPr>
            <w:r>
              <w:rPr>
                <w:color w:val="8BA73B"/>
              </w:rPr>
              <w:t>✓</w:t>
            </w:r>
            <w:r>
              <w:rPr>
                <w:rFonts w:ascii="Arial" w:hAnsi="Arial"/>
                <w:sz w:val="20"/>
              </w:rPr>
              <w:t>Disclosed director-by-director skills matrix</w:t>
            </w:r>
          </w:p>
        </w:tc>
        <w:tc>
          <w:tcPr>
            <w:tcW w:w="300" w:type="dxa"/>
            <w:tcBorders>
              <w:bottom w:val="single" w:sz="12" w:space="0" w:color="1A2343"/>
            </w:tcBorders>
            <w:shd w:fill="F3F5E9" w:val="clear"/>
            <w:vAlign w:val="center"/>
          </w:tcPr>
          <w:p>
            <w:pPr>
              <w:pStyle w:val="TableContents"/>
              <w:spacing w:before="0" w:after="283"/>
              <w:rPr>
                <w:sz w:val="4"/>
                <w:szCs w:val="4"/>
              </w:rPr>
            </w:pPr>
            <w:r>
              <w:rPr>
                <w:sz w:val="4"/>
                <w:szCs w:val="4"/>
              </w:rPr>
            </w:r>
          </w:p>
        </w:tc>
        <w:tc>
          <w:tcPr>
            <w:tcW w:w="3489" w:type="dxa"/>
            <w:tcBorders>
              <w:bottom w:val="single" w:sz="12" w:space="0" w:color="1A2343"/>
            </w:tcBorders>
            <w:shd w:fill="F3F5E9" w:val="clear"/>
            <w:vAlign w:val="center"/>
          </w:tcPr>
          <w:p>
            <w:pPr>
              <w:pStyle w:val="TableContents"/>
              <w:spacing w:before="0" w:after="0"/>
              <w:ind w:left="0" w:right="0" w:hanging="290"/>
              <w:jc w:val="left"/>
              <w:rPr/>
            </w:pPr>
            <w:r>
              <w:rPr>
                <w:color w:val="8BA73B"/>
              </w:rPr>
              <w:t>✓</w:t>
            </w:r>
            <w:r>
              <w:rPr>
                <w:rFonts w:ascii="Arial" w:hAnsi="Arial"/>
                <w:sz w:val="20"/>
              </w:rPr>
              <w:t>Regarding 2023 pay, committed to reduce discretion in bonuses for all NEOs</w:t>
            </w:r>
          </w:p>
          <w:p>
            <w:pPr>
              <w:pStyle w:val="TableContents"/>
              <w:spacing w:before="0" w:after="0"/>
              <w:ind w:left="0" w:right="0" w:hanging="290"/>
              <w:jc w:val="left"/>
              <w:rPr/>
            </w:pPr>
            <w:r>
              <w:rPr>
                <w:color w:val="8BA73B"/>
              </w:rPr>
              <w:t>✓</w:t>
            </w:r>
            <w:r>
              <w:rPr>
                <w:rFonts w:ascii="Arial" w:hAnsi="Arial"/>
                <w:sz w:val="20"/>
              </w:rPr>
              <w:t>Include a vesting cap for performance-based equity awards (in the event of negative multi-year TSR)</w:t>
            </w:r>
          </w:p>
          <w:p>
            <w:pPr>
              <w:pStyle w:val="TableContents"/>
              <w:spacing w:before="0" w:after="0"/>
              <w:ind w:left="0" w:right="0" w:hanging="290"/>
              <w:jc w:val="left"/>
              <w:rPr/>
            </w:pPr>
            <w:r>
              <w:rPr>
                <w:color w:val="8BA73B"/>
              </w:rPr>
              <w:t>✓</w:t>
            </w:r>
            <w:r>
              <w:rPr>
                <w:rFonts w:ascii="Arial" w:hAnsi="Arial"/>
                <w:sz w:val="20"/>
              </w:rPr>
              <w:t>Eliminate automobile allowances</w:t>
            </w:r>
          </w:p>
          <w:p>
            <w:pPr>
              <w:pStyle w:val="TableContents"/>
              <w:spacing w:before="0" w:after="0"/>
              <w:ind w:left="0" w:right="0" w:hanging="290"/>
              <w:jc w:val="left"/>
              <w:rPr/>
            </w:pPr>
            <w:r>
              <w:rPr>
                <w:color w:val="8BA73B"/>
              </w:rPr>
              <w:t>✓</w:t>
            </w:r>
            <w:r>
              <w:rPr>
                <w:rFonts w:ascii="Arial" w:hAnsi="Arial"/>
                <w:sz w:val="20"/>
              </w:rPr>
              <w:t>Intend to eliminate short-term measurement periods from long-term performance-based equity awards, in future employment agreements with the Company’s CEO and President</w:t>
            </w:r>
          </w:p>
        </w:tc>
        <w:tc>
          <w:tcPr>
            <w:tcW w:w="300" w:type="dxa"/>
            <w:tcBorders>
              <w:bottom w:val="single" w:sz="12" w:space="0" w:color="1A2343"/>
            </w:tcBorders>
            <w:shd w:fill="F3F5E9" w:val="clear"/>
            <w:vAlign w:val="center"/>
          </w:tcPr>
          <w:p>
            <w:pPr>
              <w:pStyle w:val="TableContents"/>
              <w:spacing w:before="0" w:after="283"/>
              <w:rPr>
                <w:sz w:val="4"/>
                <w:szCs w:val="4"/>
              </w:rPr>
            </w:pPr>
            <w:r>
              <w:rPr>
                <w:sz w:val="4"/>
                <w:szCs w:val="4"/>
              </w:rPr>
            </w:r>
          </w:p>
        </w:tc>
        <w:tc>
          <w:tcPr>
            <w:tcW w:w="2520" w:type="dxa"/>
            <w:tcBorders>
              <w:bottom w:val="single" w:sz="12" w:space="0" w:color="1A2343"/>
            </w:tcBorders>
            <w:shd w:fill="F3F5E9" w:val="clear"/>
            <w:vAlign w:val="center"/>
          </w:tcPr>
          <w:p>
            <w:pPr>
              <w:pStyle w:val="TableContents"/>
              <w:spacing w:before="0" w:after="0"/>
              <w:ind w:left="0" w:right="0" w:hanging="290"/>
              <w:jc w:val="left"/>
              <w:rPr/>
            </w:pPr>
            <w:r>
              <w:rPr>
                <w:color w:val="8BA73B"/>
              </w:rPr>
              <w:t>✓</w:t>
            </w:r>
            <w:r>
              <w:rPr>
                <w:rFonts w:ascii="Arial" w:hAnsi="Arial"/>
                <w:sz w:val="20"/>
              </w:rPr>
              <w:t>Developed and validated science-based emission reduction for scope 1 and 2 targets in line with 1.5°C pathway</w:t>
            </w:r>
          </w:p>
          <w:p>
            <w:pPr>
              <w:pStyle w:val="TableContents"/>
              <w:spacing w:before="0" w:after="0"/>
              <w:ind w:left="0" w:right="0" w:hanging="290"/>
              <w:jc w:val="left"/>
              <w:rPr/>
            </w:pPr>
            <w:r>
              <w:rPr>
                <w:color w:val="8BA73B"/>
              </w:rPr>
              <w:t>✓</w:t>
            </w:r>
            <w:r>
              <w:rPr>
                <w:rFonts w:ascii="Arial" w:hAnsi="Arial"/>
                <w:sz w:val="20"/>
              </w:rPr>
              <w:t>Expanded scope 3 disclosures and committed to reduction through SBTi</w:t>
            </w:r>
          </w:p>
          <w:p>
            <w:pPr>
              <w:pStyle w:val="TableContents"/>
              <w:spacing w:before="0" w:after="0"/>
              <w:ind w:left="0" w:right="0" w:hanging="290"/>
              <w:jc w:val="left"/>
              <w:rPr/>
            </w:pPr>
            <w:r>
              <w:rPr>
                <w:color w:val="8BA73B"/>
              </w:rPr>
              <w:t>✓</w:t>
            </w:r>
            <w:r>
              <w:rPr>
                <w:rFonts w:ascii="Arial" w:hAnsi="Arial"/>
                <w:sz w:val="20"/>
              </w:rPr>
              <w:t xml:space="preserve">Increased ethnic/racial diversity of all newly hired employees in 2022 to 76% </w:t>
            </w:r>
          </w:p>
          <w:p>
            <w:pPr>
              <w:pStyle w:val="TableContents"/>
              <w:spacing w:before="0" w:after="0"/>
              <w:ind w:left="0" w:right="0" w:hanging="290"/>
              <w:jc w:val="left"/>
              <w:rPr/>
            </w:pPr>
            <w:r>
              <w:rPr>
                <w:color w:val="8BA73B"/>
              </w:rPr>
              <w:t>✓</w:t>
            </w:r>
            <w:r>
              <w:rPr>
                <w:rFonts w:ascii="Arial" w:hAnsi="Arial"/>
                <w:sz w:val="20"/>
              </w:rPr>
              <w:t>Committed to implementing diversity focused recruitment platform</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i w:val="false"/>
            <w:caps w:val="false"/>
            <w:smallCaps w:val="false"/>
            <w:sz w:val="20"/>
          </w:rPr>
          <w:t>Table of Contents</w:t>
        </w:r>
      </w:hyperlink>
    </w:p>
    <w:tbl>
      <w:tblPr>
        <w:tblW w:w="4075" w:type="dxa"/>
        <w:jc w:val="left"/>
        <w:tblInd w:w="0" w:type="dxa"/>
        <w:tblCellMar>
          <w:top w:w="0" w:type="dxa"/>
          <w:left w:w="0" w:type="dxa"/>
          <w:bottom w:w="0" w:type="dxa"/>
          <w:right w:w="0" w:type="dxa"/>
        </w:tblCellMar>
      </w:tblPr>
      <w:tblGrid>
        <w:gridCol w:w="155"/>
        <w:gridCol w:w="3920"/>
      </w:tblGrid>
      <w:tr>
        <w:trPr/>
        <w:tc>
          <w:tcPr>
            <w:tcW w:w="155"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2</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rPr>
          <w:rFonts w:ascii="Arial" w:hAnsi="Arial"/>
          <w:b/>
          <w:i w:val="false"/>
          <w:caps w:val="false"/>
          <w:smallCaps w:val="false"/>
          <w:color w:val="111841"/>
          <w:sz w:val="42"/>
        </w:rPr>
      </w:pPr>
      <w:bookmarkStart w:id="5" w:name="pg2023PROXYSTATEMENTHIGHLIGHTS"/>
      <w:bookmarkEnd w:id="5"/>
      <w:r>
        <w:rPr>
          <w:rFonts w:ascii="Arial" w:hAnsi="Arial"/>
          <w:b/>
          <w:i w:val="false"/>
          <w:caps w:val="false"/>
          <w:smallCaps w:val="false"/>
          <w:color w:val="111841"/>
          <w:sz w:val="42"/>
        </w:rPr>
        <w:t>2023 PROXY STATEMENT HIGHLIGHTS</w:t>
      </w:r>
    </w:p>
    <w:p>
      <w:pPr>
        <w:pStyle w:val="TextBody"/>
        <w:rPr>
          <w:rFonts w:ascii="Arial" w:hAnsi="Arial"/>
          <w:b/>
          <w:i w:val="false"/>
          <w:caps w:val="false"/>
          <w:smallCaps w:val="false"/>
          <w:color w:val="8DAD3C"/>
          <w:sz w:val="32"/>
        </w:rPr>
      </w:pPr>
      <w:r>
        <w:rPr>
          <w:rFonts w:ascii="Arial" w:hAnsi="Arial"/>
          <w:b/>
          <w:i w:val="false"/>
          <w:caps w:val="false"/>
          <w:smallCaps w:val="false"/>
          <w:color w:val="8DAD3C"/>
          <w:sz w:val="32"/>
        </w:rPr>
        <w:t>ROADMAP OF VOTING MATTERS</w:t>
      </w:r>
    </w:p>
    <w:tbl>
      <w:tblPr>
        <w:tblW w:w="10205" w:type="dxa"/>
        <w:jc w:val="left"/>
        <w:tblInd w:w="0" w:type="dxa"/>
        <w:tblCellMar>
          <w:top w:w="100" w:type="dxa"/>
          <w:left w:w="0" w:type="dxa"/>
          <w:bottom w:w="0" w:type="dxa"/>
          <w:right w:w="0" w:type="dxa"/>
        </w:tblCellMar>
      </w:tblPr>
      <w:tblGrid>
        <w:gridCol w:w="235"/>
        <w:gridCol w:w="2663"/>
        <w:gridCol w:w="2630"/>
        <w:gridCol w:w="2717"/>
        <w:gridCol w:w="1960"/>
      </w:tblGrid>
      <w:tr>
        <w:trPr/>
        <w:tc>
          <w:tcPr>
            <w:tcW w:w="235" w:type="dxa"/>
            <w:vMerge w:val="restart"/>
            <w:tcBorders>
              <w:top w:val="single" w:sz="2" w:space="0" w:color="8DAD3C"/>
            </w:tcBorders>
            <w:shd w:fill="auto" w:val="clear"/>
            <w:vAlign w:val="center"/>
          </w:tcPr>
          <w:p>
            <w:pPr>
              <w:pStyle w:val="TableContents"/>
              <w:spacing w:before="0" w:after="0"/>
              <w:ind w:left="200" w:right="0" w:hanging="200"/>
              <w:jc w:val="left"/>
              <w:rPr>
                <w:caps w:val="false"/>
                <w:smallCaps w:val="false"/>
                <w:color w:val="FFFFFF"/>
              </w:rPr>
            </w:pPr>
            <w:r>
              <w:rPr>
                <w:caps w:val="false"/>
                <w:smallCaps w:val="false"/>
                <w:color w:val="FFFFFF"/>
              </w:rPr>
              <w:drawing>
                <wp:inline distT="0" distB="0" distL="0" distR="0">
                  <wp:extent cx="238125" cy="23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8125" cy="238125"/>
                          </a:xfrm>
                          <a:prstGeom prst="rect">
                            <a:avLst/>
                          </a:prstGeom>
                        </pic:spPr>
                      </pic:pic>
                    </a:graphicData>
                  </a:graphic>
                </wp:inline>
              </w:drawing>
            </w:r>
          </w:p>
          <w:p>
            <w:pPr>
              <w:pStyle w:val="TableContents"/>
              <w:spacing w:before="0" w:after="0"/>
              <w:ind w:left="200" w:right="0" w:hanging="200"/>
              <w:jc w:val="left"/>
              <w:rPr>
                <w:caps w:val="false"/>
                <w:smallCaps w:val="false"/>
                <w:color w:val="FFFFFF"/>
              </w:rPr>
            </w:pPr>
            <w:r>
              <w:rPr>
                <w:caps w:val="false"/>
                <w:smallCaps w:val="false"/>
                <w:color w:val="FFFFFF"/>
              </w:rPr>
              <w:t> </w:t>
            </w:r>
          </w:p>
        </w:tc>
        <w:tc>
          <w:tcPr>
            <w:tcW w:w="5293" w:type="dxa"/>
            <w:gridSpan w:val="2"/>
            <w:tcBorders>
              <w:top w:val="single" w:sz="2" w:space="0" w:color="8DAD3C"/>
            </w:tcBorders>
            <w:shd w:fill="auto" w:val="clear"/>
            <w:vAlign w:val="center"/>
          </w:tcPr>
          <w:p>
            <w:pPr>
              <w:pStyle w:val="TableContents"/>
              <w:spacing w:before="0" w:after="283"/>
              <w:jc w:val="both"/>
              <w:rPr>
                <w:rFonts w:ascii="Arial" w:hAnsi="Arial"/>
                <w:b/>
                <w:i w:val="false"/>
                <w:caps w:val="false"/>
                <w:smallCaps w:val="false"/>
                <w:color w:val="111841"/>
                <w:sz w:val="26"/>
              </w:rPr>
            </w:pPr>
            <w:r>
              <w:rPr>
                <w:rFonts w:ascii="Arial" w:hAnsi="Arial"/>
                <w:b/>
                <w:i w:val="false"/>
                <w:caps w:val="false"/>
                <w:smallCaps w:val="false"/>
                <w:color w:val="111841"/>
                <w:sz w:val="26"/>
              </w:rPr>
              <w:t>Election of Directors</w:t>
            </w:r>
          </w:p>
        </w:tc>
        <w:tc>
          <w:tcPr>
            <w:tcW w:w="2717" w:type="dxa"/>
            <w:tcBorders>
              <w:top w:val="single" w:sz="2" w:space="0" w:color="8DAD3C"/>
            </w:tcBorders>
            <w:shd w:fill="auto" w:val="clear"/>
            <w:vAlign w:val="center"/>
          </w:tcPr>
          <w:p>
            <w:pPr>
              <w:pStyle w:val="TableContents"/>
              <w:spacing w:before="0" w:after="283"/>
              <w:jc w:val="both"/>
              <w:rPr>
                <w:caps w:val="false"/>
                <w:smallCaps w:val="false"/>
              </w:rPr>
            </w:pPr>
            <w:r>
              <w:rPr>
                <w:caps w:val="false"/>
                <w:smallCaps w:val="false"/>
              </w:rPr>
              <w:t> </w:t>
            </w:r>
          </w:p>
        </w:tc>
        <w:tc>
          <w:tcPr>
            <w:tcW w:w="1960" w:type="dxa"/>
            <w:tcBorders>
              <w:top w:val="single" w:sz="2" w:space="0" w:color="8DAD3C"/>
            </w:tcBorders>
            <w:shd w:fill="auto" w:val="clear"/>
            <w:vAlign w:val="center"/>
          </w:tcPr>
          <w:p>
            <w:pPr>
              <w:pStyle w:val="TableContents"/>
              <w:spacing w:before="0" w:after="283"/>
              <w:ind w:left="0" w:right="0" w:hanging="240"/>
              <w:rPr>
                <w:caps w:val="false"/>
                <w:smallCaps w:val="false"/>
              </w:rPr>
            </w:pPr>
            <w:r>
              <w:rPr>
                <w:caps w:val="false"/>
                <w:smallCaps w:val="false"/>
              </w:rPr>
              <w:t> </w:t>
            </w:r>
          </w:p>
        </w:tc>
      </w:tr>
      <w:tr>
        <w:trPr/>
        <w:tc>
          <w:tcPr>
            <w:tcW w:w="235" w:type="dxa"/>
            <w:vMerge w:val="continue"/>
            <w:tcBorders>
              <w:top w:val="single" w:sz="2" w:space="0" w:color="8DAD3C"/>
            </w:tcBorders>
            <w:shd w:fill="auto" w:val="clear"/>
            <w:vAlign w:val="center"/>
          </w:tcPr>
          <w:p>
            <w:pPr>
              <w:pStyle w:val="Normal"/>
              <w:rPr/>
            </w:pPr>
            <w:r>
              <w:rPr/>
            </w:r>
          </w:p>
        </w:tc>
        <w:tc>
          <w:tcPr>
            <w:tcW w:w="8010" w:type="dxa"/>
            <w:gridSpan w:val="3"/>
            <w:tcBorders/>
            <w:shd w:fill="auto" w:val="clear"/>
            <w:tcMar>
              <w:top w:w="0" w:type="dxa"/>
            </w:tcMar>
            <w:vAlign w:val="center"/>
          </w:tcPr>
          <w:p>
            <w:pPr>
              <w:pStyle w:val="TableContents"/>
              <w:spacing w:before="0" w:after="283"/>
              <w:rPr>
                <w:caps w:val="false"/>
                <w:smallCaps w:val="false"/>
              </w:rPr>
            </w:pPr>
            <w:r>
              <w:rPr>
                <w:caps w:val="false"/>
                <w:smallCaps w:val="false"/>
              </w:rPr>
              <w:t>●   </w:t>
            </w:r>
            <w:r>
              <w:rPr>
                <w:rFonts w:ascii="Arial" w:hAnsi="Arial"/>
                <w:b w:val="false"/>
                <w:i w:val="false"/>
                <w:caps w:val="false"/>
                <w:smallCaps w:val="false"/>
                <w:sz w:val="18"/>
              </w:rPr>
              <w:t>The Board, upon the recommendation of the Nominating and Corporate Governance Committee, has nominated nine directors for re-election to serve until the 2024 annual meeting of stockholders and until their successors are duly elected and qualify.</w:t>
            </w:r>
          </w:p>
        </w:tc>
        <w:tc>
          <w:tcPr>
            <w:tcW w:w="1960" w:type="dxa"/>
            <w:vMerge w:val="restart"/>
            <w:tcBorders/>
            <w:shd w:fill="auto" w:val="clear"/>
            <w:tcMar>
              <w:top w:w="0" w:type="dxa"/>
            </w:tcMar>
            <w:vAlign w:val="center"/>
          </w:tcPr>
          <w:p>
            <w:pPr>
              <w:pStyle w:val="TableContents"/>
              <w:spacing w:before="0" w:after="0"/>
              <w:ind w:left="0" w:right="0" w:hanging="0"/>
              <w:rPr>
                <w:caps w:val="false"/>
                <w:smallCaps w:val="false"/>
              </w:rPr>
            </w:pPr>
            <w:r>
              <w:rPr>
                <w:caps w:val="false"/>
                <w:smallCaps w:val="false"/>
              </w:rPr>
              <w:drawing>
                <wp:inline distT="0" distB="0" distL="0" distR="0">
                  <wp:extent cx="476250" cy="485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76250" cy="485775"/>
                          </a:xfrm>
                          <a:prstGeom prst="rect">
                            <a:avLst/>
                          </a:prstGeom>
                        </pic:spPr>
                      </pic:pic>
                    </a:graphicData>
                  </a:graphic>
                </wp:inline>
              </w:drawing>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Arial" w:hAnsi="Arial"/>
                <w:b w:val="false"/>
                <w:i w:val="false"/>
                <w:caps w:val="false"/>
                <w:smallCaps w:val="false"/>
                <w:sz w:val="18"/>
              </w:rPr>
            </w:pPr>
            <w:r>
              <w:rPr>
                <w:rFonts w:ascii="Arial" w:hAnsi="Arial"/>
                <w:b/>
                <w:i w:val="false"/>
                <w:caps w:val="false"/>
                <w:smallCaps w:val="false"/>
                <w:sz w:val="18"/>
              </w:rPr>
              <w:t xml:space="preserve">The Board recommends a vote </w:t>
            </w:r>
            <w:r>
              <w:rPr>
                <w:rFonts w:ascii="Arial" w:hAnsi="Arial"/>
                <w:b/>
                <w:i w:val="false"/>
                <w:caps w:val="false"/>
                <w:smallCaps w:val="false"/>
                <w:color w:val="111841"/>
                <w:sz w:val="24"/>
              </w:rPr>
              <w:t xml:space="preserve">FOR </w:t>
            </w:r>
            <w:r>
              <w:rPr>
                <w:rFonts w:ascii="Arial" w:hAnsi="Arial"/>
                <w:b/>
                <w:i w:val="false"/>
                <w:caps w:val="false"/>
                <w:smallCaps w:val="false"/>
                <w:sz w:val="18"/>
              </w:rPr>
              <w:t xml:space="preserve">each Nominee. </w:t>
              <w:br/>
            </w:r>
            <w:r>
              <w:rPr>
                <w:rFonts w:ascii="Arial" w:hAnsi="Arial"/>
                <w:b/>
                <w:i w:val="false"/>
                <w:caps w:val="false"/>
                <w:smallCaps w:val="false"/>
                <w:color w:val="111841"/>
                <w:sz w:val="18"/>
              </w:rPr>
              <w:t>SEE PAGE 9</w:t>
            </w:r>
            <w:r>
              <w:rPr>
                <w:rFonts w:ascii="Arial" w:hAnsi="Arial"/>
                <w:b w:val="false"/>
                <w:i w:val="false"/>
                <w:caps w:val="false"/>
                <w:smallCaps w:val="false"/>
                <w:color w:val="111841"/>
                <w:sz w:val="18"/>
              </w:rPr>
              <w:t xml:space="preserve"> ►</w:t>
            </w:r>
          </w:p>
          <w:p>
            <w:pPr>
              <w:pStyle w:val="TableContents"/>
              <w:spacing w:before="0" w:after="0"/>
              <w:ind w:left="0" w:right="0" w:hanging="0"/>
              <w:rPr>
                <w:caps w:val="false"/>
                <w:smallCaps w:val="false"/>
              </w:rPr>
            </w:pPr>
            <w:r>
              <w:rPr>
                <w:caps w:val="false"/>
                <w:smallCaps w:val="false"/>
              </w:rPr>
              <w:t> </w:t>
            </w:r>
          </w:p>
        </w:tc>
      </w:tr>
      <w:tr>
        <w:trPr/>
        <w:tc>
          <w:tcPr>
            <w:tcW w:w="235" w:type="dxa"/>
            <w:vMerge w:val="continue"/>
            <w:tcBorders>
              <w:top w:val="single" w:sz="2" w:space="0" w:color="8DAD3C"/>
            </w:tcBorders>
            <w:shd w:fill="auto" w:val="clear"/>
            <w:vAlign w:val="center"/>
          </w:tcPr>
          <w:p>
            <w:pPr>
              <w:pStyle w:val="Normal"/>
              <w:rPr/>
            </w:pPr>
            <w:r>
              <w:rPr/>
            </w:r>
          </w:p>
        </w:tc>
        <w:tc>
          <w:tcPr>
            <w:tcW w:w="2663" w:type="dxa"/>
            <w:tcBorders/>
            <w:shd w:fill="auto" w:val="clear"/>
            <w:tcMar>
              <w:top w:w="0" w:type="dxa"/>
            </w:tcMar>
            <w:vAlign w:val="center"/>
          </w:tcPr>
          <w:p>
            <w:pPr>
              <w:pStyle w:val="TableContents"/>
              <w:spacing w:before="0" w:after="283"/>
              <w:jc w:val="both"/>
              <w:rPr/>
            </w:pPr>
            <w:r>
              <w:rPr/>
              <w:t> </w:t>
            </w:r>
          </w:p>
        </w:tc>
        <w:tc>
          <w:tcPr>
            <w:tcW w:w="2630" w:type="dxa"/>
            <w:tcBorders/>
            <w:shd w:fill="auto" w:val="clear"/>
            <w:tcMar>
              <w:top w:w="0" w:type="dxa"/>
            </w:tcMar>
            <w:vAlign w:val="center"/>
          </w:tcPr>
          <w:p>
            <w:pPr>
              <w:pStyle w:val="TableContents"/>
              <w:spacing w:before="0" w:after="283"/>
              <w:jc w:val="both"/>
              <w:rPr/>
            </w:pPr>
            <w:r>
              <w:rPr/>
              <w:t> </w:t>
            </w:r>
          </w:p>
        </w:tc>
        <w:tc>
          <w:tcPr>
            <w:tcW w:w="2717" w:type="dxa"/>
            <w:tcBorders/>
            <w:shd w:fill="auto" w:val="clear"/>
            <w:tcMar>
              <w:top w:w="0" w:type="dxa"/>
            </w:tcMar>
            <w:vAlign w:val="center"/>
          </w:tcPr>
          <w:p>
            <w:pPr>
              <w:pStyle w:val="TableContents"/>
              <w:spacing w:before="0" w:after="283"/>
              <w:jc w:val="both"/>
              <w:rPr/>
            </w:pPr>
            <w:r>
              <w:rPr/>
              <w:t> </w:t>
            </w:r>
          </w:p>
        </w:tc>
        <w:tc>
          <w:tcPr>
            <w:tcW w:w="1960" w:type="dxa"/>
            <w:vMerge w:val="continue"/>
            <w:tcBorders/>
            <w:shd w:fill="auto" w:val="clear"/>
            <w:tcMar>
              <w:top w:w="0" w:type="dxa"/>
            </w:tcMar>
            <w:vAlign w:val="center"/>
          </w:tcPr>
          <w:p>
            <w:pPr>
              <w:pStyle w:val="Normal"/>
              <w:rPr/>
            </w:pPr>
            <w:r>
              <w:rPr/>
            </w:r>
          </w:p>
        </w:tc>
      </w:tr>
      <w:tr>
        <w:trPr/>
        <w:tc>
          <w:tcPr>
            <w:tcW w:w="235" w:type="dxa"/>
            <w:vMerge w:val="continue"/>
            <w:tcBorders>
              <w:top w:val="single" w:sz="2" w:space="0" w:color="8DAD3C"/>
            </w:tcBorders>
            <w:shd w:fill="auto" w:val="clear"/>
            <w:vAlign w:val="center"/>
          </w:tcPr>
          <w:p>
            <w:pPr>
              <w:pStyle w:val="Normal"/>
              <w:rPr/>
            </w:pPr>
            <w:r>
              <w:rPr/>
            </w:r>
          </w:p>
        </w:tc>
        <w:tc>
          <w:tcPr>
            <w:tcW w:w="2663" w:type="dxa"/>
            <w:tcBorders/>
            <w:shd w:fill="auto" w:val="clear"/>
            <w:tcMar>
              <w:top w:w="0" w:type="dxa"/>
            </w:tcMar>
            <w:vAlign w:val="center"/>
          </w:tcPr>
          <w:p>
            <w:pPr>
              <w:pStyle w:val="TableContents"/>
              <w:spacing w:before="0" w:after="283"/>
              <w:jc w:val="both"/>
              <w:rPr>
                <w:rFonts w:ascii="Arial" w:hAnsi="Arial"/>
                <w:b/>
                <w:i w:val="false"/>
                <w:caps w:val="false"/>
                <w:smallCaps w:val="false"/>
                <w:color w:val="111841"/>
                <w:sz w:val="18"/>
              </w:rPr>
            </w:pPr>
            <w:r>
              <w:rPr>
                <w:rFonts w:ascii="Arial" w:hAnsi="Arial"/>
                <w:b/>
                <w:i w:val="false"/>
                <w:caps w:val="false"/>
                <w:smallCaps w:val="false"/>
                <w:color w:val="111841"/>
                <w:sz w:val="18"/>
              </w:rPr>
              <w:t>John H. Alschuler</w:t>
            </w:r>
          </w:p>
        </w:tc>
        <w:tc>
          <w:tcPr>
            <w:tcW w:w="2630" w:type="dxa"/>
            <w:tcBorders/>
            <w:shd w:fill="auto" w:val="clear"/>
            <w:tcMar>
              <w:top w:w="0" w:type="dxa"/>
            </w:tcMar>
            <w:vAlign w:val="center"/>
          </w:tcPr>
          <w:p>
            <w:pPr>
              <w:pStyle w:val="TableContents"/>
              <w:spacing w:before="0" w:after="283"/>
              <w:jc w:val="both"/>
              <w:rPr>
                <w:rFonts w:ascii="Arial" w:hAnsi="Arial"/>
                <w:b/>
                <w:i w:val="false"/>
                <w:caps w:val="false"/>
                <w:smallCaps w:val="false"/>
                <w:color w:val="111841"/>
                <w:sz w:val="18"/>
              </w:rPr>
            </w:pPr>
            <w:r>
              <w:rPr>
                <w:rFonts w:ascii="Arial" w:hAnsi="Arial"/>
                <w:b/>
                <w:i w:val="false"/>
                <w:caps w:val="false"/>
                <w:smallCaps w:val="false"/>
                <w:color w:val="111841"/>
                <w:sz w:val="18"/>
              </w:rPr>
              <w:t>Edwin T. Burton, III</w:t>
            </w:r>
          </w:p>
        </w:tc>
        <w:tc>
          <w:tcPr>
            <w:tcW w:w="2717" w:type="dxa"/>
            <w:tcBorders/>
            <w:shd w:fill="auto" w:val="clear"/>
            <w:tcMar>
              <w:top w:w="0" w:type="dxa"/>
            </w:tcMar>
            <w:vAlign w:val="center"/>
          </w:tcPr>
          <w:p>
            <w:pPr>
              <w:pStyle w:val="TableContents"/>
              <w:spacing w:before="0" w:after="283"/>
              <w:jc w:val="both"/>
              <w:rPr>
                <w:rFonts w:ascii="Arial" w:hAnsi="Arial"/>
                <w:b/>
                <w:i w:val="false"/>
                <w:caps w:val="false"/>
                <w:smallCaps w:val="false"/>
                <w:color w:val="111841"/>
                <w:sz w:val="18"/>
              </w:rPr>
            </w:pPr>
            <w:r>
              <w:rPr>
                <w:rFonts w:ascii="Arial" w:hAnsi="Arial"/>
                <w:b/>
                <w:i w:val="false"/>
                <w:caps w:val="false"/>
                <w:smallCaps w:val="false"/>
                <w:color w:val="111841"/>
                <w:sz w:val="18"/>
              </w:rPr>
              <w:t>Craig M. Hatkoff</w:t>
            </w:r>
          </w:p>
        </w:tc>
        <w:tc>
          <w:tcPr>
            <w:tcW w:w="1960" w:type="dxa"/>
            <w:vMerge w:val="continue"/>
            <w:tcBorders/>
            <w:shd w:fill="auto" w:val="clear"/>
            <w:tcMar>
              <w:top w:w="0" w:type="dxa"/>
            </w:tcMar>
            <w:vAlign w:val="center"/>
          </w:tcPr>
          <w:p>
            <w:pPr>
              <w:pStyle w:val="Normal"/>
              <w:rPr/>
            </w:pPr>
            <w:r>
              <w:rPr/>
            </w:r>
          </w:p>
        </w:tc>
      </w:tr>
      <w:tr>
        <w:trPr/>
        <w:tc>
          <w:tcPr>
            <w:tcW w:w="235" w:type="dxa"/>
            <w:vMerge w:val="continue"/>
            <w:tcBorders>
              <w:top w:val="single" w:sz="2" w:space="0" w:color="8DAD3C"/>
            </w:tcBorders>
            <w:shd w:fill="auto" w:val="clear"/>
            <w:vAlign w:val="center"/>
          </w:tcPr>
          <w:p>
            <w:pPr>
              <w:pStyle w:val="Normal"/>
              <w:rPr/>
            </w:pPr>
            <w:r>
              <w:rPr/>
            </w:r>
          </w:p>
        </w:tc>
        <w:tc>
          <w:tcPr>
            <w:tcW w:w="2663" w:type="dxa"/>
            <w:tcBorders/>
            <w:shd w:fill="auto" w:val="clear"/>
            <w:tcMar>
              <w:top w:w="0" w:type="dxa"/>
            </w:tcMar>
            <w:vAlign w:val="center"/>
          </w:tcPr>
          <w:p>
            <w:pPr>
              <w:pStyle w:val="TableContents"/>
              <w:spacing w:before="0" w:after="283"/>
              <w:jc w:val="both"/>
              <w:rPr>
                <w:rFonts w:ascii="Arial" w:hAnsi="Arial"/>
                <w:b/>
                <w:i w:val="false"/>
                <w:caps w:val="false"/>
                <w:smallCaps w:val="false"/>
                <w:color w:val="111841"/>
                <w:sz w:val="18"/>
              </w:rPr>
            </w:pPr>
            <w:r>
              <w:rPr>
                <w:rFonts w:ascii="Arial" w:hAnsi="Arial"/>
                <w:b/>
                <w:i w:val="false"/>
                <w:caps w:val="false"/>
                <w:smallCaps w:val="false"/>
                <w:color w:val="111841"/>
                <w:sz w:val="18"/>
              </w:rPr>
              <w:t>Betsy S. Atkins</w:t>
            </w:r>
          </w:p>
        </w:tc>
        <w:tc>
          <w:tcPr>
            <w:tcW w:w="2630" w:type="dxa"/>
            <w:tcBorders/>
            <w:shd w:fill="auto" w:val="clear"/>
            <w:tcMar>
              <w:top w:w="0" w:type="dxa"/>
            </w:tcMar>
            <w:vAlign w:val="center"/>
          </w:tcPr>
          <w:p>
            <w:pPr>
              <w:pStyle w:val="TableContents"/>
              <w:spacing w:before="0" w:after="283"/>
              <w:jc w:val="both"/>
              <w:rPr>
                <w:rFonts w:ascii="Arial" w:hAnsi="Arial"/>
                <w:b/>
                <w:i w:val="false"/>
                <w:caps w:val="false"/>
                <w:smallCaps w:val="false"/>
                <w:color w:val="111841"/>
                <w:sz w:val="18"/>
              </w:rPr>
            </w:pPr>
            <w:r>
              <w:rPr>
                <w:rFonts w:ascii="Arial" w:hAnsi="Arial"/>
                <w:b/>
                <w:i w:val="false"/>
                <w:caps w:val="false"/>
                <w:smallCaps w:val="false"/>
                <w:color w:val="111841"/>
                <w:sz w:val="18"/>
              </w:rPr>
              <w:t>Lauren B. Dillard</w:t>
            </w:r>
          </w:p>
        </w:tc>
        <w:tc>
          <w:tcPr>
            <w:tcW w:w="2717" w:type="dxa"/>
            <w:tcBorders/>
            <w:shd w:fill="auto" w:val="clear"/>
            <w:tcMar>
              <w:top w:w="0" w:type="dxa"/>
            </w:tcMar>
            <w:vAlign w:val="center"/>
          </w:tcPr>
          <w:p>
            <w:pPr>
              <w:pStyle w:val="TableContents"/>
              <w:spacing w:before="0" w:after="283"/>
              <w:jc w:val="both"/>
              <w:rPr>
                <w:rFonts w:ascii="Arial" w:hAnsi="Arial"/>
                <w:b/>
                <w:i w:val="false"/>
                <w:caps w:val="false"/>
                <w:smallCaps w:val="false"/>
                <w:color w:val="111841"/>
                <w:sz w:val="18"/>
              </w:rPr>
            </w:pPr>
            <w:r>
              <w:rPr>
                <w:rFonts w:ascii="Arial" w:hAnsi="Arial"/>
                <w:b/>
                <w:i w:val="false"/>
                <w:caps w:val="false"/>
                <w:smallCaps w:val="false"/>
                <w:color w:val="111841"/>
                <w:sz w:val="18"/>
              </w:rPr>
              <w:t>Marc Holliday</w:t>
            </w:r>
          </w:p>
        </w:tc>
        <w:tc>
          <w:tcPr>
            <w:tcW w:w="1960" w:type="dxa"/>
            <w:vMerge w:val="continue"/>
            <w:tcBorders/>
            <w:shd w:fill="auto" w:val="clear"/>
            <w:tcMar>
              <w:top w:w="0" w:type="dxa"/>
            </w:tcMar>
            <w:vAlign w:val="center"/>
          </w:tcPr>
          <w:p>
            <w:pPr>
              <w:pStyle w:val="Normal"/>
              <w:rPr/>
            </w:pPr>
            <w:r>
              <w:rPr/>
            </w:r>
          </w:p>
        </w:tc>
      </w:tr>
      <w:tr>
        <w:trPr/>
        <w:tc>
          <w:tcPr>
            <w:tcW w:w="235" w:type="dxa"/>
            <w:vMerge w:val="continue"/>
            <w:tcBorders>
              <w:top w:val="single" w:sz="2" w:space="0" w:color="8DAD3C"/>
            </w:tcBorders>
            <w:shd w:fill="auto" w:val="clear"/>
            <w:vAlign w:val="center"/>
          </w:tcPr>
          <w:p>
            <w:pPr>
              <w:pStyle w:val="Normal"/>
              <w:rPr/>
            </w:pPr>
            <w:r>
              <w:rPr/>
            </w:r>
          </w:p>
        </w:tc>
        <w:tc>
          <w:tcPr>
            <w:tcW w:w="2663" w:type="dxa"/>
            <w:tcBorders/>
            <w:shd w:fill="auto" w:val="clear"/>
            <w:tcMar>
              <w:top w:w="0" w:type="dxa"/>
            </w:tcMar>
            <w:vAlign w:val="center"/>
          </w:tcPr>
          <w:p>
            <w:pPr>
              <w:pStyle w:val="TableContents"/>
              <w:spacing w:before="0" w:after="283"/>
              <w:jc w:val="both"/>
              <w:rPr>
                <w:rFonts w:ascii="Arial" w:hAnsi="Arial"/>
                <w:b/>
                <w:i w:val="false"/>
                <w:caps w:val="false"/>
                <w:smallCaps w:val="false"/>
                <w:color w:val="111841"/>
                <w:sz w:val="18"/>
              </w:rPr>
            </w:pPr>
            <w:r>
              <w:rPr>
                <w:rFonts w:ascii="Arial" w:hAnsi="Arial"/>
                <w:b/>
                <w:i w:val="false"/>
                <w:caps w:val="false"/>
                <w:smallCaps w:val="false"/>
                <w:color w:val="111841"/>
                <w:sz w:val="18"/>
              </w:rPr>
              <w:t>Carol N. Brown</w:t>
            </w:r>
          </w:p>
        </w:tc>
        <w:tc>
          <w:tcPr>
            <w:tcW w:w="2630" w:type="dxa"/>
            <w:tcBorders/>
            <w:shd w:fill="auto" w:val="clear"/>
            <w:tcMar>
              <w:top w:w="0" w:type="dxa"/>
            </w:tcMar>
            <w:vAlign w:val="center"/>
          </w:tcPr>
          <w:p>
            <w:pPr>
              <w:pStyle w:val="TableContents"/>
              <w:spacing w:before="0" w:after="283"/>
              <w:jc w:val="both"/>
              <w:rPr>
                <w:rFonts w:ascii="Arial" w:hAnsi="Arial"/>
                <w:b/>
                <w:i w:val="false"/>
                <w:caps w:val="false"/>
                <w:smallCaps w:val="false"/>
                <w:color w:val="111841"/>
                <w:sz w:val="18"/>
              </w:rPr>
            </w:pPr>
            <w:r>
              <w:rPr>
                <w:rFonts w:ascii="Arial" w:hAnsi="Arial"/>
                <w:b/>
                <w:i w:val="false"/>
                <w:caps w:val="false"/>
                <w:smallCaps w:val="false"/>
                <w:color w:val="111841"/>
                <w:sz w:val="18"/>
              </w:rPr>
              <w:t>Stephen L. Green</w:t>
            </w:r>
          </w:p>
        </w:tc>
        <w:tc>
          <w:tcPr>
            <w:tcW w:w="2717" w:type="dxa"/>
            <w:tcBorders/>
            <w:shd w:fill="auto" w:val="clear"/>
            <w:tcMar>
              <w:top w:w="0" w:type="dxa"/>
            </w:tcMar>
            <w:vAlign w:val="center"/>
          </w:tcPr>
          <w:p>
            <w:pPr>
              <w:pStyle w:val="TableContents"/>
              <w:spacing w:before="0" w:after="283"/>
              <w:jc w:val="both"/>
              <w:rPr>
                <w:rFonts w:ascii="Arial" w:hAnsi="Arial"/>
                <w:b/>
                <w:i w:val="false"/>
                <w:caps w:val="false"/>
                <w:smallCaps w:val="false"/>
                <w:color w:val="111841"/>
                <w:sz w:val="18"/>
              </w:rPr>
            </w:pPr>
            <w:r>
              <w:rPr>
                <w:rFonts w:ascii="Arial" w:hAnsi="Arial"/>
                <w:b/>
                <w:i w:val="false"/>
                <w:caps w:val="false"/>
                <w:smallCaps w:val="false"/>
                <w:color w:val="111841"/>
                <w:sz w:val="18"/>
              </w:rPr>
              <w:t>Andrew W. Mathias</w:t>
            </w:r>
          </w:p>
        </w:tc>
        <w:tc>
          <w:tcPr>
            <w:tcW w:w="1960" w:type="dxa"/>
            <w:vMerge w:val="continue"/>
            <w:tcBorders/>
            <w:shd w:fill="auto" w:val="clear"/>
            <w:tcMar>
              <w:top w:w="0" w:type="dxa"/>
            </w:tcMar>
            <w:vAlign w:val="center"/>
          </w:tcPr>
          <w:p>
            <w:pPr>
              <w:pStyle w:val="Normal"/>
              <w:rPr/>
            </w:pPr>
            <w:r>
              <w:rPr/>
            </w:r>
          </w:p>
        </w:tc>
      </w:tr>
      <w:tr>
        <w:trPr/>
        <w:tc>
          <w:tcPr>
            <w:tcW w:w="235" w:type="dxa"/>
            <w:vMerge w:val="continue"/>
            <w:tcBorders>
              <w:top w:val="single" w:sz="2" w:space="0" w:color="8DAD3C"/>
            </w:tcBorders>
            <w:shd w:fill="auto" w:val="clear"/>
            <w:vAlign w:val="center"/>
          </w:tcPr>
          <w:p>
            <w:pPr>
              <w:pStyle w:val="Normal"/>
              <w:rPr/>
            </w:pPr>
            <w:r>
              <w:rPr/>
            </w:r>
          </w:p>
        </w:tc>
        <w:tc>
          <w:tcPr>
            <w:tcW w:w="2663" w:type="dxa"/>
            <w:tcBorders/>
            <w:shd w:fill="auto" w:val="clear"/>
            <w:tcMar>
              <w:top w:w="0" w:type="dxa"/>
            </w:tcMar>
            <w:vAlign w:val="center"/>
          </w:tcPr>
          <w:p>
            <w:pPr>
              <w:pStyle w:val="TableContents"/>
              <w:spacing w:before="0" w:after="283"/>
              <w:rPr>
                <w:sz w:val="4"/>
                <w:szCs w:val="4"/>
              </w:rPr>
            </w:pPr>
            <w:r>
              <w:rPr>
                <w:sz w:val="4"/>
                <w:szCs w:val="4"/>
              </w:rPr>
            </w:r>
          </w:p>
        </w:tc>
        <w:tc>
          <w:tcPr>
            <w:tcW w:w="2630" w:type="dxa"/>
            <w:tcBorders/>
            <w:shd w:fill="auto" w:val="clear"/>
            <w:tcMar>
              <w:top w:w="0" w:type="dxa"/>
            </w:tcMar>
            <w:vAlign w:val="center"/>
          </w:tcPr>
          <w:p>
            <w:pPr>
              <w:pStyle w:val="TableContents"/>
              <w:spacing w:before="0" w:after="283"/>
              <w:rPr>
                <w:sz w:val="4"/>
                <w:szCs w:val="4"/>
              </w:rPr>
            </w:pPr>
            <w:r>
              <w:rPr>
                <w:sz w:val="4"/>
                <w:szCs w:val="4"/>
              </w:rPr>
            </w:r>
          </w:p>
        </w:tc>
        <w:tc>
          <w:tcPr>
            <w:tcW w:w="2717" w:type="dxa"/>
            <w:tcBorders/>
            <w:shd w:fill="auto" w:val="clear"/>
            <w:tcMar>
              <w:top w:w="0" w:type="dxa"/>
            </w:tcMar>
            <w:vAlign w:val="center"/>
          </w:tcPr>
          <w:p>
            <w:pPr>
              <w:pStyle w:val="TableContents"/>
              <w:spacing w:before="0" w:after="283"/>
              <w:rPr>
                <w:sz w:val="4"/>
                <w:szCs w:val="4"/>
              </w:rPr>
            </w:pPr>
            <w:r>
              <w:rPr>
                <w:sz w:val="4"/>
                <w:szCs w:val="4"/>
              </w:rPr>
            </w:r>
          </w:p>
        </w:tc>
        <w:tc>
          <w:tcPr>
            <w:tcW w:w="1960" w:type="dxa"/>
            <w:vMerge w:val="continue"/>
            <w:tcBorders/>
            <w:shd w:fill="auto" w:val="clear"/>
            <w:tcMar>
              <w:top w:w="0" w:type="dxa"/>
            </w:tcMar>
            <w:vAlign w:val="center"/>
          </w:tcPr>
          <w:p>
            <w:pPr>
              <w:pStyle w:val="Normal"/>
              <w:rPr/>
            </w:pPr>
            <w:r>
              <w:rPr/>
            </w:r>
          </w:p>
        </w:tc>
      </w:tr>
      <w:tr>
        <w:trPr/>
        <w:tc>
          <w:tcPr>
            <w:tcW w:w="235" w:type="dxa"/>
            <w:vMerge w:val="continue"/>
            <w:tcBorders>
              <w:top w:val="single" w:sz="2" w:space="0" w:color="8DAD3C"/>
            </w:tcBorders>
            <w:shd w:fill="auto" w:val="clear"/>
            <w:vAlign w:val="center"/>
          </w:tcPr>
          <w:p>
            <w:pPr>
              <w:pStyle w:val="Normal"/>
              <w:rPr/>
            </w:pPr>
            <w:r>
              <w:rPr/>
            </w:r>
          </w:p>
        </w:tc>
        <w:tc>
          <w:tcPr>
            <w:tcW w:w="2663" w:type="dxa"/>
            <w:tcBorders/>
            <w:shd w:fill="auto" w:val="clear"/>
            <w:tcMar>
              <w:top w:w="0" w:type="dxa"/>
            </w:tcMar>
            <w:vAlign w:val="center"/>
          </w:tcPr>
          <w:p>
            <w:pPr>
              <w:pStyle w:val="TableContents"/>
              <w:spacing w:before="0" w:after="283"/>
              <w:jc w:val="both"/>
              <w:rPr/>
            </w:pPr>
            <w:r>
              <w:rPr/>
              <w:t> </w:t>
            </w:r>
          </w:p>
        </w:tc>
        <w:tc>
          <w:tcPr>
            <w:tcW w:w="2630" w:type="dxa"/>
            <w:tcBorders/>
            <w:shd w:fill="auto" w:val="clear"/>
            <w:tcMar>
              <w:top w:w="0" w:type="dxa"/>
            </w:tcMar>
            <w:vAlign w:val="center"/>
          </w:tcPr>
          <w:p>
            <w:pPr>
              <w:pStyle w:val="TableContents"/>
              <w:spacing w:before="0" w:after="283"/>
              <w:jc w:val="both"/>
              <w:rPr/>
            </w:pPr>
            <w:r>
              <w:rPr/>
              <w:t> </w:t>
            </w:r>
          </w:p>
        </w:tc>
        <w:tc>
          <w:tcPr>
            <w:tcW w:w="2717" w:type="dxa"/>
            <w:tcBorders/>
            <w:shd w:fill="auto" w:val="clear"/>
            <w:tcMar>
              <w:top w:w="0" w:type="dxa"/>
            </w:tcMar>
            <w:vAlign w:val="center"/>
          </w:tcPr>
          <w:p>
            <w:pPr>
              <w:pStyle w:val="TableContents"/>
              <w:spacing w:before="0" w:after="283"/>
              <w:ind w:left="0" w:right="0" w:hanging="240"/>
              <w:jc w:val="both"/>
              <w:rPr/>
            </w:pPr>
            <w:r>
              <w:rPr/>
              <w:t> </w:t>
            </w:r>
          </w:p>
        </w:tc>
        <w:tc>
          <w:tcPr>
            <w:tcW w:w="1960" w:type="dxa"/>
            <w:vMerge w:val="continue"/>
            <w:tcBorders/>
            <w:shd w:fill="auto" w:val="clear"/>
            <w:tcMar>
              <w:top w:w="0" w:type="dxa"/>
            </w:tcMar>
            <w:vAlign w:val="center"/>
          </w:tcPr>
          <w:p>
            <w:pPr>
              <w:pStyle w:val="Normal"/>
              <w:rPr/>
            </w:pPr>
            <w:r>
              <w:rPr/>
            </w:r>
          </w:p>
        </w:tc>
      </w:tr>
      <w:tr>
        <w:trPr/>
        <w:tc>
          <w:tcPr>
            <w:tcW w:w="235" w:type="dxa"/>
            <w:vMerge w:val="continue"/>
            <w:tcBorders>
              <w:top w:val="single" w:sz="2" w:space="0" w:color="8DAD3C"/>
            </w:tcBorders>
            <w:shd w:fill="auto" w:val="clear"/>
            <w:vAlign w:val="center"/>
          </w:tcPr>
          <w:p>
            <w:pPr>
              <w:pStyle w:val="Normal"/>
              <w:rPr/>
            </w:pPr>
            <w:r>
              <w:rPr/>
            </w:r>
          </w:p>
        </w:tc>
        <w:tc>
          <w:tcPr>
            <w:tcW w:w="8010" w:type="dxa"/>
            <w:gridSpan w:val="3"/>
            <w:tcBorders/>
            <w:shd w:fill="auto" w:val="clear"/>
            <w:tcMar>
              <w:top w:w="0" w:type="dxa"/>
            </w:tcMar>
            <w:vAlign w:val="center"/>
          </w:tcPr>
          <w:p>
            <w:pPr>
              <w:pStyle w:val="TableContents"/>
              <w:spacing w:before="0" w:after="283"/>
              <w:ind w:left="0" w:right="0" w:hanging="240"/>
              <w:jc w:val="both"/>
              <w:rPr>
                <w:caps w:val="false"/>
                <w:smallCaps w:val="false"/>
              </w:rPr>
            </w:pPr>
            <w:r>
              <w:rPr>
                <w:caps w:val="false"/>
                <w:smallCaps w:val="false"/>
              </w:rPr>
              <w:t>●   </w:t>
            </w:r>
            <w:r>
              <w:rPr>
                <w:rFonts w:ascii="Arial" w:hAnsi="Arial"/>
                <w:b w:val="false"/>
                <w:i w:val="false"/>
                <w:caps w:val="false"/>
                <w:smallCaps w:val="false"/>
                <w:sz w:val="18"/>
              </w:rPr>
              <w:t xml:space="preserve">Our nominees represent a Board that has a diversity of knowledge, skills, experience and perspectives, as well as diversity of age and gender. </w:t>
            </w:r>
          </w:p>
        </w:tc>
        <w:tc>
          <w:tcPr>
            <w:tcW w:w="1960" w:type="dxa"/>
            <w:vMerge w:val="continue"/>
            <w:tcBorders/>
            <w:shd w:fill="auto" w:val="clear"/>
            <w:tcMar>
              <w:top w:w="0" w:type="dxa"/>
            </w:tcMar>
            <w:vAlign w:val="center"/>
          </w:tcPr>
          <w:p>
            <w:pPr>
              <w:pStyle w:val="Normal"/>
              <w:rPr/>
            </w:pPr>
            <w:r>
              <w:rPr/>
            </w:r>
          </w:p>
        </w:tc>
      </w:tr>
      <w:tr>
        <w:trPr/>
        <w:tc>
          <w:tcPr>
            <w:tcW w:w="235" w:type="dxa"/>
            <w:vMerge w:val="continue"/>
            <w:tcBorders>
              <w:top w:val="single" w:sz="2" w:space="0" w:color="8DAD3C"/>
            </w:tcBorders>
            <w:shd w:fill="auto" w:val="clear"/>
            <w:vAlign w:val="center"/>
          </w:tcPr>
          <w:p>
            <w:pPr>
              <w:pStyle w:val="Normal"/>
              <w:rPr/>
            </w:pPr>
            <w:r>
              <w:rPr/>
            </w:r>
          </w:p>
        </w:tc>
        <w:tc>
          <w:tcPr>
            <w:tcW w:w="8010" w:type="dxa"/>
            <w:gridSpan w:val="3"/>
            <w:tcBorders/>
            <w:shd w:fill="auto" w:val="clear"/>
            <w:tcMar>
              <w:top w:w="0" w:type="dxa"/>
            </w:tcMar>
            <w:vAlign w:val="center"/>
          </w:tcPr>
          <w:p>
            <w:pPr>
              <w:pStyle w:val="TableContents"/>
              <w:spacing w:before="0" w:after="283"/>
              <w:ind w:left="0" w:right="0" w:hanging="200"/>
              <w:jc w:val="both"/>
              <w:rPr>
                <w:caps w:val="false"/>
                <w:smallCaps w:val="false"/>
              </w:rPr>
            </w:pPr>
            <w:r>
              <w:rPr>
                <w:caps w:val="false"/>
                <w:smallCaps w:val="false"/>
              </w:rPr>
              <w:t>●   </w:t>
            </w:r>
            <w:r>
              <w:rPr>
                <w:rFonts w:ascii="Arial" w:hAnsi="Arial"/>
                <w:b w:val="false"/>
                <w:i w:val="false"/>
                <w:caps w:val="false"/>
                <w:smallCaps w:val="false"/>
                <w:sz w:val="18"/>
              </w:rPr>
              <w:t>Each nominee has key skills that we believe are valuable to the effective oversight of the Company and the execution of our strategy.</w:t>
            </w:r>
          </w:p>
        </w:tc>
        <w:tc>
          <w:tcPr>
            <w:tcW w:w="1960" w:type="dxa"/>
            <w:vMerge w:val="continue"/>
            <w:tcBorders/>
            <w:shd w:fill="auto" w:val="clear"/>
            <w:tcMar>
              <w:top w:w="0" w:type="dxa"/>
            </w:tcMar>
            <w:vAlign w:val="center"/>
          </w:tcPr>
          <w:p>
            <w:pPr>
              <w:pStyle w:val="Normal"/>
              <w:rPr/>
            </w:pPr>
            <w:r>
              <w:rPr/>
            </w:r>
          </w:p>
        </w:tc>
      </w:tr>
      <w:tr>
        <w:trPr/>
        <w:tc>
          <w:tcPr>
            <w:tcW w:w="235" w:type="dxa"/>
            <w:tcBorders>
              <w:bottom w:val="single" w:sz="8" w:space="0" w:color="8DAD3C"/>
            </w:tcBorders>
            <w:shd w:fill="auto" w:val="clear"/>
            <w:tcMar>
              <w:top w:w="0" w:type="dxa"/>
              <w:bottom w:w="28" w:type="dxa"/>
            </w:tcMar>
            <w:vAlign w:val="center"/>
          </w:tcPr>
          <w:p>
            <w:pPr>
              <w:pStyle w:val="TableContents"/>
              <w:spacing w:before="0" w:after="283"/>
              <w:jc w:val="left"/>
              <w:rPr>
                <w:caps w:val="false"/>
                <w:smallCaps w:val="false"/>
              </w:rPr>
            </w:pPr>
            <w:r>
              <w:rPr>
                <w:caps w:val="false"/>
                <w:smallCaps w:val="false"/>
              </w:rPr>
              <w:t> </w:t>
            </w:r>
          </w:p>
        </w:tc>
        <w:tc>
          <w:tcPr>
            <w:tcW w:w="2663" w:type="dxa"/>
            <w:tcBorders>
              <w:bottom w:val="single" w:sz="8" w:space="0" w:color="8DAD3C"/>
            </w:tcBorders>
            <w:shd w:fill="auto" w:val="clear"/>
            <w:tcMar>
              <w:top w:w="0" w:type="dxa"/>
              <w:bottom w:w="28" w:type="dxa"/>
            </w:tcMar>
            <w:vAlign w:val="center"/>
          </w:tcPr>
          <w:p>
            <w:pPr>
              <w:pStyle w:val="TableContents"/>
              <w:spacing w:before="0" w:after="283"/>
              <w:rPr/>
            </w:pPr>
            <w:r>
              <w:rPr/>
              <w:t> </w:t>
            </w:r>
          </w:p>
        </w:tc>
        <w:tc>
          <w:tcPr>
            <w:tcW w:w="2630" w:type="dxa"/>
            <w:tcBorders>
              <w:bottom w:val="single" w:sz="8" w:space="0" w:color="8DAD3C"/>
            </w:tcBorders>
            <w:shd w:fill="auto" w:val="clear"/>
            <w:tcMar>
              <w:top w:w="0" w:type="dxa"/>
              <w:bottom w:w="28" w:type="dxa"/>
            </w:tcMar>
            <w:vAlign w:val="center"/>
          </w:tcPr>
          <w:p>
            <w:pPr>
              <w:pStyle w:val="TableContents"/>
              <w:spacing w:before="0" w:after="283"/>
              <w:rPr/>
            </w:pPr>
            <w:r>
              <w:rPr/>
              <w:t> </w:t>
            </w:r>
          </w:p>
        </w:tc>
        <w:tc>
          <w:tcPr>
            <w:tcW w:w="2717" w:type="dxa"/>
            <w:tcBorders>
              <w:bottom w:val="single" w:sz="8" w:space="0" w:color="8DAD3C"/>
            </w:tcBorders>
            <w:shd w:fill="auto" w:val="clear"/>
            <w:tcMar>
              <w:top w:w="0" w:type="dxa"/>
              <w:bottom w:w="28" w:type="dxa"/>
            </w:tcMar>
            <w:vAlign w:val="center"/>
          </w:tcPr>
          <w:p>
            <w:pPr>
              <w:pStyle w:val="TableContents"/>
              <w:spacing w:before="0" w:after="283"/>
              <w:rPr/>
            </w:pPr>
            <w:r>
              <w:rPr/>
              <w:t> </w:t>
            </w:r>
          </w:p>
        </w:tc>
        <w:tc>
          <w:tcPr>
            <w:tcW w:w="1960" w:type="dxa"/>
            <w:tcBorders>
              <w:bottom w:val="single" w:sz="8" w:space="0" w:color="8DAD3C"/>
            </w:tcBorders>
            <w:shd w:fill="auto" w:val="clear"/>
            <w:tcMar>
              <w:top w:w="0" w:type="dxa"/>
              <w:bottom w:w="28" w:type="dxa"/>
            </w:tcMar>
            <w:vAlign w:val="center"/>
          </w:tcPr>
          <w:p>
            <w:pPr>
              <w:pStyle w:val="TableContents"/>
              <w:spacing w:before="0" w:after="283"/>
              <w:ind w:left="0" w:right="0" w:hanging="200"/>
              <w:rPr>
                <w:caps w:val="false"/>
                <w:smallCaps w:val="false"/>
              </w:rPr>
            </w:pPr>
            <w:r>
              <w:rPr>
                <w:caps w:val="false"/>
                <w:smallCaps w:val="false"/>
              </w:rPr>
              <w:t> </w:t>
            </w:r>
          </w:p>
        </w:tc>
      </w:tr>
      <w:tr>
        <w:trPr/>
        <w:tc>
          <w:tcPr>
            <w:tcW w:w="235" w:type="dxa"/>
            <w:tcBorders/>
            <w:shd w:fill="auto" w:val="clear"/>
            <w:tcMar>
              <w:top w:w="0" w:type="dxa"/>
            </w:tcMar>
            <w:vAlign w:val="center"/>
          </w:tcPr>
          <w:p>
            <w:pPr>
              <w:pStyle w:val="TableContents"/>
              <w:spacing w:before="0" w:after="283"/>
              <w:jc w:val="left"/>
              <w:rPr/>
            </w:pPr>
            <w:r>
              <w:rPr/>
              <w:t> </w:t>
            </w:r>
          </w:p>
        </w:tc>
        <w:tc>
          <w:tcPr>
            <w:tcW w:w="8010" w:type="dxa"/>
            <w:gridSpan w:val="3"/>
            <w:tcBorders/>
            <w:shd w:fill="auto" w:val="clear"/>
            <w:tcMar>
              <w:top w:w="0" w:type="dxa"/>
            </w:tcMar>
            <w:vAlign w:val="center"/>
          </w:tcPr>
          <w:p>
            <w:pPr>
              <w:pStyle w:val="TableContents"/>
              <w:spacing w:before="0" w:after="283"/>
              <w:jc w:val="both"/>
              <w:rPr/>
            </w:pPr>
            <w:r>
              <w:rPr/>
              <w:t> </w:t>
            </w:r>
          </w:p>
        </w:tc>
        <w:tc>
          <w:tcPr>
            <w:tcW w:w="1960" w:type="dxa"/>
            <w:tcBorders/>
            <w:shd w:fill="auto" w:val="clear"/>
            <w:tcMar>
              <w:top w:w="0" w:type="dxa"/>
            </w:tcMar>
            <w:vAlign w:val="center"/>
          </w:tcPr>
          <w:p>
            <w:pPr>
              <w:pStyle w:val="TableContents"/>
              <w:spacing w:before="0" w:after="283"/>
              <w:rPr/>
            </w:pPr>
            <w:r>
              <w:rPr/>
              <w:t> </w:t>
            </w:r>
          </w:p>
        </w:tc>
      </w:tr>
      <w:tr>
        <w:trPr/>
        <w:tc>
          <w:tcPr>
            <w:tcW w:w="235" w:type="dxa"/>
            <w:tcBorders/>
            <w:shd w:fill="auto" w:val="clear"/>
            <w:tcMar>
              <w:top w:w="0" w:type="dxa"/>
            </w:tcMar>
            <w:vAlign w:val="center"/>
          </w:tcPr>
          <w:p>
            <w:pPr>
              <w:pStyle w:val="TableContents"/>
              <w:spacing w:before="0" w:after="0"/>
              <w:ind w:left="200" w:right="0" w:hanging="200"/>
              <w:jc w:val="left"/>
              <w:rPr>
                <w:caps w:val="false"/>
                <w:smallCaps w:val="false"/>
                <w:color w:val="FFFFFF"/>
              </w:rPr>
            </w:pPr>
            <w:r>
              <w:rPr>
                <w:caps w:val="false"/>
                <w:smallCaps w:val="false"/>
                <w:color w:val="FFFFFF"/>
              </w:rPr>
              <w:drawing>
                <wp:inline distT="0" distB="0" distL="0" distR="0">
                  <wp:extent cx="238125" cy="23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8125" cy="238125"/>
                          </a:xfrm>
                          <a:prstGeom prst="rect">
                            <a:avLst/>
                          </a:prstGeom>
                        </pic:spPr>
                      </pic:pic>
                    </a:graphicData>
                  </a:graphic>
                </wp:inline>
              </w:drawing>
            </w:r>
          </w:p>
        </w:tc>
        <w:tc>
          <w:tcPr>
            <w:tcW w:w="8010" w:type="dxa"/>
            <w:gridSpan w:val="3"/>
            <w:tcBorders/>
            <w:shd w:fill="auto" w:val="clear"/>
            <w:tcMar>
              <w:top w:w="0" w:type="dxa"/>
            </w:tcMar>
            <w:vAlign w:val="center"/>
          </w:tcPr>
          <w:p>
            <w:pPr>
              <w:pStyle w:val="TableContents"/>
              <w:spacing w:before="0" w:after="0"/>
              <w:ind w:left="0" w:right="0" w:hanging="0"/>
              <w:rPr>
                <w:rFonts w:ascii="Arial" w:hAnsi="Arial"/>
                <w:b/>
                <w:i w:val="false"/>
                <w:caps w:val="false"/>
                <w:smallCaps w:val="false"/>
                <w:color w:val="111841"/>
                <w:sz w:val="26"/>
              </w:rPr>
            </w:pPr>
            <w:r>
              <w:rPr>
                <w:rFonts w:ascii="Arial" w:hAnsi="Arial"/>
                <w:b/>
                <w:i w:val="false"/>
                <w:caps w:val="false"/>
                <w:smallCaps w:val="false"/>
                <w:color w:val="111841"/>
                <w:sz w:val="26"/>
              </w:rPr>
              <w:t>Advisory Approval of Executive Compensation</w:t>
            </w:r>
          </w:p>
          <w:p>
            <w:pPr>
              <w:pStyle w:val="TableContents"/>
              <w:spacing w:before="0" w:after="0"/>
              <w:ind w:left="0" w:right="0" w:hanging="0"/>
              <w:rPr>
                <w:caps w:val="false"/>
                <w:smallCaps w:val="false"/>
                <w:color w:val="111841"/>
              </w:rPr>
            </w:pPr>
            <w:r>
              <w:rPr>
                <w:caps w:val="false"/>
                <w:smallCaps w:val="false"/>
                <w:color w:val="111841"/>
              </w:rPr>
              <w:t> </w:t>
            </w:r>
          </w:p>
          <w:p>
            <w:pPr>
              <w:pStyle w:val="TableContents"/>
              <w:spacing w:before="0" w:after="0"/>
              <w:ind w:left="240" w:right="0" w:hanging="240"/>
              <w:rPr>
                <w:caps w:val="false"/>
                <w:smallCaps w:val="false"/>
              </w:rPr>
            </w:pPr>
            <w:r>
              <w:rPr>
                <w:caps w:val="false"/>
                <w:smallCaps w:val="false"/>
              </w:rPr>
              <w:t>●   </w:t>
            </w:r>
            <w:r>
              <w:rPr>
                <w:rFonts w:ascii="Arial" w:hAnsi="Arial"/>
                <w:b w:val="false"/>
                <w:i w:val="false"/>
                <w:caps w:val="false"/>
                <w:smallCaps w:val="false"/>
                <w:sz w:val="18"/>
              </w:rPr>
              <w:t>At the heart of our executive compensation philosophy is a commitment to variable, incentive-based pay that strives to align stockholder value with the economic interests of our management team.</w:t>
            </w:r>
          </w:p>
          <w:p>
            <w:pPr>
              <w:pStyle w:val="TableContents"/>
              <w:spacing w:before="0" w:after="0"/>
              <w:ind w:left="160" w:right="0" w:hanging="160"/>
              <w:rPr>
                <w:caps w:val="false"/>
                <w:smallCaps w:val="false"/>
              </w:rPr>
            </w:pPr>
            <w:r>
              <w:rPr>
                <w:caps w:val="false"/>
                <w:smallCaps w:val="false"/>
              </w:rPr>
              <w:t> </w:t>
            </w:r>
          </w:p>
          <w:p>
            <w:pPr>
              <w:pStyle w:val="TableContents"/>
              <w:spacing w:before="0" w:after="0"/>
              <w:ind w:left="240" w:right="0" w:hanging="240"/>
              <w:rPr>
                <w:caps w:val="false"/>
                <w:smallCaps w:val="false"/>
              </w:rPr>
            </w:pPr>
            <w:r>
              <w:rPr>
                <w:caps w:val="false"/>
                <w:smallCaps w:val="false"/>
              </w:rPr>
              <w:t>●   </w:t>
            </w:r>
            <w:r>
              <w:rPr>
                <w:rFonts w:ascii="Arial" w:hAnsi="Arial"/>
                <w:b w:val="false"/>
                <w:i w:val="false"/>
                <w:caps w:val="false"/>
                <w:smallCaps w:val="false"/>
                <w:sz w:val="18"/>
              </w:rPr>
              <w:t>We believe that our executive compensation programs provide appropriate performance-based incentives to attract and retain leadership talent in the highly competitive New York City real estate market, to align management and stockholder interests and to continue to drive our long-term track record of superior return to stockholders.</w:t>
            </w:r>
          </w:p>
        </w:tc>
        <w:tc>
          <w:tcPr>
            <w:tcW w:w="1960" w:type="dxa"/>
            <w:tcBorders/>
            <w:shd w:fill="auto" w:val="clear"/>
            <w:tcMar>
              <w:top w:w="0" w:type="dxa"/>
            </w:tcMar>
            <w:vAlign w:val="center"/>
          </w:tcPr>
          <w:p>
            <w:pPr>
              <w:pStyle w:val="TableContents"/>
              <w:spacing w:before="0" w:after="0"/>
              <w:ind w:left="0" w:right="0" w:hanging="0"/>
              <w:rPr>
                <w:caps w:val="false"/>
                <w:smallCaps w:val="false"/>
              </w:rPr>
            </w:pPr>
            <w:r>
              <w:rPr>
                <w:caps w:val="false"/>
                <w:smallCaps w:val="false"/>
              </w:rPr>
              <w:drawing>
                <wp:inline distT="0" distB="0" distL="0" distR="0">
                  <wp:extent cx="476250" cy="485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76250" cy="485775"/>
                          </a:xfrm>
                          <a:prstGeom prst="rect">
                            <a:avLst/>
                          </a:prstGeom>
                        </pic:spPr>
                      </pic:pic>
                    </a:graphicData>
                  </a:graphic>
                </wp:inline>
              </w:drawing>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200"/>
              <w:rPr>
                <w:rFonts w:ascii="Arial" w:hAnsi="Arial"/>
                <w:b w:val="false"/>
                <w:i w:val="false"/>
                <w:caps w:val="false"/>
                <w:smallCaps w:val="false"/>
                <w:sz w:val="18"/>
              </w:rPr>
            </w:pPr>
            <w:r>
              <w:rPr>
                <w:rFonts w:ascii="Arial" w:hAnsi="Arial"/>
                <w:b/>
                <w:i w:val="false"/>
                <w:caps w:val="false"/>
                <w:smallCaps w:val="false"/>
                <w:sz w:val="18"/>
              </w:rPr>
              <w:t xml:space="preserve">The Board recommends a vote </w:t>
            </w:r>
            <w:r>
              <w:rPr>
                <w:rFonts w:ascii="Arial" w:hAnsi="Arial"/>
                <w:b/>
                <w:i w:val="false"/>
                <w:caps w:val="false"/>
                <w:smallCaps w:val="false"/>
                <w:color w:val="111841"/>
                <w:sz w:val="24"/>
              </w:rPr>
              <w:t xml:space="preserve">FOR </w:t>
            </w:r>
            <w:r>
              <w:rPr>
                <w:rFonts w:ascii="Arial" w:hAnsi="Arial"/>
                <w:b/>
                <w:i w:val="false"/>
                <w:caps w:val="false"/>
                <w:smallCaps w:val="false"/>
                <w:sz w:val="18"/>
              </w:rPr>
              <w:t xml:space="preserve">this proposal. </w:t>
              <w:br/>
            </w:r>
            <w:r>
              <w:rPr>
                <w:rFonts w:ascii="Arial" w:hAnsi="Arial"/>
                <w:b/>
                <w:i w:val="false"/>
                <w:caps w:val="false"/>
                <w:smallCaps w:val="false"/>
                <w:color w:val="111841"/>
                <w:sz w:val="18"/>
              </w:rPr>
              <w:t>SEE PAGE 41</w:t>
            </w:r>
            <w:r>
              <w:rPr>
                <w:rFonts w:ascii="Arial" w:hAnsi="Arial"/>
                <w:b w:val="false"/>
                <w:i w:val="false"/>
                <w:caps w:val="false"/>
                <w:smallCaps w:val="false"/>
                <w:color w:val="111841"/>
                <w:sz w:val="18"/>
              </w:rPr>
              <w:t xml:space="preserve"> ►</w:t>
            </w:r>
          </w:p>
        </w:tc>
      </w:tr>
      <w:tr>
        <w:trPr/>
        <w:tc>
          <w:tcPr>
            <w:tcW w:w="235" w:type="dxa"/>
            <w:tcBorders>
              <w:bottom w:val="single" w:sz="2" w:space="0" w:color="8DAD3C"/>
            </w:tcBorders>
            <w:shd w:fill="auto" w:val="clear"/>
            <w:tcMar>
              <w:top w:w="0" w:type="dxa"/>
              <w:bottom w:w="28" w:type="dxa"/>
            </w:tcMar>
            <w:vAlign w:val="center"/>
          </w:tcPr>
          <w:p>
            <w:pPr>
              <w:pStyle w:val="TableContents"/>
              <w:spacing w:before="0" w:after="283"/>
              <w:jc w:val="left"/>
              <w:rPr/>
            </w:pPr>
            <w:r>
              <w:rPr/>
              <w:t> </w:t>
            </w:r>
          </w:p>
        </w:tc>
        <w:tc>
          <w:tcPr>
            <w:tcW w:w="8010" w:type="dxa"/>
            <w:gridSpan w:val="3"/>
            <w:tcBorders>
              <w:bottom w:val="single" w:sz="2" w:space="0" w:color="8DAD3C"/>
            </w:tcBorders>
            <w:shd w:fill="auto" w:val="clear"/>
            <w:tcMar>
              <w:top w:w="0" w:type="dxa"/>
              <w:bottom w:w="28" w:type="dxa"/>
            </w:tcMar>
            <w:vAlign w:val="center"/>
          </w:tcPr>
          <w:p>
            <w:pPr>
              <w:pStyle w:val="TableContents"/>
              <w:spacing w:before="0" w:after="283"/>
              <w:rPr/>
            </w:pPr>
            <w:r>
              <w:rPr/>
              <w:t> </w:t>
            </w:r>
          </w:p>
        </w:tc>
        <w:tc>
          <w:tcPr>
            <w:tcW w:w="1960" w:type="dxa"/>
            <w:tcBorders>
              <w:bottom w:val="single" w:sz="2" w:space="0" w:color="8DAD3C"/>
            </w:tcBorders>
            <w:shd w:fill="auto" w:val="clear"/>
            <w:tcMar>
              <w:top w:w="0" w:type="dxa"/>
              <w:bottom w:w="28" w:type="dxa"/>
            </w:tcMar>
            <w:vAlign w:val="center"/>
          </w:tcPr>
          <w:p>
            <w:pPr>
              <w:pStyle w:val="TableContents"/>
              <w:spacing w:before="0" w:after="283"/>
              <w:ind w:left="0" w:right="0" w:hanging="200"/>
              <w:rPr/>
            </w:pPr>
            <w:r>
              <w:rPr/>
              <w:t> </w:t>
            </w:r>
          </w:p>
        </w:tc>
      </w:tr>
      <w:tr>
        <w:trPr/>
        <w:tc>
          <w:tcPr>
            <w:tcW w:w="235" w:type="dxa"/>
            <w:tcBorders/>
            <w:shd w:fill="auto" w:val="clear"/>
            <w:tcMar>
              <w:top w:w="0" w:type="dxa"/>
            </w:tcMar>
            <w:vAlign w:val="center"/>
          </w:tcPr>
          <w:p>
            <w:pPr>
              <w:pStyle w:val="TableContents"/>
              <w:spacing w:before="0" w:after="283"/>
              <w:jc w:val="left"/>
              <w:rPr/>
            </w:pPr>
            <w:r>
              <w:rPr/>
              <w:t> </w:t>
            </w:r>
          </w:p>
        </w:tc>
        <w:tc>
          <w:tcPr>
            <w:tcW w:w="8010" w:type="dxa"/>
            <w:gridSpan w:val="3"/>
            <w:tcBorders/>
            <w:shd w:fill="auto" w:val="clear"/>
            <w:tcMar>
              <w:top w:w="0" w:type="dxa"/>
            </w:tcMar>
            <w:vAlign w:val="center"/>
          </w:tcPr>
          <w:p>
            <w:pPr>
              <w:pStyle w:val="TableContents"/>
              <w:spacing w:before="0" w:after="283"/>
              <w:rPr/>
            </w:pPr>
            <w:r>
              <w:rPr/>
              <w:t> </w:t>
            </w:r>
          </w:p>
        </w:tc>
        <w:tc>
          <w:tcPr>
            <w:tcW w:w="1960" w:type="dxa"/>
            <w:tcBorders/>
            <w:shd w:fill="auto" w:val="clear"/>
            <w:tcMar>
              <w:top w:w="0" w:type="dxa"/>
            </w:tcMar>
            <w:vAlign w:val="center"/>
          </w:tcPr>
          <w:p>
            <w:pPr>
              <w:pStyle w:val="TableContents"/>
              <w:spacing w:before="0" w:after="283"/>
              <w:rPr/>
            </w:pPr>
            <w:r>
              <w:rPr/>
              <w:t> </w:t>
            </w:r>
          </w:p>
        </w:tc>
      </w:tr>
      <w:tr>
        <w:trPr/>
        <w:tc>
          <w:tcPr>
            <w:tcW w:w="235" w:type="dxa"/>
            <w:tcBorders/>
            <w:shd w:fill="auto" w:val="clear"/>
            <w:tcMar>
              <w:top w:w="0" w:type="dxa"/>
            </w:tcMar>
            <w:vAlign w:val="center"/>
          </w:tcPr>
          <w:p>
            <w:pPr>
              <w:pStyle w:val="TableContents"/>
              <w:spacing w:before="0" w:after="0"/>
              <w:ind w:left="200" w:right="0" w:hanging="200"/>
              <w:jc w:val="left"/>
              <w:rPr>
                <w:caps w:val="false"/>
                <w:smallCaps w:val="false"/>
                <w:color w:val="FFFFFF"/>
              </w:rPr>
            </w:pPr>
            <w:r>
              <w:rPr>
                <w:caps w:val="false"/>
                <w:smallCaps w:val="false"/>
                <w:color w:val="FFFFFF"/>
              </w:rPr>
              <w:drawing>
                <wp:inline distT="0" distB="0" distL="0" distR="0">
                  <wp:extent cx="238125" cy="23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8125" cy="238125"/>
                          </a:xfrm>
                          <a:prstGeom prst="rect">
                            <a:avLst/>
                          </a:prstGeom>
                        </pic:spPr>
                      </pic:pic>
                    </a:graphicData>
                  </a:graphic>
                </wp:inline>
              </w:drawing>
            </w:r>
          </w:p>
        </w:tc>
        <w:tc>
          <w:tcPr>
            <w:tcW w:w="8010" w:type="dxa"/>
            <w:gridSpan w:val="3"/>
            <w:tcBorders/>
            <w:shd w:fill="auto" w:val="clear"/>
            <w:tcMar>
              <w:top w:w="0" w:type="dxa"/>
            </w:tcMar>
            <w:vAlign w:val="center"/>
          </w:tcPr>
          <w:p>
            <w:pPr>
              <w:pStyle w:val="TableContents"/>
              <w:spacing w:before="0" w:after="0"/>
              <w:ind w:left="0" w:right="0" w:hanging="0"/>
              <w:rPr>
                <w:rFonts w:ascii="Arial" w:hAnsi="Arial"/>
                <w:b w:val="false"/>
                <w:i w:val="false"/>
                <w:caps w:val="false"/>
                <w:smallCaps w:val="false"/>
                <w:sz w:val="26"/>
              </w:rPr>
            </w:pPr>
            <w:r>
              <w:rPr>
                <w:rFonts w:ascii="Arial" w:hAnsi="Arial"/>
                <w:b/>
                <w:i w:val="false"/>
                <w:caps w:val="false"/>
                <w:smallCaps w:val="false"/>
                <w:color w:val="111841"/>
                <w:sz w:val="26"/>
              </w:rPr>
              <w:t>Ratification of Independent Registered</w:t>
            </w:r>
            <w:r>
              <w:rPr>
                <w:rFonts w:ascii="Arial" w:hAnsi="Arial"/>
                <w:b w:val="false"/>
                <w:i w:val="false"/>
                <w:caps w:val="false"/>
                <w:smallCaps w:val="false"/>
                <w:sz w:val="26"/>
              </w:rPr>
              <w:t xml:space="preserve"> </w:t>
            </w:r>
            <w:r>
              <w:rPr>
                <w:rFonts w:ascii="Arial" w:hAnsi="Arial"/>
                <w:b/>
                <w:i w:val="false"/>
                <w:caps w:val="false"/>
                <w:smallCaps w:val="false"/>
                <w:color w:val="111841"/>
                <w:sz w:val="26"/>
              </w:rPr>
              <w:t>Public Accounting Firm</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240" w:right="0" w:hanging="240"/>
              <w:rPr>
                <w:caps w:val="false"/>
                <w:smallCaps w:val="false"/>
              </w:rPr>
            </w:pPr>
            <w:r>
              <w:rPr>
                <w:caps w:val="false"/>
                <w:smallCaps w:val="false"/>
              </w:rPr>
              <w:t>●   </w:t>
            </w:r>
            <w:r>
              <w:rPr>
                <w:rFonts w:ascii="Arial" w:hAnsi="Arial"/>
                <w:b w:val="false"/>
                <w:i w:val="false"/>
                <w:caps w:val="false"/>
                <w:smallCaps w:val="false"/>
                <w:sz w:val="18"/>
              </w:rPr>
              <w:t>The Audit Committee of the Board has appointed the accounting firm of Ernst &amp; Young LLP to serve as our independent registered public accounting firm for the fiscal year ending December 31, 2023.</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240" w:right="0" w:hanging="240"/>
              <w:rPr>
                <w:caps w:val="false"/>
                <w:smallCaps w:val="false"/>
              </w:rPr>
            </w:pPr>
            <w:r>
              <w:rPr>
                <w:caps w:val="false"/>
                <w:smallCaps w:val="false"/>
              </w:rPr>
              <w:t>●   </w:t>
            </w:r>
            <w:r>
              <w:rPr>
                <w:rFonts w:ascii="Arial" w:hAnsi="Arial"/>
                <w:b w:val="false"/>
                <w:i w:val="false"/>
                <w:caps w:val="false"/>
                <w:smallCaps w:val="false"/>
                <w:sz w:val="18"/>
              </w:rPr>
              <w:t>The Audit Committee and the Board believe that the continued appointment of Ernst &amp; Young LLP is in the best interest of the Company and its stockholders.</w:t>
            </w:r>
          </w:p>
        </w:tc>
        <w:tc>
          <w:tcPr>
            <w:tcW w:w="1960" w:type="dxa"/>
            <w:tcBorders/>
            <w:shd w:fill="auto" w:val="clear"/>
            <w:tcMar>
              <w:top w:w="0" w:type="dxa"/>
            </w:tcMar>
            <w:vAlign w:val="center"/>
          </w:tcPr>
          <w:p>
            <w:pPr>
              <w:pStyle w:val="TableContents"/>
              <w:spacing w:before="0" w:after="0"/>
              <w:ind w:left="0" w:right="0" w:hanging="0"/>
              <w:rPr>
                <w:caps w:val="false"/>
                <w:smallCaps w:val="false"/>
              </w:rPr>
            </w:pPr>
            <w:r>
              <w:rPr>
                <w:caps w:val="false"/>
                <w:smallCaps w:val="false"/>
              </w:rPr>
              <w:drawing>
                <wp:inline distT="0" distB="0" distL="0" distR="0">
                  <wp:extent cx="476250" cy="485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76250" cy="485775"/>
                          </a:xfrm>
                          <a:prstGeom prst="rect">
                            <a:avLst/>
                          </a:prstGeom>
                        </pic:spPr>
                      </pic:pic>
                    </a:graphicData>
                  </a:graphic>
                </wp:inline>
              </w:drawing>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200"/>
              <w:rPr>
                <w:rFonts w:ascii="Arial" w:hAnsi="Arial"/>
                <w:b w:val="false"/>
                <w:i w:val="false"/>
                <w:caps w:val="false"/>
                <w:smallCaps w:val="false"/>
                <w:sz w:val="18"/>
              </w:rPr>
            </w:pPr>
            <w:r>
              <w:rPr>
                <w:rFonts w:ascii="Arial" w:hAnsi="Arial"/>
                <w:b/>
                <w:i w:val="false"/>
                <w:caps w:val="false"/>
                <w:smallCaps w:val="false"/>
                <w:sz w:val="18"/>
              </w:rPr>
              <w:t xml:space="preserve">The Board recommends a vote </w:t>
            </w:r>
            <w:r>
              <w:rPr>
                <w:rFonts w:ascii="Arial" w:hAnsi="Arial"/>
                <w:b/>
                <w:i w:val="false"/>
                <w:caps w:val="false"/>
                <w:smallCaps w:val="false"/>
                <w:color w:val="111841"/>
                <w:sz w:val="24"/>
              </w:rPr>
              <w:t xml:space="preserve">FOR </w:t>
            </w:r>
            <w:r>
              <w:rPr>
                <w:rFonts w:ascii="Arial" w:hAnsi="Arial"/>
                <w:b/>
                <w:i w:val="false"/>
                <w:caps w:val="false"/>
                <w:smallCaps w:val="false"/>
                <w:sz w:val="18"/>
              </w:rPr>
              <w:t>this proposal.</w:t>
              <w:br/>
            </w:r>
            <w:r>
              <w:rPr>
                <w:rFonts w:ascii="Arial" w:hAnsi="Arial"/>
                <w:b/>
                <w:i w:val="false"/>
                <w:caps w:val="false"/>
                <w:smallCaps w:val="false"/>
                <w:color w:val="111841"/>
                <w:sz w:val="18"/>
              </w:rPr>
              <w:t>SEE PAGE 81</w:t>
            </w:r>
            <w:r>
              <w:rPr>
                <w:rFonts w:ascii="Arial" w:hAnsi="Arial"/>
                <w:b w:val="false"/>
                <w:i w:val="false"/>
                <w:caps w:val="false"/>
                <w:smallCaps w:val="false"/>
                <w:color w:val="111841"/>
                <w:sz w:val="18"/>
              </w:rPr>
              <w:t xml:space="preserve"> ►</w:t>
            </w:r>
          </w:p>
        </w:tc>
      </w:tr>
      <w:tr>
        <w:trPr/>
        <w:tc>
          <w:tcPr>
            <w:tcW w:w="235" w:type="dxa"/>
            <w:tcBorders>
              <w:bottom w:val="single" w:sz="2" w:space="0" w:color="8DAD3C"/>
            </w:tcBorders>
            <w:shd w:fill="auto" w:val="clear"/>
            <w:tcMar>
              <w:top w:w="0" w:type="dxa"/>
              <w:bottom w:w="28" w:type="dxa"/>
            </w:tcMar>
            <w:vAlign w:val="center"/>
          </w:tcPr>
          <w:p>
            <w:pPr>
              <w:pStyle w:val="TableContents"/>
              <w:spacing w:before="0" w:after="283"/>
              <w:jc w:val="left"/>
              <w:rPr/>
            </w:pPr>
            <w:r>
              <w:rPr/>
              <w:t> </w:t>
            </w:r>
          </w:p>
        </w:tc>
        <w:tc>
          <w:tcPr>
            <w:tcW w:w="8010" w:type="dxa"/>
            <w:gridSpan w:val="3"/>
            <w:tcBorders>
              <w:bottom w:val="single" w:sz="2" w:space="0" w:color="8DAD3C"/>
            </w:tcBorders>
            <w:shd w:fill="auto" w:val="clear"/>
            <w:tcMar>
              <w:top w:w="0" w:type="dxa"/>
              <w:bottom w:w="28" w:type="dxa"/>
            </w:tcMar>
            <w:vAlign w:val="center"/>
          </w:tcPr>
          <w:p>
            <w:pPr>
              <w:pStyle w:val="TableContents"/>
              <w:spacing w:before="0" w:after="283"/>
              <w:rPr/>
            </w:pPr>
            <w:r>
              <w:rPr/>
              <w:t> </w:t>
            </w:r>
          </w:p>
        </w:tc>
        <w:tc>
          <w:tcPr>
            <w:tcW w:w="1960" w:type="dxa"/>
            <w:tcBorders>
              <w:bottom w:val="single" w:sz="2" w:space="0" w:color="8DAD3C"/>
            </w:tcBorders>
            <w:shd w:fill="auto" w:val="clear"/>
            <w:tcMar>
              <w:top w:w="0" w:type="dxa"/>
              <w:bottom w:w="28" w:type="dxa"/>
            </w:tcMar>
            <w:vAlign w:val="center"/>
          </w:tcPr>
          <w:p>
            <w:pPr>
              <w:pStyle w:val="TableContents"/>
              <w:spacing w:before="0" w:after="283"/>
              <w:ind w:left="0" w:right="0" w:hanging="200"/>
              <w:rPr/>
            </w:pPr>
            <w:r>
              <w:rPr/>
              <w:t> </w:t>
            </w:r>
          </w:p>
        </w:tc>
      </w:tr>
      <w:tr>
        <w:trPr/>
        <w:tc>
          <w:tcPr>
            <w:tcW w:w="235" w:type="dxa"/>
            <w:tcBorders/>
            <w:shd w:fill="auto" w:val="clear"/>
            <w:tcMar>
              <w:top w:w="0" w:type="dxa"/>
            </w:tcMar>
            <w:vAlign w:val="center"/>
          </w:tcPr>
          <w:p>
            <w:pPr>
              <w:pStyle w:val="TableContents"/>
              <w:spacing w:before="0" w:after="283"/>
              <w:jc w:val="left"/>
              <w:rPr/>
            </w:pPr>
            <w:r>
              <w:rPr/>
              <w:t> </w:t>
            </w:r>
          </w:p>
        </w:tc>
        <w:tc>
          <w:tcPr>
            <w:tcW w:w="8010" w:type="dxa"/>
            <w:gridSpan w:val="3"/>
            <w:tcBorders/>
            <w:shd w:fill="auto" w:val="clear"/>
            <w:tcMar>
              <w:top w:w="0" w:type="dxa"/>
            </w:tcMar>
            <w:vAlign w:val="center"/>
          </w:tcPr>
          <w:p>
            <w:pPr>
              <w:pStyle w:val="TableContents"/>
              <w:spacing w:before="0" w:after="283"/>
              <w:rPr/>
            </w:pPr>
            <w:r>
              <w:rPr/>
              <w:t> </w:t>
            </w:r>
          </w:p>
        </w:tc>
        <w:tc>
          <w:tcPr>
            <w:tcW w:w="1960" w:type="dxa"/>
            <w:tcBorders/>
            <w:shd w:fill="auto" w:val="clear"/>
            <w:tcMar>
              <w:top w:w="0" w:type="dxa"/>
            </w:tcMar>
            <w:vAlign w:val="center"/>
          </w:tcPr>
          <w:p>
            <w:pPr>
              <w:pStyle w:val="TableContents"/>
              <w:spacing w:before="0" w:after="283"/>
              <w:rPr/>
            </w:pPr>
            <w:r>
              <w:rPr/>
              <w:t> </w:t>
            </w:r>
          </w:p>
        </w:tc>
      </w:tr>
      <w:tr>
        <w:trPr/>
        <w:tc>
          <w:tcPr>
            <w:tcW w:w="235" w:type="dxa"/>
            <w:tcBorders/>
            <w:shd w:fill="auto" w:val="clear"/>
            <w:tcMar>
              <w:top w:w="0" w:type="dxa"/>
            </w:tcMar>
            <w:vAlign w:val="center"/>
          </w:tcPr>
          <w:p>
            <w:pPr>
              <w:pStyle w:val="TableContents"/>
              <w:spacing w:before="0" w:after="0"/>
              <w:ind w:left="200" w:right="0" w:hanging="200"/>
              <w:jc w:val="left"/>
              <w:rPr>
                <w:caps w:val="false"/>
                <w:smallCaps w:val="false"/>
                <w:color w:val="FFFFFF"/>
              </w:rPr>
            </w:pPr>
            <w:r>
              <w:rPr>
                <w:caps w:val="false"/>
                <w:smallCaps w:val="false"/>
                <w:color w:val="FFFFFF"/>
              </w:rPr>
              <w:drawing>
                <wp:inline distT="0" distB="0" distL="0" distR="0">
                  <wp:extent cx="238125" cy="23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8125" cy="238125"/>
                          </a:xfrm>
                          <a:prstGeom prst="rect">
                            <a:avLst/>
                          </a:prstGeom>
                        </pic:spPr>
                      </pic:pic>
                    </a:graphicData>
                  </a:graphic>
                </wp:inline>
              </w:drawing>
            </w:r>
          </w:p>
        </w:tc>
        <w:tc>
          <w:tcPr>
            <w:tcW w:w="8010" w:type="dxa"/>
            <w:gridSpan w:val="3"/>
            <w:tcBorders/>
            <w:shd w:fill="auto" w:val="clear"/>
            <w:tcMar>
              <w:top w:w="0" w:type="dxa"/>
            </w:tcMar>
            <w:vAlign w:val="center"/>
          </w:tcPr>
          <w:p>
            <w:pPr>
              <w:pStyle w:val="TableContents"/>
              <w:spacing w:before="0" w:after="0"/>
              <w:ind w:left="0" w:right="0" w:hanging="0"/>
              <w:rPr>
                <w:rFonts w:ascii="Arial" w:hAnsi="Arial"/>
                <w:b/>
                <w:i w:val="false"/>
                <w:caps w:val="false"/>
                <w:smallCaps w:val="false"/>
                <w:color w:val="111841"/>
                <w:sz w:val="26"/>
              </w:rPr>
            </w:pPr>
            <w:r>
              <w:rPr>
                <w:rFonts w:ascii="Arial" w:hAnsi="Arial"/>
                <w:b/>
                <w:i w:val="false"/>
                <w:caps w:val="false"/>
                <w:smallCaps w:val="false"/>
                <w:color w:val="111841"/>
                <w:sz w:val="26"/>
              </w:rPr>
              <w:t>Advisory Vote on Whether an Advisory Vote on Executive Compensation Should Be Held Every One, Two or Three Years</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240" w:right="0" w:hanging="240"/>
              <w:rPr>
                <w:caps w:val="false"/>
                <w:smallCaps w:val="false"/>
              </w:rPr>
            </w:pPr>
            <w:r>
              <w:rPr>
                <w:caps w:val="false"/>
                <w:smallCaps w:val="false"/>
              </w:rPr>
              <w:t>●   </w:t>
            </w:r>
            <w:r>
              <w:rPr>
                <w:rFonts w:ascii="Arial" w:hAnsi="Arial"/>
                <w:b w:val="false"/>
                <w:i w:val="false"/>
                <w:caps w:val="false"/>
                <w:smallCaps w:val="false"/>
                <w:sz w:val="18"/>
              </w:rPr>
              <w:t xml:space="preserve">The Compensation Committee and the Board believe that a vote on the compensation of our named executive officers every year is in the best interests of the Company. </w:t>
            </w:r>
          </w:p>
        </w:tc>
        <w:tc>
          <w:tcPr>
            <w:tcW w:w="1960" w:type="dxa"/>
            <w:tcBorders/>
            <w:shd w:fill="auto" w:val="clear"/>
            <w:tcMar>
              <w:top w:w="0" w:type="dxa"/>
            </w:tcMar>
            <w:vAlign w:val="center"/>
          </w:tcPr>
          <w:p>
            <w:pPr>
              <w:pStyle w:val="TableContents"/>
              <w:spacing w:before="0" w:after="0"/>
              <w:ind w:left="0" w:right="0" w:hanging="0"/>
              <w:rPr>
                <w:caps w:val="false"/>
                <w:smallCaps w:val="false"/>
              </w:rPr>
            </w:pPr>
            <w:r>
              <w:rPr>
                <w:caps w:val="false"/>
                <w:smallCaps w:val="false"/>
              </w:rPr>
              <w:drawing>
                <wp:inline distT="0" distB="0" distL="0" distR="0">
                  <wp:extent cx="476250" cy="4857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76250" cy="485775"/>
                          </a:xfrm>
                          <a:prstGeom prst="rect">
                            <a:avLst/>
                          </a:prstGeom>
                        </pic:spPr>
                      </pic:pic>
                    </a:graphicData>
                  </a:graphic>
                </wp:inline>
              </w:drawing>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Arial" w:hAnsi="Arial"/>
                <w:b w:val="false"/>
                <w:i w:val="false"/>
                <w:caps w:val="false"/>
                <w:smallCaps w:val="false"/>
                <w:sz w:val="18"/>
              </w:rPr>
            </w:pPr>
            <w:r>
              <w:rPr>
                <w:rFonts w:ascii="Arial" w:hAnsi="Arial"/>
                <w:b/>
                <w:i w:val="false"/>
                <w:caps w:val="false"/>
                <w:smallCaps w:val="false"/>
                <w:sz w:val="18"/>
              </w:rPr>
              <w:t xml:space="preserve">The Board recommends a vote for </w:t>
            </w:r>
            <w:r>
              <w:rPr>
                <w:rFonts w:ascii="Arial" w:hAnsi="Arial"/>
                <w:b/>
                <w:i w:val="false"/>
                <w:caps w:val="false"/>
                <w:smallCaps w:val="false"/>
                <w:color w:val="111841"/>
                <w:sz w:val="24"/>
              </w:rPr>
              <w:t>ONE YEAR</w:t>
            </w:r>
            <w:r>
              <w:rPr>
                <w:rFonts w:ascii="Arial" w:hAnsi="Arial"/>
                <w:b/>
                <w:i w:val="false"/>
                <w:caps w:val="false"/>
                <w:smallCaps w:val="false"/>
                <w:sz w:val="18"/>
              </w:rPr>
              <w:t>.</w:t>
              <w:br/>
            </w:r>
            <w:r>
              <w:rPr>
                <w:rFonts w:ascii="Arial" w:hAnsi="Arial"/>
                <w:b/>
                <w:i w:val="false"/>
                <w:caps w:val="false"/>
                <w:smallCaps w:val="false"/>
                <w:color w:val="111841"/>
                <w:sz w:val="18"/>
              </w:rPr>
              <w:t>SEE PAGE 83</w:t>
            </w:r>
            <w:r>
              <w:rPr>
                <w:rFonts w:ascii="Arial" w:hAnsi="Arial"/>
                <w:b w:val="false"/>
                <w:i w:val="false"/>
                <w:caps w:val="false"/>
                <w:smallCaps w:val="false"/>
                <w:color w:val="111841"/>
                <w:sz w:val="18"/>
              </w:rPr>
              <w:t xml:space="preserve"> ►</w:t>
            </w:r>
          </w:p>
          <w:p>
            <w:pPr>
              <w:pStyle w:val="TableContents"/>
              <w:spacing w:before="0" w:after="0"/>
              <w:ind w:left="0" w:right="0" w:hanging="0"/>
              <w:rPr>
                <w:caps w:val="false"/>
                <w:smallCaps w:val="false"/>
              </w:rPr>
            </w:pPr>
            <w:r>
              <w:rPr>
                <w:caps w:val="false"/>
                <w:smallCaps w:val="false"/>
              </w:rPr>
              <w:t> </w:t>
            </w:r>
          </w:p>
        </w:tc>
      </w:tr>
    </w:tbl>
    <w:p>
      <w:pPr>
        <w:pStyle w:val="HorizontalLine"/>
        <w:rPr/>
      </w:pPr>
      <w:r>
        <w:rPr/>
      </w:r>
    </w:p>
    <w:p>
      <w:pPr>
        <w:pStyle w:val="TextBody"/>
        <w:jc w:val="left"/>
        <w:rPr/>
      </w:pPr>
      <w:hyperlink w:anchor="toc">
        <w:r>
          <w:rPr>
            <w:rStyle w:val="InternetLink"/>
            <w:rFonts w:ascii="Arial" w:hAnsi="Arial"/>
            <w:b/>
            <w:i w:val="false"/>
            <w:caps w:val="false"/>
            <w:smallCaps w:val="false"/>
            <w:sz w:val="20"/>
          </w:rPr>
          <w:t>Table of Contents</w:t>
        </w:r>
      </w:hyperlink>
    </w:p>
    <w:tbl>
      <w:tblPr>
        <w:tblW w:w="3055" w:type="dxa"/>
        <w:jc w:val="left"/>
        <w:tblInd w:w="0" w:type="dxa"/>
        <w:tblCellMar>
          <w:top w:w="0" w:type="dxa"/>
          <w:left w:w="0" w:type="dxa"/>
          <w:bottom w:w="0" w:type="dxa"/>
          <w:right w:w="0" w:type="dxa"/>
        </w:tblCellMar>
      </w:tblPr>
      <w:tblGrid>
        <w:gridCol w:w="2900"/>
        <w:gridCol w:w="155"/>
      </w:tblGrid>
      <w:tr>
        <w:trPr/>
        <w:tc>
          <w:tcPr>
            <w:tcW w:w="2900" w:type="dxa"/>
            <w:tcBorders/>
            <w:shd w:fill="auto" w:val="clear"/>
            <w:vAlign w:val="center"/>
          </w:tcPr>
          <w:p>
            <w:pPr>
              <w:pStyle w:val="TableContents"/>
              <w:spacing w:before="0" w:after="283"/>
              <w:jc w:val="left"/>
              <w:rPr>
                <w:rFonts w:ascii="Arial" w:hAnsi="Arial"/>
                <w:b/>
                <w:i w:val="false"/>
                <w:caps w:val="false"/>
                <w:smallCaps w:val="false"/>
                <w:sz w:val="15"/>
              </w:rPr>
            </w:pPr>
            <w:r>
              <w:rPr>
                <w:rFonts w:ascii="Arial" w:hAnsi="Arial"/>
                <w:b/>
                <w:i w:val="false"/>
                <w:caps w:val="false"/>
                <w:smallCaps w:val="false"/>
                <w:sz w:val="15"/>
              </w:rPr>
              <w:t>2023 PROXY STATEMENT HIGHLIGHTS</w:t>
            </w:r>
          </w:p>
        </w:tc>
        <w:tc>
          <w:tcPr>
            <w:tcW w:w="155" w:type="dxa"/>
            <w:tcBorders/>
            <w:shd w:fill="auto" w:val="clear"/>
            <w:vAlign w:val="center"/>
          </w:tcPr>
          <w:p>
            <w:pPr>
              <w:pStyle w:val="TableContents"/>
              <w:spacing w:before="0" w:after="283"/>
              <w:jc w:val="right"/>
              <w:rPr>
                <w:rFonts w:ascii="Arial" w:hAnsi="Arial"/>
                <w:b/>
                <w:color w:val="111741"/>
                <w:sz w:val="24"/>
              </w:rPr>
            </w:pPr>
            <w:r>
              <w:rPr>
                <w:rFonts w:ascii="Arial" w:hAnsi="Arial"/>
                <w:b/>
                <w:color w:val="111741"/>
                <w:sz w:val="24"/>
              </w:rPr>
              <w:t>3</w:t>
            </w:r>
          </w:p>
        </w:tc>
      </w:tr>
    </w:tbl>
    <w:p>
      <w:pPr>
        <w:pStyle w:val="TextBody"/>
        <w:spacing w:before="0" w:after="0"/>
        <w:ind w:left="0" w:right="0" w:hanging="0"/>
        <w:rPr>
          <w:color w:val="8DAD3C"/>
        </w:rPr>
      </w:pPr>
      <w:r>
        <w:rPr>
          <w:color w:val="8DAD3C"/>
        </w:rPr>
        <w:t> </w:t>
      </w:r>
    </w:p>
    <w:p>
      <w:pPr>
        <w:pStyle w:val="TextBody"/>
        <w:spacing w:before="0" w:after="200"/>
        <w:ind w:left="0" w:right="0" w:hanging="0"/>
        <w:rPr>
          <w:rFonts w:ascii="Arial" w:hAnsi="Arial"/>
          <w:b/>
          <w:i w:val="false"/>
          <w:caps w:val="false"/>
          <w:smallCaps w:val="false"/>
          <w:color w:val="8DAD3C"/>
          <w:sz w:val="32"/>
        </w:rPr>
      </w:pPr>
      <w:r>
        <w:rPr>
          <w:rFonts w:ascii="Arial" w:hAnsi="Arial"/>
          <w:b/>
          <w:i w:val="false"/>
          <w:caps w:val="false"/>
          <w:smallCaps w:val="false"/>
          <w:color w:val="8DAD3C"/>
          <w:sz w:val="32"/>
        </w:rPr>
        <w:t>BUSINESS OVERVIEW AND HIGHLIGHTS</w:t>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02815" cy="9972040"/>
                <wp:effectExtent l="0" t="0" r="0" b="0"/>
                <wp:wrapSquare wrapText="largest"/>
                <wp:docPr id="16" name="Frame1"/>
                <a:graphic xmlns:a="http://schemas.openxmlformats.org/drawingml/2006/main">
                  <a:graphicData uri="http://schemas.microsoft.com/office/word/2010/wordprocessingShape">
                    <wps:wsp>
                      <wps:cNvSpPr txBox="1"/>
                      <wps:spPr>
                        <a:xfrm>
                          <a:off x="0" y="0"/>
                          <a:ext cx="2202815" cy="9972040"/>
                        </a:xfrm>
                        <a:prstGeom prst="rect"/>
                      </wps:spPr>
                      <wps:txbx>
                        <w:txbxContent>
                          <w:p>
                            <w:pPr>
                              <w:pStyle w:val="TextBody"/>
                              <w:spacing w:before="0" w:after="0"/>
                              <w:ind w:left="0" w:right="0" w:hanging="0"/>
                              <w:rPr>
                                <w:color w:val="8DAD3C"/>
                              </w:rPr>
                            </w:pPr>
                            <w:r>
                              <w:rPr>
                                <w:color w:val="8DAD3C"/>
                              </w:rPr>
                              <w:drawing>
                                <wp:inline distT="0" distB="0" distL="0" distR="0">
                                  <wp:extent cx="2381250" cy="8420100"/>
                                  <wp:effectExtent l="0" t="0" r="0" b="0"/>
                                  <wp:docPr id="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 descr=""/>
                                          <pic:cNvPicPr>
                                            <a:picLocks noChangeAspect="1" noChangeArrowheads="1"/>
                                          </pic:cNvPicPr>
                                        </pic:nvPicPr>
                                        <pic:blipFill>
                                          <a:blip r:embed="rId17"/>
                                          <a:stretch>
                                            <a:fillRect/>
                                          </a:stretch>
                                        </pic:blipFill>
                                        <pic:spPr bwMode="auto">
                                          <a:xfrm>
                                            <a:off x="0" y="0"/>
                                            <a:ext cx="2381250" cy="8420100"/>
                                          </a:xfrm>
                                          <a:prstGeom prst="rect">
                                            <a:avLst/>
                                          </a:prstGeom>
                                        </pic:spPr>
                                      </pic:pic>
                                    </a:graphicData>
                                  </a:graphic>
                                </wp:inline>
                              </w:drawing>
                            </w:r>
                          </w:p>
                          <w:p>
                            <w:pPr>
                              <w:pStyle w:val="TextBody"/>
                              <w:spacing w:before="0" w:after="0"/>
                              <w:ind w:left="300" w:right="600" w:hanging="0"/>
                              <w:rPr>
                                <w:rFonts w:ascii="Arial" w:hAnsi="Arial"/>
                                <w:b/>
                                <w:i w:val="false"/>
                                <w:caps w:val="false"/>
                                <w:smallCaps w:val="false"/>
                                <w:color w:val="FFFFFF"/>
                                <w:sz w:val="26"/>
                              </w:rPr>
                            </w:pPr>
                            <w:r>
                              <w:rPr>
                                <w:rFonts w:ascii="Arial" w:hAnsi="Arial"/>
                                <w:b/>
                                <w:i w:val="false"/>
                                <w:caps w:val="false"/>
                                <w:smallCaps w:val="false"/>
                                <w:color w:val="FFFFFF"/>
                                <w:sz w:val="26"/>
                              </w:rPr>
                              <w:t>Our Mission</w:t>
                            </w:r>
                          </w:p>
                          <w:p>
                            <w:pPr>
                              <w:pStyle w:val="TextBody"/>
                              <w:spacing w:before="0" w:after="0"/>
                              <w:ind w:left="300" w:right="600" w:hanging="0"/>
                              <w:rPr>
                                <w:caps w:val="false"/>
                                <w:smallCaps w:val="false"/>
                                <w:color w:val="FFFFFF"/>
                              </w:rPr>
                            </w:pPr>
                            <w:r>
                              <w:rPr>
                                <w:caps w:val="false"/>
                                <w:smallCaps w:val="false"/>
                                <w:color w:val="FFFFFF"/>
                              </w:rPr>
                              <w:t> </w:t>
                            </w:r>
                          </w:p>
                          <w:p>
                            <w:pPr>
                              <w:pStyle w:val="TextBody"/>
                              <w:spacing w:before="0" w:after="0"/>
                              <w:ind w:left="300" w:right="600" w:hanging="0"/>
                              <w:rPr>
                                <w:rFonts w:ascii="Arial" w:hAnsi="Arial"/>
                                <w:b w:val="false"/>
                                <w:i w:val="false"/>
                                <w:caps w:val="false"/>
                                <w:smallCaps w:val="false"/>
                                <w:color w:val="FFFFFF"/>
                                <w:sz w:val="20"/>
                              </w:rPr>
                            </w:pPr>
                            <w:r>
                              <w:rPr>
                                <w:rFonts w:ascii="Arial" w:hAnsi="Arial"/>
                                <w:b w:val="false"/>
                                <w:i w:val="false"/>
                                <w:caps w:val="false"/>
                                <w:smallCaps w:val="false"/>
                                <w:color w:val="FFFFFF"/>
                                <w:sz w:val="20"/>
                              </w:rPr>
                              <w:t>SL Green Realty Corp., Manhattans largest office landlord, is a fully integrated real estate investment trust, or REIT, that is focused primarily on acquiring, managing and maximizing value of Manhattan commercial properties, principally office properties, located in the New York metropolitan area, principally in Manhattan.</w:t>
                            </w:r>
                          </w:p>
                          <w:p>
                            <w:pPr>
                              <w:pStyle w:val="TextBody"/>
                              <w:spacing w:before="0" w:after="0"/>
                              <w:ind w:left="300" w:right="600" w:hanging="0"/>
                              <w:rPr>
                                <w:caps w:val="false"/>
                                <w:smallCaps w:val="false"/>
                                <w:color w:val="FFFFFF"/>
                              </w:rPr>
                            </w:pPr>
                            <w:r>
                              <w:rPr>
                                <w:caps w:val="false"/>
                                <w:smallCaps w:val="false"/>
                                <w:color w:val="FFFFFF"/>
                              </w:rPr>
                              <w:t> </w:t>
                            </w:r>
                          </w:p>
                          <w:p>
                            <w:pPr>
                              <w:pStyle w:val="TextBody"/>
                              <w:spacing w:before="0" w:after="0"/>
                              <w:ind w:left="300" w:right="600" w:hanging="0"/>
                              <w:rPr>
                                <w:rFonts w:ascii="Arial" w:hAnsi="Arial"/>
                                <w:b w:val="false"/>
                                <w:i w:val="false"/>
                                <w:caps w:val="false"/>
                                <w:smallCaps w:val="false"/>
                                <w:color w:val="FFFFFF"/>
                                <w:sz w:val="20"/>
                              </w:rPr>
                            </w:pPr>
                            <w:r>
                              <w:rPr>
                                <w:rFonts w:ascii="Arial" w:hAnsi="Arial"/>
                                <w:b w:val="false"/>
                                <w:i w:val="false"/>
                                <w:caps w:val="false"/>
                                <w:smallCaps w:val="false"/>
                                <w:color w:val="FFFFFF"/>
                                <w:sz w:val="20"/>
                              </w:rPr>
                              <w:t>As of December 31, 2022, SL Green held interests in 61 buildings totaling 33.1 million square feet, including ownership interests in 28.9 million square feet of Manhattan buildings and 3.4 million square feet securing debt and preferred equity investments.</w:t>
                            </w:r>
                          </w:p>
                        </w:txbxContent>
                      </wps:txbx>
                      <wps:bodyPr anchor="t" lIns="0" tIns="0" rIns="0" bIns="0">
                        <a:noAutofit/>
                      </wps:bodyPr>
                    </wps:wsp>
                  </a:graphicData>
                </a:graphic>
                <wp14:sizeRelH relativeFrom="margin">
                  <wp14:pctWidth>34000</wp14:pctWidth>
                </wp14:sizeRelH>
              </wp:anchor>
            </w:drawing>
          </mc:Choice>
          <mc:Fallback>
            <w:pict>
              <v:rect style="position:absolute;rotation:0;width:173.45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0"/>
                        <w:rPr>
                          <w:color w:val="8DAD3C"/>
                        </w:rPr>
                      </w:pPr>
                      <w:r>
                        <w:rPr>
                          <w:color w:val="8DAD3C"/>
                        </w:rPr>
                        <w:drawing>
                          <wp:inline distT="0" distB="0" distL="0" distR="0">
                            <wp:extent cx="2381250" cy="842010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2381250" cy="8420100"/>
                                    </a:xfrm>
                                    <a:prstGeom prst="rect">
                                      <a:avLst/>
                                    </a:prstGeom>
                                  </pic:spPr>
                                </pic:pic>
                              </a:graphicData>
                            </a:graphic>
                          </wp:inline>
                        </w:drawing>
                      </w:r>
                    </w:p>
                    <w:p>
                      <w:pPr>
                        <w:pStyle w:val="TextBody"/>
                        <w:spacing w:before="0" w:after="0"/>
                        <w:ind w:left="300" w:right="600" w:hanging="0"/>
                        <w:rPr>
                          <w:rFonts w:ascii="Arial" w:hAnsi="Arial"/>
                          <w:b/>
                          <w:i w:val="false"/>
                          <w:caps w:val="false"/>
                          <w:smallCaps w:val="false"/>
                          <w:color w:val="FFFFFF"/>
                          <w:sz w:val="26"/>
                        </w:rPr>
                      </w:pPr>
                      <w:r>
                        <w:rPr>
                          <w:rFonts w:ascii="Arial" w:hAnsi="Arial"/>
                          <w:b/>
                          <w:i w:val="false"/>
                          <w:caps w:val="false"/>
                          <w:smallCaps w:val="false"/>
                          <w:color w:val="FFFFFF"/>
                          <w:sz w:val="26"/>
                        </w:rPr>
                        <w:t>Our Mission</w:t>
                      </w:r>
                    </w:p>
                    <w:p>
                      <w:pPr>
                        <w:pStyle w:val="TextBody"/>
                        <w:spacing w:before="0" w:after="0"/>
                        <w:ind w:left="300" w:right="600" w:hanging="0"/>
                        <w:rPr>
                          <w:caps w:val="false"/>
                          <w:smallCaps w:val="false"/>
                          <w:color w:val="FFFFFF"/>
                        </w:rPr>
                      </w:pPr>
                      <w:r>
                        <w:rPr>
                          <w:caps w:val="false"/>
                          <w:smallCaps w:val="false"/>
                          <w:color w:val="FFFFFF"/>
                        </w:rPr>
                        <w:t> </w:t>
                      </w:r>
                    </w:p>
                    <w:p>
                      <w:pPr>
                        <w:pStyle w:val="TextBody"/>
                        <w:spacing w:before="0" w:after="0"/>
                        <w:ind w:left="300" w:right="600" w:hanging="0"/>
                        <w:rPr>
                          <w:rFonts w:ascii="Arial" w:hAnsi="Arial"/>
                          <w:b w:val="false"/>
                          <w:i w:val="false"/>
                          <w:caps w:val="false"/>
                          <w:smallCaps w:val="false"/>
                          <w:color w:val="FFFFFF"/>
                          <w:sz w:val="20"/>
                        </w:rPr>
                      </w:pPr>
                      <w:r>
                        <w:rPr>
                          <w:rFonts w:ascii="Arial" w:hAnsi="Arial"/>
                          <w:b w:val="false"/>
                          <w:i w:val="false"/>
                          <w:caps w:val="false"/>
                          <w:smallCaps w:val="false"/>
                          <w:color w:val="FFFFFF"/>
                          <w:sz w:val="20"/>
                        </w:rPr>
                        <w:t>SL Green Realty Corp., Manhattans largest office landlord, is a fully integrated real estate investment trust, or REIT, that is focused primarily on acquiring, managing and maximizing value of Manhattan commercial properties, principally office properties, located in the New York metropolitan area, principally in Manhattan.</w:t>
                      </w:r>
                    </w:p>
                    <w:p>
                      <w:pPr>
                        <w:pStyle w:val="TextBody"/>
                        <w:spacing w:before="0" w:after="0"/>
                        <w:ind w:left="300" w:right="600" w:hanging="0"/>
                        <w:rPr>
                          <w:caps w:val="false"/>
                          <w:smallCaps w:val="false"/>
                          <w:color w:val="FFFFFF"/>
                        </w:rPr>
                      </w:pPr>
                      <w:r>
                        <w:rPr>
                          <w:caps w:val="false"/>
                          <w:smallCaps w:val="false"/>
                          <w:color w:val="FFFFFF"/>
                        </w:rPr>
                        <w:t> </w:t>
                      </w:r>
                    </w:p>
                    <w:p>
                      <w:pPr>
                        <w:pStyle w:val="TextBody"/>
                        <w:spacing w:before="0" w:after="0"/>
                        <w:ind w:left="300" w:right="600" w:hanging="0"/>
                        <w:rPr>
                          <w:rFonts w:ascii="Arial" w:hAnsi="Arial"/>
                          <w:b w:val="false"/>
                          <w:i w:val="false"/>
                          <w:caps w:val="false"/>
                          <w:smallCaps w:val="false"/>
                          <w:color w:val="FFFFFF"/>
                          <w:sz w:val="20"/>
                        </w:rPr>
                      </w:pPr>
                      <w:r>
                        <w:rPr>
                          <w:rFonts w:ascii="Arial" w:hAnsi="Arial"/>
                          <w:b w:val="false"/>
                          <w:i w:val="false"/>
                          <w:caps w:val="false"/>
                          <w:smallCaps w:val="false"/>
                          <w:color w:val="FFFFFF"/>
                          <w:sz w:val="20"/>
                        </w:rPr>
                        <w:t>As of December 31, 2022, SL Green held interests in 61 buildings totaling 33.1 million square feet, including ownership interests in 28.9 million square feet of Manhattan buildings and 3.4 million square feet securing debt and preferred equity investments.</w:t>
                      </w:r>
                    </w:p>
                  </w:txbxContent>
                </v:textbox>
                <w10:wrap type="square" side="right"/>
              </v:rect>
            </w:pict>
          </mc:Fallback>
        </mc:AlternateContent>
      </w:r>
      <w:r>
        <mc:AlternateContent>
          <mc:Choice Requires="wps">
            <w:drawing>
              <wp:anchor behindDoc="0" distT="0" distB="0" distL="0" distR="0" simplePos="0" locked="0" layoutInCell="1" allowOverlap="1" relativeHeight="9">
                <wp:simplePos x="0" y="0"/>
                <wp:positionH relativeFrom="column">
                  <wp:align>right</wp:align>
                </wp:positionH>
                <wp:positionV relativeFrom="line">
                  <wp:posOffset>635</wp:posOffset>
                </wp:positionV>
                <wp:extent cx="4017645" cy="8806180"/>
                <wp:effectExtent l="0" t="0" r="0" b="0"/>
                <wp:wrapSquare wrapText="largest"/>
                <wp:docPr id="19" name="Frame2"/>
                <a:graphic xmlns:a="http://schemas.openxmlformats.org/drawingml/2006/main">
                  <a:graphicData uri="http://schemas.microsoft.com/office/word/2010/wordprocessingShape">
                    <wps:wsp>
                      <wps:cNvSpPr txBox="1"/>
                      <wps:spPr>
                        <a:xfrm>
                          <a:off x="0" y="0"/>
                          <a:ext cx="4017645" cy="8806180"/>
                        </a:xfrm>
                        <a:prstGeom prst="rect"/>
                      </wps:spPr>
                      <wps:txbx>
                        <w:txbxContent>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 w:hAnsi="Arial"/>
                                <w:b/>
                                <w:i w:val="false"/>
                                <w:caps w:val="false"/>
                                <w:smallCaps w:val="false"/>
                                <w:color w:val="111841"/>
                                <w:sz w:val="26"/>
                              </w:rPr>
                            </w:pPr>
                            <w:r>
                              <w:rPr>
                                <w:rFonts w:ascii="Arial" w:hAnsi="Arial"/>
                                <w:b/>
                                <w:i w:val="false"/>
                                <w:caps w:val="false"/>
                                <w:smallCaps w:val="false"/>
                                <w:color w:val="111841"/>
                                <w:sz w:val="26"/>
                              </w:rPr>
                              <w:t>We differentiate ourselves from our peers and competitors in key ways:</w:t>
                            </w:r>
                          </w:p>
                          <w:p>
                            <w:pPr>
                              <w:pStyle w:val="TextBody"/>
                              <w:pBdr>
                                <w:bottom w:val="single" w:sz="2" w:space="1" w:color="8DAD3C"/>
                              </w:pBdr>
                              <w:rPr>
                                <w:caps w:val="false"/>
                                <w:smallCaps w:val="false"/>
                                <w:color w:val="111841"/>
                              </w:rPr>
                            </w:pPr>
                            <w:r>
                              <w:rPr>
                                <w:caps w:val="false"/>
                                <w:smallCaps w:val="false"/>
                                <w:color w:val="111841"/>
                              </w:rPr>
                              <w:t> </w:t>
                            </w:r>
                          </w:p>
                          <w:p>
                            <w:pPr>
                              <w:pStyle w:val="TextBody"/>
                              <w:spacing w:before="0" w:after="0"/>
                              <w:ind w:left="0" w:right="0" w:hanging="0"/>
                              <w:rPr>
                                <w:caps w:val="false"/>
                                <w:smallCaps w:val="false"/>
                                <w:color w:val="111841"/>
                              </w:rPr>
                            </w:pPr>
                            <w:r>
                              <w:rPr>
                                <w:caps w:val="false"/>
                                <w:smallCaps w:val="false"/>
                                <w:color w:val="111841"/>
                              </w:rPr>
                              <w:t> </w:t>
                            </w:r>
                          </w:p>
                          <w:p>
                            <w:pPr>
                              <w:pStyle w:val="TextBody"/>
                              <w:spacing w:before="0" w:after="0"/>
                              <w:ind w:left="0" w:right="0" w:hanging="0"/>
                              <w:rPr>
                                <w:rFonts w:ascii="Arial" w:hAnsi="Arial"/>
                                <w:b/>
                                <w:i w:val="false"/>
                                <w:caps w:val="false"/>
                                <w:smallCaps w:val="false"/>
                                <w:color w:val="8DAD3C"/>
                                <w:sz w:val="22"/>
                              </w:rPr>
                            </w:pPr>
                            <w:r>
                              <w:rPr>
                                <w:rFonts w:ascii="Arial" w:hAnsi="Arial"/>
                                <w:b/>
                                <w:i w:val="false"/>
                                <w:caps w:val="false"/>
                                <w:smallCaps w:val="false"/>
                                <w:color w:val="8DAD3C"/>
                                <w:sz w:val="22"/>
                              </w:rPr>
                              <w:t>Active, Responsible and Engaged Business Strategy</w:t>
                            </w:r>
                          </w:p>
                          <w:p>
                            <w:pPr>
                              <w:pStyle w:val="TextBody"/>
                              <w:spacing w:before="0" w:after="0"/>
                              <w:ind w:left="0" w:right="0" w:hanging="0"/>
                              <w:rPr>
                                <w:caps w:val="false"/>
                                <w:smallCaps w:val="false"/>
                                <w:color w:val="8DAD3C"/>
                              </w:rPr>
                            </w:pPr>
                            <w:r>
                              <w:rPr>
                                <w:caps w:val="false"/>
                                <w:smallCaps w:val="false"/>
                                <w:color w:val="8DAD3C"/>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SLG does not subscribe to a traditional “buy and hold” strategy and is a very active transaction-oriented company</w:t>
                                  </w:r>
                                </w:p>
                              </w:tc>
                            </w:tr>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We are focused principally on the Manhattan market, where we have significant experience and valuable insights</w:t>
                                  </w:r>
                                </w:p>
                              </w:tc>
                            </w:tr>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We consider sustainability as a value driver and are committed to maintaining our ESG industry leadership by further reducing our environmental impact</w:t>
                                  </w:r>
                                </w:p>
                              </w:tc>
                            </w:tr>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We execute more transactions than many of our competitors over a much longer, multi-year period</w:t>
                                  </w:r>
                                </w:p>
                              </w:tc>
                            </w:tr>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Accordingly, we frequently capitalize on opportunities in the market, maximizing returns</w:t>
                                  </w:r>
                                </w:p>
                              </w:tc>
                            </w:tr>
                          </w:tbl>
                          <w:p>
                            <w:pPr>
                              <w:pStyle w:val="TextBody"/>
                              <w:pBdr>
                                <w:bottom w:val="single" w:sz="2" w:space="1" w:color="8DAD3C"/>
                              </w:pBdr>
                              <w:rPr>
                                <w:caps w:val="false"/>
                                <w:smallCaps w:val="false"/>
                                <w:color w:val="111841"/>
                              </w:rPr>
                            </w:pPr>
                            <w:r>
                              <w:rPr>
                                <w:caps w:val="false"/>
                                <w:smallCaps w:val="false"/>
                                <w:color w:val="111841"/>
                              </w:rPr>
                              <w:t> </w:t>
                            </w:r>
                          </w:p>
                          <w:p>
                            <w:pPr>
                              <w:pStyle w:val="TextBody"/>
                              <w:spacing w:before="0" w:after="0"/>
                              <w:ind w:left="0" w:right="0" w:hanging="0"/>
                              <w:rPr>
                                <w:caps w:val="false"/>
                                <w:smallCaps w:val="false"/>
                                <w:color w:val="111841"/>
                              </w:rPr>
                            </w:pPr>
                            <w:r>
                              <w:rPr>
                                <w:caps w:val="false"/>
                                <w:smallCaps w:val="false"/>
                                <w:color w:val="111841"/>
                              </w:rPr>
                              <w:t> </w:t>
                            </w:r>
                          </w:p>
                          <w:p>
                            <w:pPr>
                              <w:pStyle w:val="TextBody"/>
                              <w:spacing w:before="0" w:after="0"/>
                              <w:ind w:left="0" w:right="0" w:hanging="0"/>
                              <w:rPr>
                                <w:rFonts w:ascii="Arial" w:hAnsi="Arial"/>
                                <w:b/>
                                <w:i w:val="false"/>
                                <w:caps w:val="false"/>
                                <w:smallCaps w:val="false"/>
                                <w:color w:val="8DAD3C"/>
                                <w:sz w:val="22"/>
                              </w:rPr>
                            </w:pPr>
                            <w:r>
                              <w:rPr>
                                <w:rFonts w:ascii="Arial" w:hAnsi="Arial"/>
                                <w:b/>
                                <w:i w:val="false"/>
                                <w:caps w:val="false"/>
                                <w:smallCaps w:val="false"/>
                                <w:color w:val="8DAD3C"/>
                                <w:sz w:val="22"/>
                              </w:rPr>
                              <w:t>Delivering Sustained Value for All Our Stakeholders</w:t>
                            </w:r>
                          </w:p>
                          <w:p>
                            <w:pPr>
                              <w:pStyle w:val="TextBody"/>
                              <w:spacing w:before="0" w:after="0"/>
                              <w:ind w:left="0" w:right="0" w:hanging="0"/>
                              <w:rPr>
                                <w:caps w:val="false"/>
                                <w:smallCaps w:val="false"/>
                                <w:color w:val="8DAD3C"/>
                              </w:rPr>
                            </w:pPr>
                            <w:r>
                              <w:rPr>
                                <w:caps w:val="false"/>
                                <w:smallCaps w:val="false"/>
                                <w:color w:val="8DAD3C"/>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We understand that mitigation of climate change risks and reducing emissions serve as opportunities to maximize the value of our portfolio for our stakeholders, including building tenants, investors and employees</w:t>
                                  </w:r>
                                </w:p>
                              </w:tc>
                            </w:tr>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We have integrated our ESG framework throughout the business</w:t>
                                  </w:r>
                                </w:p>
                              </w:tc>
                            </w:tr>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We are governed by environmental and social policies that are intended to guide sustainable operations, contribute to effective risk management and positively impacts our stockholders, employees, tenants, and community</w:t>
                                  </w:r>
                                </w:p>
                              </w:tc>
                            </w:tr>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We have positioned ourselves as leaders in ESG, improving environmental performance through upgrades driven by energy efficiency and executing initiatives centered on the health and wellness of our tenants and occupants</w:t>
                                  </w:r>
                                </w:p>
                              </w:tc>
                            </w:tr>
                          </w:tbl>
                          <w:p>
                            <w:pPr>
                              <w:pStyle w:val="TextBody"/>
                              <w:pBdr>
                                <w:bottom w:val="single" w:sz="2" w:space="1" w:color="8DAD3C"/>
                              </w:pBdr>
                              <w:rPr>
                                <w:caps w:val="false"/>
                                <w:smallCaps w:val="false"/>
                                <w:color w:val="111841"/>
                              </w:rPr>
                            </w:pPr>
                            <w:r>
                              <w:rPr>
                                <w:caps w:val="false"/>
                                <w:smallCaps w:val="false"/>
                                <w:color w:val="111841"/>
                              </w:rPr>
                              <w:t> </w:t>
                            </w:r>
                          </w:p>
                          <w:p>
                            <w:pPr>
                              <w:pStyle w:val="TextBody"/>
                              <w:spacing w:before="0" w:after="0"/>
                              <w:rPr/>
                            </w:pPr>
                            <w:r>
                              <w:rPr/>
                            </w:r>
                          </w:p>
                          <w:tbl>
                            <w:tblPr>
                              <w:tblW w:w="4113" w:type="dxa"/>
                              <w:jc w:val="center"/>
                              <w:tblInd w:w="0" w:type="dxa"/>
                              <w:tblCellMar>
                                <w:top w:w="0" w:type="dxa"/>
                                <w:left w:w="0" w:type="dxa"/>
                                <w:bottom w:w="40" w:type="dxa"/>
                                <w:right w:w="0" w:type="dxa"/>
                              </w:tblCellMar>
                            </w:tblPr>
                            <w:tblGrid>
                              <w:gridCol w:w="2390"/>
                              <w:gridCol w:w="23"/>
                              <w:gridCol w:w="1700"/>
                            </w:tblGrid>
                            <w:tr>
                              <w:trPr/>
                              <w:tc>
                                <w:tcPr>
                                  <w:tcW w:w="2390" w:type="dxa"/>
                                  <w:tcBorders>
                                    <w:bottom w:val="single" w:sz="8" w:space="0" w:color="8DAA3C"/>
                                  </w:tcBorders>
                                  <w:shd w:fill="auto" w:val="clear"/>
                                  <w:vAlign w:val="center"/>
                                </w:tcPr>
                                <w:p>
                                  <w:pPr>
                                    <w:pStyle w:val="TableContents"/>
                                    <w:spacing w:before="0" w:after="283"/>
                                    <w:jc w:val="center"/>
                                    <w:rPr>
                                      <w:rFonts w:ascii="Arial" w:hAnsi="Arial"/>
                                      <w:color w:val="15163A"/>
                                      <w:sz w:val="36"/>
                                    </w:rPr>
                                  </w:pPr>
                                  <w:r>
                                    <w:rPr>
                                      <w:rFonts w:ascii="Arial" w:hAnsi="Arial"/>
                                      <w:color w:val="15163A"/>
                                      <w:sz w:val="36"/>
                                    </w:rPr>
                                    <w:t>96%</w:t>
                                  </w:r>
                                </w:p>
                              </w:tc>
                              <w:tc>
                                <w:tcPr>
                                  <w:tcW w:w="23" w:type="dxa"/>
                                  <w:tcBorders/>
                                  <w:shd w:fill="auto" w:val="clear"/>
                                  <w:tcMar>
                                    <w:bottom w:w="0" w:type="dxa"/>
                                  </w:tcMar>
                                  <w:vAlign w:val="center"/>
                                </w:tcPr>
                                <w:p>
                                  <w:pPr>
                                    <w:pStyle w:val="TableContents"/>
                                    <w:spacing w:before="0" w:after="283"/>
                                    <w:rPr>
                                      <w:sz w:val="4"/>
                                      <w:szCs w:val="4"/>
                                    </w:rPr>
                                  </w:pPr>
                                  <w:r>
                                    <w:rPr>
                                      <w:sz w:val="4"/>
                                      <w:szCs w:val="4"/>
                                    </w:rPr>
                                  </w:r>
                                </w:p>
                              </w:tc>
                              <w:tc>
                                <w:tcPr>
                                  <w:tcW w:w="1700" w:type="dxa"/>
                                  <w:tcBorders>
                                    <w:bottom w:val="single" w:sz="8" w:space="0" w:color="8DAA3C"/>
                                  </w:tcBorders>
                                  <w:shd w:fill="auto" w:val="clear"/>
                                  <w:vAlign w:val="center"/>
                                </w:tcPr>
                                <w:p>
                                  <w:pPr>
                                    <w:pStyle w:val="TableContents"/>
                                    <w:spacing w:before="0" w:after="283"/>
                                    <w:jc w:val="center"/>
                                    <w:rPr>
                                      <w:rFonts w:ascii="Arial" w:hAnsi="Arial"/>
                                      <w:color w:val="15163A"/>
                                      <w:sz w:val="36"/>
                                    </w:rPr>
                                  </w:pPr>
                                  <w:r>
                                    <w:rPr>
                                      <w:rFonts w:ascii="Arial" w:hAnsi="Arial"/>
                                      <w:color w:val="15163A"/>
                                      <w:sz w:val="36"/>
                                    </w:rPr>
                                    <w:t>23M</w:t>
                                  </w:r>
                                </w:p>
                              </w:tc>
                            </w:tr>
                            <w:tr>
                              <w:trPr/>
                              <w:tc>
                                <w:tcPr>
                                  <w:tcW w:w="2390" w:type="dxa"/>
                                  <w:tcBorders/>
                                  <w:shd w:fill="auto" w:val="clear"/>
                                  <w:tcMar>
                                    <w:bottom w:w="0" w:type="dxa"/>
                                  </w:tcMar>
                                  <w:vAlign w:val="center"/>
                                </w:tcPr>
                                <w:p>
                                  <w:pPr>
                                    <w:pStyle w:val="TableContents"/>
                                    <w:spacing w:before="0" w:after="283"/>
                                    <w:jc w:val="center"/>
                                    <w:rPr>
                                      <w:rFonts w:ascii="Arial" w:hAnsi="Arial"/>
                                      <w:sz w:val="20"/>
                                    </w:rPr>
                                  </w:pPr>
                                  <w:r>
                                    <w:rPr>
                                      <w:rFonts w:ascii="Arial" w:hAnsi="Arial"/>
                                      <w:sz w:val="20"/>
                                    </w:rPr>
                                    <w:t>Of Reporting</w:t>
                                    <w:br/>
                                    <w:t>Properties</w:t>
                                  </w:r>
                                  <w:r>
                                    <w:rPr>
                                      <w:rFonts w:ascii="Arial" w:hAnsi="Arial"/>
                                      <w:position w:val="7"/>
                                      <w:sz w:val="16"/>
                                      <w:sz w:val="20"/>
                                    </w:rPr>
                                    <w:t>(1)</w:t>
                                  </w:r>
                                  <w:r>
                                    <w:rPr>
                                      <w:rFonts w:ascii="Arial" w:hAnsi="Arial"/>
                                      <w:sz w:val="20"/>
                                    </w:rPr>
                                    <w:t xml:space="preserve"> Hold a</w:t>
                                    <w:br/>
                                    <w:t>Green Building Certification</w:t>
                                  </w:r>
                                </w:p>
                              </w:tc>
                              <w:tc>
                                <w:tcPr>
                                  <w:tcW w:w="23" w:type="dxa"/>
                                  <w:tcBorders/>
                                  <w:shd w:fill="auto" w:val="clear"/>
                                  <w:tcMar>
                                    <w:bottom w:w="0" w:type="dxa"/>
                                  </w:tcMar>
                                  <w:vAlign w:val="center"/>
                                </w:tcPr>
                                <w:p>
                                  <w:pPr>
                                    <w:pStyle w:val="TableContents"/>
                                    <w:spacing w:before="0" w:after="283"/>
                                    <w:rPr>
                                      <w:sz w:val="4"/>
                                      <w:szCs w:val="4"/>
                                    </w:rPr>
                                  </w:pPr>
                                  <w:r>
                                    <w:rPr>
                                      <w:sz w:val="4"/>
                                      <w:szCs w:val="4"/>
                                    </w:rPr>
                                  </w:r>
                                </w:p>
                              </w:tc>
                              <w:tc>
                                <w:tcPr>
                                  <w:tcW w:w="1700" w:type="dxa"/>
                                  <w:tcBorders/>
                                  <w:shd w:fill="auto" w:val="clear"/>
                                  <w:tcMar>
                                    <w:bottom w:w="0" w:type="dxa"/>
                                  </w:tcMar>
                                  <w:vAlign w:val="center"/>
                                </w:tcPr>
                                <w:p>
                                  <w:pPr>
                                    <w:pStyle w:val="TableContents"/>
                                    <w:spacing w:before="0" w:after="283"/>
                                    <w:jc w:val="center"/>
                                    <w:rPr>
                                      <w:rFonts w:ascii="Arial" w:hAnsi="Arial"/>
                                      <w:sz w:val="20"/>
                                    </w:rPr>
                                  </w:pPr>
                                  <w:r>
                                    <w:rPr>
                                      <w:rFonts w:ascii="Arial" w:hAnsi="Arial"/>
                                      <w:sz w:val="20"/>
                                    </w:rPr>
                                    <w:t>Square Fee Earned</w:t>
                                    <w:br/>
                                    <w:t>the WELL Health-</w:t>
                                    <w:br/>
                                    <w:t>Safety Rating</w:t>
                                  </w:r>
                                </w:p>
                              </w:tc>
                            </w:tr>
                          </w:tbl>
                          <w:p>
                            <w:pPr>
                              <w:pStyle w:val="TextBody"/>
                              <w:rPr/>
                            </w:pPr>
                            <w:r>
                              <w:rPr/>
                            </w:r>
                          </w:p>
                          <w:tbl>
                            <w:tblPr>
                              <w:tblW w:w="10205" w:type="dxa"/>
                              <w:jc w:val="left"/>
                              <w:tblInd w:w="0" w:type="dxa"/>
                              <w:tblCellMar>
                                <w:top w:w="0" w:type="dxa"/>
                                <w:left w:w="0" w:type="dxa"/>
                                <w:bottom w:w="0" w:type="dxa"/>
                                <w:right w:w="0" w:type="dxa"/>
                              </w:tblCellMar>
                            </w:tblPr>
                            <w:tblGrid>
                              <w:gridCol w:w="146"/>
                              <w:gridCol w:w="10059"/>
                            </w:tblGrid>
                            <w:tr>
                              <w:trPr/>
                              <w:tc>
                                <w:tcPr>
                                  <w:tcW w:w="146" w:type="dxa"/>
                                  <w:tcBorders/>
                                  <w:shd w:fill="auto" w:val="clear"/>
                                  <w:vAlign w:val="center"/>
                                </w:tcPr>
                                <w:p>
                                  <w:pPr>
                                    <w:pStyle w:val="TableContents"/>
                                    <w:spacing w:before="0" w:after="283"/>
                                    <w:jc w:val="left"/>
                                    <w:rPr>
                                      <w:rFonts w:ascii="Arial" w:hAnsi="Arial"/>
                                      <w:b w:val="false"/>
                                      <w:i w:val="false"/>
                                      <w:caps w:val="false"/>
                                      <w:smallCaps w:val="false"/>
                                      <w:sz w:val="14"/>
                                    </w:rPr>
                                  </w:pPr>
                                  <w:r>
                                    <w:rPr>
                                      <w:rFonts w:ascii="Arial" w:hAnsi="Arial"/>
                                      <w:b w:val="false"/>
                                      <w:i w:val="false"/>
                                      <w:caps w:val="false"/>
                                      <w:smallCaps w:val="false"/>
                                      <w:position w:val="5"/>
                                      <w:sz w:val="11"/>
                                      <w:sz w:val="14"/>
                                    </w:rPr>
                                    <w:t>(1)</w:t>
                                  </w:r>
                                  <w:r>
                                    <w:rPr>
                                      <w:rFonts w:ascii="Arial" w:hAnsi="Arial"/>
                                      <w:b w:val="false"/>
                                      <w:i w:val="false"/>
                                      <w:caps w:val="false"/>
                                      <w:smallCaps w:val="false"/>
                                      <w:sz w:val="14"/>
                                    </w:rPr>
                                    <w:t> </w:t>
                                  </w:r>
                                </w:p>
                              </w:tc>
                              <w:tc>
                                <w:tcPr>
                                  <w:tcW w:w="10059" w:type="dxa"/>
                                  <w:tcBorders/>
                                  <w:shd w:fill="auto" w:val="clear"/>
                                  <w:vAlign w:val="center"/>
                                </w:tcPr>
                                <w:p>
                                  <w:pPr>
                                    <w:pStyle w:val="TableContents"/>
                                    <w:spacing w:before="0" w:after="283"/>
                                    <w:rPr>
                                      <w:rFonts w:ascii="Arial" w:hAnsi="Arial"/>
                                      <w:b w:val="false"/>
                                      <w:i w:val="false"/>
                                      <w:caps w:val="false"/>
                                      <w:smallCaps w:val="false"/>
                                      <w:sz w:val="14"/>
                                    </w:rPr>
                                  </w:pPr>
                                  <w:r>
                                    <w:rPr>
                                      <w:rFonts w:ascii="Arial" w:hAnsi="Arial"/>
                                      <w:b w:val="false"/>
                                      <w:i w:val="false"/>
                                      <w:caps w:val="false"/>
                                      <w:smallCaps w:val="false"/>
                                      <w:sz w:val="14"/>
                                    </w:rPr>
                                    <w:t>Reporting properties are listed on page 56 of SL Greens 2022 ESG Report found under the SustainabilityReports and Resources section of our corporate website at www.slgreen.com and include properties where SL Green maintained ownership and direct operational control for the full 2021 calendar year. The information found on our website or in our 2022 ESG Report is not incorporated into, and does not form a part of, this proxy statement or any other report or document we file with, or furnish to, the SEC.</w:t>
                                  </w:r>
                                </w:p>
                              </w:tc>
                            </w:tr>
                          </w:tbl>
                          <w:p>
                            <w:pPr>
                              <w:pStyle w:val="TextBody"/>
                              <w:spacing w:before="0" w:after="283"/>
                              <w:rPr/>
                            </w:pPr>
                            <w:r>
                              <w:rPr/>
                            </w:r>
                          </w:p>
                        </w:txbxContent>
                      </wps:txbx>
                      <wps:bodyPr anchor="t" lIns="0" tIns="0" rIns="0" bIns="0">
                        <a:noAutofit/>
                      </wps:bodyPr>
                    </wps:wsp>
                  </a:graphicData>
                </a:graphic>
                <wp14:sizeRelH relativeFrom="margin">
                  <wp14:pctWidth>62000</wp14:pctWidth>
                </wp14:sizeRelH>
              </wp:anchor>
            </w:drawing>
          </mc:Choice>
          <mc:Fallback>
            <w:pict>
              <v:rect style="position:absolute;rotation:0;width:316.35pt;height:693.4pt;mso-wrap-distance-left:0pt;mso-wrap-distance-right:0pt;mso-wrap-distance-top:0pt;mso-wrap-distance-bottom:0pt;margin-top:0pt;mso-position-vertical:top;mso-position-vertical-relative:text;margin-left:193.9pt;mso-position-horizontal:right;mso-position-horizontal-relative:text">
                <v:textbox>
                  <w:txbxContent>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 w:hAnsi="Arial"/>
                          <w:b/>
                          <w:i w:val="false"/>
                          <w:caps w:val="false"/>
                          <w:smallCaps w:val="false"/>
                          <w:color w:val="111841"/>
                          <w:sz w:val="26"/>
                        </w:rPr>
                      </w:pPr>
                      <w:r>
                        <w:rPr>
                          <w:rFonts w:ascii="Arial" w:hAnsi="Arial"/>
                          <w:b/>
                          <w:i w:val="false"/>
                          <w:caps w:val="false"/>
                          <w:smallCaps w:val="false"/>
                          <w:color w:val="111841"/>
                          <w:sz w:val="26"/>
                        </w:rPr>
                        <w:t>We differentiate ourselves from our peers and competitors in key ways:</w:t>
                      </w:r>
                    </w:p>
                    <w:p>
                      <w:pPr>
                        <w:pStyle w:val="TextBody"/>
                        <w:pBdr>
                          <w:bottom w:val="single" w:sz="2" w:space="1" w:color="8DAD3C"/>
                        </w:pBdr>
                        <w:rPr>
                          <w:caps w:val="false"/>
                          <w:smallCaps w:val="false"/>
                          <w:color w:val="111841"/>
                        </w:rPr>
                      </w:pPr>
                      <w:r>
                        <w:rPr>
                          <w:caps w:val="false"/>
                          <w:smallCaps w:val="false"/>
                          <w:color w:val="111841"/>
                        </w:rPr>
                        <w:t> </w:t>
                      </w:r>
                    </w:p>
                    <w:p>
                      <w:pPr>
                        <w:pStyle w:val="TextBody"/>
                        <w:spacing w:before="0" w:after="0"/>
                        <w:ind w:left="0" w:right="0" w:hanging="0"/>
                        <w:rPr>
                          <w:caps w:val="false"/>
                          <w:smallCaps w:val="false"/>
                          <w:color w:val="111841"/>
                        </w:rPr>
                      </w:pPr>
                      <w:r>
                        <w:rPr>
                          <w:caps w:val="false"/>
                          <w:smallCaps w:val="false"/>
                          <w:color w:val="111841"/>
                        </w:rPr>
                        <w:t> </w:t>
                      </w:r>
                    </w:p>
                    <w:p>
                      <w:pPr>
                        <w:pStyle w:val="TextBody"/>
                        <w:spacing w:before="0" w:after="0"/>
                        <w:ind w:left="0" w:right="0" w:hanging="0"/>
                        <w:rPr>
                          <w:rFonts w:ascii="Arial" w:hAnsi="Arial"/>
                          <w:b/>
                          <w:i w:val="false"/>
                          <w:caps w:val="false"/>
                          <w:smallCaps w:val="false"/>
                          <w:color w:val="8DAD3C"/>
                          <w:sz w:val="22"/>
                        </w:rPr>
                      </w:pPr>
                      <w:r>
                        <w:rPr>
                          <w:rFonts w:ascii="Arial" w:hAnsi="Arial"/>
                          <w:b/>
                          <w:i w:val="false"/>
                          <w:caps w:val="false"/>
                          <w:smallCaps w:val="false"/>
                          <w:color w:val="8DAD3C"/>
                          <w:sz w:val="22"/>
                        </w:rPr>
                        <w:t>Active, Responsible and Engaged Business Strategy</w:t>
                      </w:r>
                    </w:p>
                    <w:p>
                      <w:pPr>
                        <w:pStyle w:val="TextBody"/>
                        <w:spacing w:before="0" w:after="0"/>
                        <w:ind w:left="0" w:right="0" w:hanging="0"/>
                        <w:rPr>
                          <w:caps w:val="false"/>
                          <w:smallCaps w:val="false"/>
                          <w:color w:val="8DAD3C"/>
                        </w:rPr>
                      </w:pPr>
                      <w:r>
                        <w:rPr>
                          <w:caps w:val="false"/>
                          <w:smallCaps w:val="false"/>
                          <w:color w:val="8DAD3C"/>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SLG does not subscribe to a traditional “buy and hold” strategy and is a very active transaction-oriented company</w:t>
                            </w:r>
                          </w:p>
                        </w:tc>
                      </w:tr>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We are focused principally on the Manhattan market, where we have significant experience and valuable insights</w:t>
                            </w:r>
                          </w:p>
                        </w:tc>
                      </w:tr>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We consider sustainability as a value driver and are committed to maintaining our ESG industry leadership by further reducing our environmental impact</w:t>
                            </w:r>
                          </w:p>
                        </w:tc>
                      </w:tr>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We execute more transactions than many of our competitors over a much longer, multi-year period</w:t>
                            </w:r>
                          </w:p>
                        </w:tc>
                      </w:tr>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Accordingly, we frequently capitalize on opportunities in the market, maximizing returns</w:t>
                            </w:r>
                          </w:p>
                        </w:tc>
                      </w:tr>
                    </w:tbl>
                    <w:p>
                      <w:pPr>
                        <w:pStyle w:val="TextBody"/>
                        <w:pBdr>
                          <w:bottom w:val="single" w:sz="2" w:space="1" w:color="8DAD3C"/>
                        </w:pBdr>
                        <w:rPr>
                          <w:caps w:val="false"/>
                          <w:smallCaps w:val="false"/>
                          <w:color w:val="111841"/>
                        </w:rPr>
                      </w:pPr>
                      <w:r>
                        <w:rPr>
                          <w:caps w:val="false"/>
                          <w:smallCaps w:val="false"/>
                          <w:color w:val="111841"/>
                        </w:rPr>
                        <w:t> </w:t>
                      </w:r>
                    </w:p>
                    <w:p>
                      <w:pPr>
                        <w:pStyle w:val="TextBody"/>
                        <w:spacing w:before="0" w:after="0"/>
                        <w:ind w:left="0" w:right="0" w:hanging="0"/>
                        <w:rPr>
                          <w:caps w:val="false"/>
                          <w:smallCaps w:val="false"/>
                          <w:color w:val="111841"/>
                        </w:rPr>
                      </w:pPr>
                      <w:r>
                        <w:rPr>
                          <w:caps w:val="false"/>
                          <w:smallCaps w:val="false"/>
                          <w:color w:val="111841"/>
                        </w:rPr>
                        <w:t> </w:t>
                      </w:r>
                    </w:p>
                    <w:p>
                      <w:pPr>
                        <w:pStyle w:val="TextBody"/>
                        <w:spacing w:before="0" w:after="0"/>
                        <w:ind w:left="0" w:right="0" w:hanging="0"/>
                        <w:rPr>
                          <w:rFonts w:ascii="Arial" w:hAnsi="Arial"/>
                          <w:b/>
                          <w:i w:val="false"/>
                          <w:caps w:val="false"/>
                          <w:smallCaps w:val="false"/>
                          <w:color w:val="8DAD3C"/>
                          <w:sz w:val="22"/>
                        </w:rPr>
                      </w:pPr>
                      <w:r>
                        <w:rPr>
                          <w:rFonts w:ascii="Arial" w:hAnsi="Arial"/>
                          <w:b/>
                          <w:i w:val="false"/>
                          <w:caps w:val="false"/>
                          <w:smallCaps w:val="false"/>
                          <w:color w:val="8DAD3C"/>
                          <w:sz w:val="22"/>
                        </w:rPr>
                        <w:t>Delivering Sustained Value for All Our Stakeholders</w:t>
                      </w:r>
                    </w:p>
                    <w:p>
                      <w:pPr>
                        <w:pStyle w:val="TextBody"/>
                        <w:spacing w:before="0" w:after="0"/>
                        <w:ind w:left="0" w:right="0" w:hanging="0"/>
                        <w:rPr>
                          <w:caps w:val="false"/>
                          <w:smallCaps w:val="false"/>
                          <w:color w:val="8DAD3C"/>
                        </w:rPr>
                      </w:pPr>
                      <w:r>
                        <w:rPr>
                          <w:caps w:val="false"/>
                          <w:smallCaps w:val="false"/>
                          <w:color w:val="8DAD3C"/>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We understand that mitigation of climate change risks and reducing emissions serve as opportunities to maximize the value of our portfolio for our stakeholders, including building tenants, investors and employees</w:t>
                            </w:r>
                          </w:p>
                        </w:tc>
                      </w:tr>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We have integrated our ESG framework throughout the business</w:t>
                            </w:r>
                          </w:p>
                        </w:tc>
                      </w:tr>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We are governed by environmental and social policies that are intended to guide sustainable operations, contribute to effective risk management and positively impacts our stockholders, employees, tenants, and community</w:t>
                            </w:r>
                          </w:p>
                        </w:tc>
                      </w:tr>
                      <w:tr>
                        <w:trPr/>
                        <w:tc>
                          <w:tcPr>
                            <w:tcW w:w="185" w:type="dxa"/>
                            <w:tcBorders/>
                            <w:shd w:fill="auto" w:val="clear"/>
                            <w:vAlign w:val="center"/>
                          </w:tcPr>
                          <w:p>
                            <w:pPr>
                              <w:pStyle w:val="TableContents"/>
                              <w:spacing w:before="0" w:after="283"/>
                              <w:jc w:val="left"/>
                              <w:rPr>
                                <w:caps w:val="false"/>
                                <w:smallCaps w:val="false"/>
                                <w:color w:val="111841"/>
                              </w:rPr>
                            </w:pPr>
                            <w:r>
                              <w:rPr>
                                <w:caps w:val="false"/>
                                <w:smallCaps w:val="false"/>
                                <w:color w:val="111841"/>
                              </w:rPr>
                              <w:t>●</w:t>
                            </w:r>
                          </w:p>
                        </w:tc>
                        <w:tc>
                          <w:tcPr>
                            <w:tcW w:w="1002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We have positioned ourselves as leaders in ESG, improving environmental performance through upgrades driven by energy efficiency and executing initiatives centered on the health and wellness of our tenants and occupants</w:t>
                            </w:r>
                          </w:p>
                        </w:tc>
                      </w:tr>
                    </w:tbl>
                    <w:p>
                      <w:pPr>
                        <w:pStyle w:val="TextBody"/>
                        <w:pBdr>
                          <w:bottom w:val="single" w:sz="2" w:space="1" w:color="8DAD3C"/>
                        </w:pBdr>
                        <w:rPr>
                          <w:caps w:val="false"/>
                          <w:smallCaps w:val="false"/>
                          <w:color w:val="111841"/>
                        </w:rPr>
                      </w:pPr>
                      <w:r>
                        <w:rPr>
                          <w:caps w:val="false"/>
                          <w:smallCaps w:val="false"/>
                          <w:color w:val="111841"/>
                        </w:rPr>
                        <w:t> </w:t>
                      </w:r>
                    </w:p>
                    <w:p>
                      <w:pPr>
                        <w:pStyle w:val="TextBody"/>
                        <w:spacing w:before="0" w:after="0"/>
                        <w:rPr/>
                      </w:pPr>
                      <w:r>
                        <w:rPr/>
                      </w:r>
                    </w:p>
                    <w:tbl>
                      <w:tblPr>
                        <w:tblW w:w="4113" w:type="dxa"/>
                        <w:jc w:val="center"/>
                        <w:tblInd w:w="0" w:type="dxa"/>
                        <w:tblCellMar>
                          <w:top w:w="0" w:type="dxa"/>
                          <w:left w:w="0" w:type="dxa"/>
                          <w:bottom w:w="40" w:type="dxa"/>
                          <w:right w:w="0" w:type="dxa"/>
                        </w:tblCellMar>
                      </w:tblPr>
                      <w:tblGrid>
                        <w:gridCol w:w="2390"/>
                        <w:gridCol w:w="23"/>
                        <w:gridCol w:w="1700"/>
                      </w:tblGrid>
                      <w:tr>
                        <w:trPr/>
                        <w:tc>
                          <w:tcPr>
                            <w:tcW w:w="2390" w:type="dxa"/>
                            <w:tcBorders>
                              <w:bottom w:val="single" w:sz="8" w:space="0" w:color="8DAA3C"/>
                            </w:tcBorders>
                            <w:shd w:fill="auto" w:val="clear"/>
                            <w:vAlign w:val="center"/>
                          </w:tcPr>
                          <w:p>
                            <w:pPr>
                              <w:pStyle w:val="TableContents"/>
                              <w:spacing w:before="0" w:after="283"/>
                              <w:jc w:val="center"/>
                              <w:rPr>
                                <w:rFonts w:ascii="Arial" w:hAnsi="Arial"/>
                                <w:color w:val="15163A"/>
                                <w:sz w:val="36"/>
                              </w:rPr>
                            </w:pPr>
                            <w:r>
                              <w:rPr>
                                <w:rFonts w:ascii="Arial" w:hAnsi="Arial"/>
                                <w:color w:val="15163A"/>
                                <w:sz w:val="36"/>
                              </w:rPr>
                              <w:t>96%</w:t>
                            </w:r>
                          </w:p>
                        </w:tc>
                        <w:tc>
                          <w:tcPr>
                            <w:tcW w:w="23" w:type="dxa"/>
                            <w:tcBorders/>
                            <w:shd w:fill="auto" w:val="clear"/>
                            <w:tcMar>
                              <w:bottom w:w="0" w:type="dxa"/>
                            </w:tcMar>
                            <w:vAlign w:val="center"/>
                          </w:tcPr>
                          <w:p>
                            <w:pPr>
                              <w:pStyle w:val="TableContents"/>
                              <w:spacing w:before="0" w:after="283"/>
                              <w:rPr>
                                <w:sz w:val="4"/>
                                <w:szCs w:val="4"/>
                              </w:rPr>
                            </w:pPr>
                            <w:r>
                              <w:rPr>
                                <w:sz w:val="4"/>
                                <w:szCs w:val="4"/>
                              </w:rPr>
                            </w:r>
                          </w:p>
                        </w:tc>
                        <w:tc>
                          <w:tcPr>
                            <w:tcW w:w="1700" w:type="dxa"/>
                            <w:tcBorders>
                              <w:bottom w:val="single" w:sz="8" w:space="0" w:color="8DAA3C"/>
                            </w:tcBorders>
                            <w:shd w:fill="auto" w:val="clear"/>
                            <w:vAlign w:val="center"/>
                          </w:tcPr>
                          <w:p>
                            <w:pPr>
                              <w:pStyle w:val="TableContents"/>
                              <w:spacing w:before="0" w:after="283"/>
                              <w:jc w:val="center"/>
                              <w:rPr>
                                <w:rFonts w:ascii="Arial" w:hAnsi="Arial"/>
                                <w:color w:val="15163A"/>
                                <w:sz w:val="36"/>
                              </w:rPr>
                            </w:pPr>
                            <w:r>
                              <w:rPr>
                                <w:rFonts w:ascii="Arial" w:hAnsi="Arial"/>
                                <w:color w:val="15163A"/>
                                <w:sz w:val="36"/>
                              </w:rPr>
                              <w:t>23M</w:t>
                            </w:r>
                          </w:p>
                        </w:tc>
                      </w:tr>
                      <w:tr>
                        <w:trPr/>
                        <w:tc>
                          <w:tcPr>
                            <w:tcW w:w="2390" w:type="dxa"/>
                            <w:tcBorders/>
                            <w:shd w:fill="auto" w:val="clear"/>
                            <w:tcMar>
                              <w:bottom w:w="0" w:type="dxa"/>
                            </w:tcMar>
                            <w:vAlign w:val="center"/>
                          </w:tcPr>
                          <w:p>
                            <w:pPr>
                              <w:pStyle w:val="TableContents"/>
                              <w:spacing w:before="0" w:after="283"/>
                              <w:jc w:val="center"/>
                              <w:rPr>
                                <w:rFonts w:ascii="Arial" w:hAnsi="Arial"/>
                                <w:sz w:val="20"/>
                              </w:rPr>
                            </w:pPr>
                            <w:r>
                              <w:rPr>
                                <w:rFonts w:ascii="Arial" w:hAnsi="Arial"/>
                                <w:sz w:val="20"/>
                              </w:rPr>
                              <w:t>Of Reporting</w:t>
                              <w:br/>
                              <w:t>Properties</w:t>
                            </w:r>
                            <w:r>
                              <w:rPr>
                                <w:rFonts w:ascii="Arial" w:hAnsi="Arial"/>
                                <w:position w:val="7"/>
                                <w:sz w:val="16"/>
                                <w:sz w:val="20"/>
                              </w:rPr>
                              <w:t>(1)</w:t>
                            </w:r>
                            <w:r>
                              <w:rPr>
                                <w:rFonts w:ascii="Arial" w:hAnsi="Arial"/>
                                <w:sz w:val="20"/>
                              </w:rPr>
                              <w:t xml:space="preserve"> Hold a</w:t>
                              <w:br/>
                              <w:t>Green Building Certification</w:t>
                            </w:r>
                          </w:p>
                        </w:tc>
                        <w:tc>
                          <w:tcPr>
                            <w:tcW w:w="23" w:type="dxa"/>
                            <w:tcBorders/>
                            <w:shd w:fill="auto" w:val="clear"/>
                            <w:tcMar>
                              <w:bottom w:w="0" w:type="dxa"/>
                            </w:tcMar>
                            <w:vAlign w:val="center"/>
                          </w:tcPr>
                          <w:p>
                            <w:pPr>
                              <w:pStyle w:val="TableContents"/>
                              <w:spacing w:before="0" w:after="283"/>
                              <w:rPr>
                                <w:sz w:val="4"/>
                                <w:szCs w:val="4"/>
                              </w:rPr>
                            </w:pPr>
                            <w:r>
                              <w:rPr>
                                <w:sz w:val="4"/>
                                <w:szCs w:val="4"/>
                              </w:rPr>
                            </w:r>
                          </w:p>
                        </w:tc>
                        <w:tc>
                          <w:tcPr>
                            <w:tcW w:w="1700" w:type="dxa"/>
                            <w:tcBorders/>
                            <w:shd w:fill="auto" w:val="clear"/>
                            <w:tcMar>
                              <w:bottom w:w="0" w:type="dxa"/>
                            </w:tcMar>
                            <w:vAlign w:val="center"/>
                          </w:tcPr>
                          <w:p>
                            <w:pPr>
                              <w:pStyle w:val="TableContents"/>
                              <w:spacing w:before="0" w:after="283"/>
                              <w:jc w:val="center"/>
                              <w:rPr>
                                <w:rFonts w:ascii="Arial" w:hAnsi="Arial"/>
                                <w:sz w:val="20"/>
                              </w:rPr>
                            </w:pPr>
                            <w:r>
                              <w:rPr>
                                <w:rFonts w:ascii="Arial" w:hAnsi="Arial"/>
                                <w:sz w:val="20"/>
                              </w:rPr>
                              <w:t>Square Fee Earned</w:t>
                              <w:br/>
                              <w:t>the WELL Health-</w:t>
                              <w:br/>
                              <w:t>Safety Rating</w:t>
                            </w:r>
                          </w:p>
                        </w:tc>
                      </w:tr>
                    </w:tbl>
                    <w:p>
                      <w:pPr>
                        <w:pStyle w:val="TextBody"/>
                        <w:rPr/>
                      </w:pPr>
                      <w:r>
                        <w:rPr/>
                      </w:r>
                    </w:p>
                    <w:tbl>
                      <w:tblPr>
                        <w:tblW w:w="10205" w:type="dxa"/>
                        <w:jc w:val="left"/>
                        <w:tblInd w:w="0" w:type="dxa"/>
                        <w:tblCellMar>
                          <w:top w:w="0" w:type="dxa"/>
                          <w:left w:w="0" w:type="dxa"/>
                          <w:bottom w:w="0" w:type="dxa"/>
                          <w:right w:w="0" w:type="dxa"/>
                        </w:tblCellMar>
                      </w:tblPr>
                      <w:tblGrid>
                        <w:gridCol w:w="146"/>
                        <w:gridCol w:w="10059"/>
                      </w:tblGrid>
                      <w:tr>
                        <w:trPr/>
                        <w:tc>
                          <w:tcPr>
                            <w:tcW w:w="146" w:type="dxa"/>
                            <w:tcBorders/>
                            <w:shd w:fill="auto" w:val="clear"/>
                            <w:vAlign w:val="center"/>
                          </w:tcPr>
                          <w:p>
                            <w:pPr>
                              <w:pStyle w:val="TableContents"/>
                              <w:spacing w:before="0" w:after="283"/>
                              <w:jc w:val="left"/>
                              <w:rPr>
                                <w:rFonts w:ascii="Arial" w:hAnsi="Arial"/>
                                <w:b w:val="false"/>
                                <w:i w:val="false"/>
                                <w:caps w:val="false"/>
                                <w:smallCaps w:val="false"/>
                                <w:sz w:val="14"/>
                              </w:rPr>
                            </w:pPr>
                            <w:r>
                              <w:rPr>
                                <w:rFonts w:ascii="Arial" w:hAnsi="Arial"/>
                                <w:b w:val="false"/>
                                <w:i w:val="false"/>
                                <w:caps w:val="false"/>
                                <w:smallCaps w:val="false"/>
                                <w:position w:val="5"/>
                                <w:sz w:val="11"/>
                                <w:sz w:val="14"/>
                              </w:rPr>
                              <w:t>(1)</w:t>
                            </w:r>
                            <w:r>
                              <w:rPr>
                                <w:rFonts w:ascii="Arial" w:hAnsi="Arial"/>
                                <w:b w:val="false"/>
                                <w:i w:val="false"/>
                                <w:caps w:val="false"/>
                                <w:smallCaps w:val="false"/>
                                <w:sz w:val="14"/>
                              </w:rPr>
                              <w:t> </w:t>
                            </w:r>
                          </w:p>
                        </w:tc>
                        <w:tc>
                          <w:tcPr>
                            <w:tcW w:w="10059" w:type="dxa"/>
                            <w:tcBorders/>
                            <w:shd w:fill="auto" w:val="clear"/>
                            <w:vAlign w:val="center"/>
                          </w:tcPr>
                          <w:p>
                            <w:pPr>
                              <w:pStyle w:val="TableContents"/>
                              <w:spacing w:before="0" w:after="283"/>
                              <w:rPr>
                                <w:rFonts w:ascii="Arial" w:hAnsi="Arial"/>
                                <w:b w:val="false"/>
                                <w:i w:val="false"/>
                                <w:caps w:val="false"/>
                                <w:smallCaps w:val="false"/>
                                <w:sz w:val="14"/>
                              </w:rPr>
                            </w:pPr>
                            <w:r>
                              <w:rPr>
                                <w:rFonts w:ascii="Arial" w:hAnsi="Arial"/>
                                <w:b w:val="false"/>
                                <w:i w:val="false"/>
                                <w:caps w:val="false"/>
                                <w:smallCaps w:val="false"/>
                                <w:sz w:val="14"/>
                              </w:rPr>
                              <w:t>Reporting properties are listed on page 56 of SL Greens 2022 ESG Report found under the SustainabilityReports and Resources section of our corporate website at www.slgreen.com and include properties where SL Green maintained ownership and direct operational control for the full 2021 calendar year. The information found on our website or in our 2022 ESG Report is not incorporated into, and does not form a part of, this proxy statement or any other report or document we file with, or furnish to, the SEC.</w:t>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i w:val="false"/>
            <w:caps w:val="false"/>
            <w:smallCaps w:val="false"/>
            <w:sz w:val="20"/>
          </w:rPr>
          <w:t>Table of Contents</w:t>
        </w:r>
      </w:hyperlink>
    </w:p>
    <w:tbl>
      <w:tblPr>
        <w:tblW w:w="4075" w:type="dxa"/>
        <w:jc w:val="left"/>
        <w:tblInd w:w="0" w:type="dxa"/>
        <w:tblCellMar>
          <w:top w:w="0" w:type="dxa"/>
          <w:left w:w="0" w:type="dxa"/>
          <w:bottom w:w="0" w:type="dxa"/>
          <w:right w:w="0" w:type="dxa"/>
        </w:tblCellMar>
      </w:tblPr>
      <w:tblGrid>
        <w:gridCol w:w="155"/>
        <w:gridCol w:w="3920"/>
      </w:tblGrid>
      <w:tr>
        <w:trPr/>
        <w:tc>
          <w:tcPr>
            <w:tcW w:w="155"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4</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rPr>
          <w:rFonts w:ascii="Arial" w:hAnsi="Arial"/>
          <w:b/>
          <w:i w:val="false"/>
          <w:caps w:val="false"/>
          <w:smallCaps w:val="false"/>
          <w:color w:val="8DAD3C"/>
          <w:sz w:val="32"/>
        </w:rPr>
      </w:pPr>
      <w:r>
        <w:rPr>
          <w:rFonts w:ascii="Arial" w:hAnsi="Arial"/>
          <w:b/>
          <w:i w:val="false"/>
          <w:caps w:val="false"/>
          <w:smallCaps w:val="false"/>
          <w:color w:val="8DAD3C"/>
          <w:sz w:val="32"/>
        </w:rPr>
        <w:t>STOCKHOLDER-FRIENDLY CORPORATE</w:t>
        <w:br/>
        <w:t>GOVERNANCE &amp; INDEPENDENT OVERSIGHT</w:t>
      </w:r>
    </w:p>
    <w:p>
      <w:pPr>
        <w:pStyle w:val="TextBody"/>
        <w:rPr>
          <w:rFonts w:ascii="Arial" w:hAnsi="Arial"/>
          <w:b w:val="false"/>
          <w:i w:val="false"/>
          <w:caps w:val="false"/>
          <w:smallCaps w:val="false"/>
          <w:sz w:val="18"/>
        </w:rPr>
      </w:pPr>
      <w:r>
        <w:rPr>
          <w:rFonts w:ascii="Arial" w:hAnsi="Arial"/>
          <w:b w:val="false"/>
          <w:i w:val="false"/>
          <w:caps w:val="false"/>
          <w:smallCaps w:val="false"/>
          <w:sz w:val="18"/>
        </w:rPr>
        <w:t>SL Green has a history of strong corporate governance and stockholder-friendly practices.</w:t>
      </w:r>
    </w:p>
    <w:p>
      <w:pPr>
        <w:pStyle w:val="TextBody"/>
        <w:pBdr>
          <w:bottom w:val="single" w:sz="2" w:space="1" w:color="8DAD3C"/>
        </w:pBdr>
        <w:rPr/>
      </w:pPr>
      <w:r>
        <w:rPr/>
        <w:t> </w:t>
      </w:r>
    </w:p>
    <w:p>
      <w:pPr>
        <w:pStyle w:val="TextBody"/>
        <w:rPr/>
      </w:pPr>
      <w:r>
        <w:rPr/>
        <w:t>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073275" cy="7440295"/>
                <wp:effectExtent l="0" t="0" r="0" b="0"/>
                <wp:wrapSquare wrapText="largest"/>
                <wp:docPr id="20" name="Frame3"/>
                <a:graphic xmlns:a="http://schemas.openxmlformats.org/drawingml/2006/main">
                  <a:graphicData uri="http://schemas.microsoft.com/office/word/2010/wordprocessingShape">
                    <wps:wsp>
                      <wps:cNvSpPr txBox="1"/>
                      <wps:spPr>
                        <a:xfrm>
                          <a:off x="0" y="0"/>
                          <a:ext cx="2073275" cy="7440295"/>
                        </a:xfrm>
                        <a:prstGeom prst="rect"/>
                      </wps:spPr>
                      <wps:txbx>
                        <w:txbxContent>
                          <w:tbl>
                            <w:tblPr>
                              <w:tblW w:w="10205" w:type="dxa"/>
                              <w:jc w:val="left"/>
                              <w:tblInd w:w="0" w:type="dxa"/>
                              <w:tblCellMar>
                                <w:top w:w="0" w:type="dxa"/>
                                <w:left w:w="0" w:type="dxa"/>
                                <w:bottom w:w="0" w:type="dxa"/>
                                <w:right w:w="0" w:type="dxa"/>
                              </w:tblCellMar>
                            </w:tblPr>
                            <w:tblGrid>
                              <w:gridCol w:w="840"/>
                              <w:gridCol w:w="240"/>
                              <w:gridCol w:w="9125"/>
                            </w:tblGrid>
                            <w:tr>
                              <w:trPr/>
                              <w:tc>
                                <w:tcPr>
                                  <w:tcW w:w="840" w:type="dxa"/>
                                  <w:vMerge w:val="restart"/>
                                  <w:tcBorders/>
                                  <w:shd w:fill="auto" w:val="clear"/>
                                  <w:vAlign w:val="center"/>
                                </w:tcPr>
                                <w:p>
                                  <w:pPr>
                                    <w:pStyle w:val="TableContents"/>
                                    <w:spacing w:before="0" w:after="283"/>
                                    <w:jc w:val="center"/>
                                    <w:rPr/>
                                  </w:pPr>
                                  <w:r>
                                    <w:rPr/>
                                    <w:drawing>
                                      <wp:inline distT="0" distB="0" distL="0" distR="0">
                                        <wp:extent cx="523875" cy="5334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523875" cy="533400"/>
                                                </a:xfrm>
                                                <a:prstGeom prst="rect">
                                                  <a:avLst/>
                                                </a:prstGeom>
                                              </pic:spPr>
                                            </pic:pic>
                                          </a:graphicData>
                                        </a:graphic>
                                      </wp:inline>
                                    </w:drawing>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i w:val="false"/>
                                      <w:caps w:val="false"/>
                                      <w:smallCaps w:val="false"/>
                                      <w:color w:val="111741"/>
                                      <w:sz w:val="26"/>
                                    </w:rPr>
                                  </w:pPr>
                                  <w:r>
                                    <w:rPr>
                                      <w:rFonts w:ascii="Arial" w:hAnsi="Arial"/>
                                      <w:b/>
                                      <w:i w:val="false"/>
                                      <w:caps w:val="false"/>
                                      <w:smallCaps w:val="false"/>
                                      <w:color w:val="111741"/>
                                      <w:sz w:val="26"/>
                                    </w:rPr>
                                    <w:t>Diversity</w:t>
                                  </w:r>
                                </w:p>
                              </w:tc>
                            </w:tr>
                            <w:tr>
                              <w:trPr/>
                              <w:tc>
                                <w:tcPr>
                                  <w:tcW w:w="840" w:type="dxa"/>
                                  <w:vMerge w:val="continue"/>
                                  <w:tcBorders/>
                                  <w:shd w:fill="auto" w:val="clear"/>
                                  <w:vAlign w:val="center"/>
                                </w:tcPr>
                                <w:p>
                                  <w:pPr>
                                    <w:pStyle w:val="Normal"/>
                                    <w:rPr/>
                                  </w:pPr>
                                  <w:r>
                                    <w:rPr/>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 xml:space="preserve">Our Board nominees have a diversity of knowledge, skills, experience and perspectives, as well as diversity of age and gender </w:t>
                                  </w:r>
                                </w:p>
                              </w:tc>
                            </w:tr>
                            <w:tr>
                              <w:trPr/>
                              <w:tc>
                                <w:tcPr>
                                  <w:tcW w:w="84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840" w:type="dxa"/>
                                  <w:vMerge w:val="restart"/>
                                  <w:tcBorders/>
                                  <w:shd w:fill="auto" w:val="clear"/>
                                  <w:vAlign w:val="center"/>
                                </w:tcPr>
                                <w:p>
                                  <w:pPr>
                                    <w:pStyle w:val="TableContents"/>
                                    <w:spacing w:before="0" w:after="283"/>
                                    <w:jc w:val="center"/>
                                    <w:rPr/>
                                  </w:pPr>
                                  <w:r>
                                    <w:rPr/>
                                    <w:drawing>
                                      <wp:inline distT="0" distB="0" distL="0" distR="0">
                                        <wp:extent cx="523875" cy="5334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523875" cy="533400"/>
                                                </a:xfrm>
                                                <a:prstGeom prst="rect">
                                                  <a:avLst/>
                                                </a:prstGeom>
                                              </pic:spPr>
                                            </pic:pic>
                                          </a:graphicData>
                                        </a:graphic>
                                      </wp:inline>
                                    </w:drawing>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val="false"/>
                                      <w:i w:val="false"/>
                                      <w:caps w:val="false"/>
                                      <w:smallCaps w:val="false"/>
                                      <w:color w:val="111741"/>
                                      <w:sz w:val="36"/>
                                    </w:rPr>
                                  </w:pPr>
                                  <w:r>
                                    <w:rPr>
                                      <w:rFonts w:ascii="Arial" w:hAnsi="Arial"/>
                                      <w:b w:val="false"/>
                                      <w:i w:val="false"/>
                                      <w:caps w:val="false"/>
                                      <w:smallCaps w:val="false"/>
                                      <w:color w:val="111741"/>
                                      <w:sz w:val="36"/>
                                    </w:rPr>
                                    <w:t>50%</w:t>
                                  </w:r>
                                </w:p>
                              </w:tc>
                            </w:tr>
                            <w:tr>
                              <w:trPr/>
                              <w:tc>
                                <w:tcPr>
                                  <w:tcW w:w="840" w:type="dxa"/>
                                  <w:vMerge w:val="continue"/>
                                  <w:tcBorders/>
                                  <w:shd w:fill="auto" w:val="clear"/>
                                  <w:vAlign w:val="center"/>
                                </w:tcPr>
                                <w:p>
                                  <w:pPr>
                                    <w:pStyle w:val="Normal"/>
                                    <w:rPr/>
                                  </w:pPr>
                                  <w:r>
                                    <w:rPr/>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i w:val="false"/>
                                      <w:caps w:val="false"/>
                                      <w:smallCaps w:val="false"/>
                                      <w:color w:val="111841"/>
                                      <w:sz w:val="18"/>
                                    </w:rPr>
                                  </w:pPr>
                                  <w:r>
                                    <w:rPr>
                                      <w:rFonts w:ascii="Arial" w:hAnsi="Arial"/>
                                      <w:b/>
                                      <w:i w:val="false"/>
                                      <w:caps w:val="false"/>
                                      <w:smallCaps w:val="false"/>
                                      <w:color w:val="111841"/>
                                      <w:sz w:val="18"/>
                                    </w:rPr>
                                    <w:t>of our independent Board nominees are diverse, including gender and racial/ethnic diversity</w:t>
                                  </w:r>
                                </w:p>
                              </w:tc>
                            </w:tr>
                            <w:tr>
                              <w:trPr/>
                              <w:tc>
                                <w:tcPr>
                                  <w:tcW w:w="84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bottom w:val="single" w:sz="2" w:space="0" w:color="8DAD3C"/>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r>
                            <w:tr>
                              <w:trPr/>
                              <w:tc>
                                <w:tcPr>
                                  <w:tcW w:w="840" w:type="dxa"/>
                                  <w:tcBorders/>
                                  <w:shd w:fill="auto" w:val="clear"/>
                                  <w:vAlign w:val="center"/>
                                </w:tcPr>
                                <w:p>
                                  <w:pPr>
                                    <w:pStyle w:val="TableContents"/>
                                    <w:spacing w:before="0" w:after="283"/>
                                    <w:jc w:val="center"/>
                                    <w:rPr/>
                                  </w:pPr>
                                  <w:r>
                                    <w:rPr/>
                                    <w:t> </w:t>
                                  </w:r>
                                </w:p>
                              </w:tc>
                              <w:tc>
                                <w:tcPr>
                                  <w:tcW w:w="240" w:type="dxa"/>
                                  <w:tcBorders/>
                                  <w:shd w:fill="auto" w:val="clear"/>
                                  <w:vAlign w:val="center"/>
                                </w:tcPr>
                                <w:p>
                                  <w:pPr>
                                    <w:pStyle w:val="TableContents"/>
                                    <w:spacing w:before="0" w:after="283"/>
                                    <w:rPr/>
                                  </w:pPr>
                                  <w:r>
                                    <w:rPr/>
                                    <w:t> </w:t>
                                  </w:r>
                                </w:p>
                              </w:tc>
                              <w:tc>
                                <w:tcPr>
                                  <w:tcW w:w="9125" w:type="dxa"/>
                                  <w:tcBorders/>
                                  <w:shd w:fill="auto" w:val="clear"/>
                                  <w:vAlign w:val="center"/>
                                </w:tcPr>
                                <w:p>
                                  <w:pPr>
                                    <w:pStyle w:val="TableContents"/>
                                    <w:spacing w:before="0" w:after="283"/>
                                    <w:rPr/>
                                  </w:pPr>
                                  <w:r>
                                    <w:rPr/>
                                    <w:t> </w:t>
                                  </w:r>
                                </w:p>
                              </w:tc>
                            </w:tr>
                            <w:tr>
                              <w:trPr/>
                              <w:tc>
                                <w:tcPr>
                                  <w:tcW w:w="840" w:type="dxa"/>
                                  <w:vMerge w:val="restart"/>
                                  <w:tcBorders/>
                                  <w:shd w:fill="auto" w:val="clear"/>
                                  <w:vAlign w:val="center"/>
                                </w:tcPr>
                                <w:p>
                                  <w:pPr>
                                    <w:pStyle w:val="TableContents"/>
                                    <w:spacing w:before="0" w:after="283"/>
                                    <w:jc w:val="center"/>
                                    <w:rPr/>
                                  </w:pPr>
                                  <w:r>
                                    <w:rPr/>
                                    <w:drawing>
                                      <wp:inline distT="0" distB="0" distL="0" distR="0">
                                        <wp:extent cx="523875" cy="51435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523875" cy="514350"/>
                                                </a:xfrm>
                                                <a:prstGeom prst="rect">
                                                  <a:avLst/>
                                                </a:prstGeom>
                                              </pic:spPr>
                                            </pic:pic>
                                          </a:graphicData>
                                        </a:graphic>
                                      </wp:inline>
                                    </w:drawing>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i w:val="false"/>
                                      <w:caps w:val="false"/>
                                      <w:smallCaps w:val="false"/>
                                      <w:color w:val="111741"/>
                                      <w:sz w:val="26"/>
                                    </w:rPr>
                                  </w:pPr>
                                  <w:r>
                                    <w:rPr>
                                      <w:rFonts w:ascii="Arial" w:hAnsi="Arial"/>
                                      <w:b/>
                                      <w:i w:val="false"/>
                                      <w:caps w:val="false"/>
                                      <w:smallCaps w:val="false"/>
                                      <w:color w:val="111741"/>
                                      <w:sz w:val="26"/>
                                    </w:rPr>
                                    <w:t>Experience</w:t>
                                  </w:r>
                                </w:p>
                              </w:tc>
                            </w:tr>
                            <w:tr>
                              <w:trPr/>
                              <w:tc>
                                <w:tcPr>
                                  <w:tcW w:w="840" w:type="dxa"/>
                                  <w:vMerge w:val="continue"/>
                                  <w:tcBorders/>
                                  <w:shd w:fill="auto" w:val="clear"/>
                                  <w:vAlign w:val="center"/>
                                </w:tcPr>
                                <w:p>
                                  <w:pPr>
                                    <w:pStyle w:val="Normal"/>
                                    <w:rPr/>
                                  </w:pPr>
                                  <w:r>
                                    <w:rPr/>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Our Board nominees have broad experience serving on public boards in industries relevant to the Company</w:t>
                                  </w:r>
                                </w:p>
                              </w:tc>
                            </w:tr>
                            <w:tr>
                              <w:trPr/>
                              <w:tc>
                                <w:tcPr>
                                  <w:tcW w:w="84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840" w:type="dxa"/>
                                  <w:vMerge w:val="restart"/>
                                  <w:tcBorders/>
                                  <w:shd w:fill="auto" w:val="clear"/>
                                  <w:vAlign w:val="center"/>
                                </w:tcPr>
                                <w:p>
                                  <w:pPr>
                                    <w:pStyle w:val="TableContents"/>
                                    <w:spacing w:before="0" w:after="283"/>
                                    <w:jc w:val="center"/>
                                    <w:rPr/>
                                  </w:pPr>
                                  <w:r>
                                    <w:rPr/>
                                    <w:drawing>
                                      <wp:inline distT="0" distB="0" distL="0" distR="0">
                                        <wp:extent cx="523875" cy="52387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523875" cy="523875"/>
                                                </a:xfrm>
                                                <a:prstGeom prst="rect">
                                                  <a:avLst/>
                                                </a:prstGeom>
                                              </pic:spPr>
                                            </pic:pic>
                                          </a:graphicData>
                                        </a:graphic>
                                      </wp:inline>
                                    </w:drawing>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val="false"/>
                                      <w:i w:val="false"/>
                                      <w:caps w:val="false"/>
                                      <w:smallCaps w:val="false"/>
                                      <w:color w:val="111741"/>
                                      <w:sz w:val="36"/>
                                    </w:rPr>
                                  </w:pPr>
                                  <w:r>
                                    <w:rPr>
                                      <w:rFonts w:ascii="Arial" w:hAnsi="Arial"/>
                                      <w:b w:val="false"/>
                                      <w:i w:val="false"/>
                                      <w:caps w:val="false"/>
                                      <w:smallCaps w:val="false"/>
                                      <w:color w:val="111741"/>
                                      <w:sz w:val="36"/>
                                    </w:rPr>
                                    <w:t>56%</w:t>
                                  </w:r>
                                </w:p>
                              </w:tc>
                            </w:tr>
                            <w:tr>
                              <w:trPr/>
                              <w:tc>
                                <w:tcPr>
                                  <w:tcW w:w="840" w:type="dxa"/>
                                  <w:vMerge w:val="continue"/>
                                  <w:tcBorders/>
                                  <w:shd w:fill="auto" w:val="clear"/>
                                  <w:vAlign w:val="center"/>
                                </w:tcPr>
                                <w:p>
                                  <w:pPr>
                                    <w:pStyle w:val="Normal"/>
                                    <w:rPr/>
                                  </w:pPr>
                                  <w:r>
                                    <w:rPr/>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i w:val="false"/>
                                      <w:caps w:val="false"/>
                                      <w:smallCaps w:val="false"/>
                                      <w:color w:val="111741"/>
                                      <w:sz w:val="18"/>
                                    </w:rPr>
                                  </w:pPr>
                                  <w:r>
                                    <w:rPr>
                                      <w:rFonts w:ascii="Arial" w:hAnsi="Arial"/>
                                      <w:b/>
                                      <w:i w:val="false"/>
                                      <w:caps w:val="false"/>
                                      <w:smallCaps w:val="false"/>
                                      <w:color w:val="111741"/>
                                      <w:sz w:val="18"/>
                                    </w:rPr>
                                    <w:t>of our Board nominees currently serve or have served on the Boards of other publicly traded companies</w:t>
                                  </w:r>
                                </w:p>
                              </w:tc>
                            </w:tr>
                            <w:tr>
                              <w:trPr/>
                              <w:tc>
                                <w:tcPr>
                                  <w:tcW w:w="84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bottom w:val="single" w:sz="2" w:space="0" w:color="8DAD3C"/>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r>
                            <w:tr>
                              <w:trPr/>
                              <w:tc>
                                <w:tcPr>
                                  <w:tcW w:w="840" w:type="dxa"/>
                                  <w:tcBorders/>
                                  <w:shd w:fill="auto" w:val="clear"/>
                                  <w:vAlign w:val="center"/>
                                </w:tcPr>
                                <w:p>
                                  <w:pPr>
                                    <w:pStyle w:val="TableContents"/>
                                    <w:spacing w:before="0" w:after="283"/>
                                    <w:jc w:val="center"/>
                                    <w:rPr/>
                                  </w:pPr>
                                  <w:r>
                                    <w:rPr/>
                                    <w:t> </w:t>
                                  </w:r>
                                </w:p>
                              </w:tc>
                              <w:tc>
                                <w:tcPr>
                                  <w:tcW w:w="240" w:type="dxa"/>
                                  <w:tcBorders/>
                                  <w:shd w:fill="auto" w:val="clear"/>
                                  <w:vAlign w:val="center"/>
                                </w:tcPr>
                                <w:p>
                                  <w:pPr>
                                    <w:pStyle w:val="TableContents"/>
                                    <w:spacing w:before="0" w:after="283"/>
                                    <w:rPr/>
                                  </w:pPr>
                                  <w:r>
                                    <w:rPr/>
                                    <w:t> </w:t>
                                  </w:r>
                                </w:p>
                              </w:tc>
                              <w:tc>
                                <w:tcPr>
                                  <w:tcW w:w="9125" w:type="dxa"/>
                                  <w:tcBorders/>
                                  <w:shd w:fill="auto" w:val="clear"/>
                                  <w:vAlign w:val="center"/>
                                </w:tcPr>
                                <w:p>
                                  <w:pPr>
                                    <w:pStyle w:val="TableContents"/>
                                    <w:spacing w:before="0" w:after="283"/>
                                    <w:rPr/>
                                  </w:pPr>
                                  <w:r>
                                    <w:rPr/>
                                    <w:t> </w:t>
                                  </w:r>
                                </w:p>
                              </w:tc>
                            </w:tr>
                            <w:tr>
                              <w:trPr/>
                              <w:tc>
                                <w:tcPr>
                                  <w:tcW w:w="840" w:type="dxa"/>
                                  <w:vMerge w:val="restart"/>
                                  <w:tcBorders/>
                                  <w:shd w:fill="auto" w:val="clear"/>
                                  <w:vAlign w:val="center"/>
                                </w:tcPr>
                                <w:p>
                                  <w:pPr>
                                    <w:pStyle w:val="TableContents"/>
                                    <w:spacing w:before="0" w:after="283"/>
                                    <w:jc w:val="center"/>
                                    <w:rPr/>
                                  </w:pPr>
                                  <w:r>
                                    <w:rPr/>
                                    <w:drawing>
                                      <wp:inline distT="0" distB="0" distL="0" distR="0">
                                        <wp:extent cx="381000" cy="6191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381000" cy="619125"/>
                                                </a:xfrm>
                                                <a:prstGeom prst="rect">
                                                  <a:avLst/>
                                                </a:prstGeom>
                                              </pic:spPr>
                                            </pic:pic>
                                          </a:graphicData>
                                        </a:graphic>
                                      </wp:inline>
                                    </w:drawing>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i w:val="false"/>
                                      <w:caps w:val="false"/>
                                      <w:smallCaps w:val="false"/>
                                      <w:color w:val="111741"/>
                                      <w:sz w:val="26"/>
                                    </w:rPr>
                                  </w:pPr>
                                  <w:r>
                                    <w:rPr>
                                      <w:rFonts w:ascii="Arial" w:hAnsi="Arial"/>
                                      <w:b/>
                                      <w:i w:val="false"/>
                                      <w:caps w:val="false"/>
                                      <w:smallCaps w:val="false"/>
                                      <w:color w:val="111741"/>
                                      <w:sz w:val="26"/>
                                    </w:rPr>
                                    <w:t>Leadership</w:t>
                                  </w:r>
                                </w:p>
                              </w:tc>
                            </w:tr>
                            <w:tr>
                              <w:trPr/>
                              <w:tc>
                                <w:tcPr>
                                  <w:tcW w:w="840" w:type="dxa"/>
                                  <w:vMerge w:val="continue"/>
                                  <w:tcBorders/>
                                  <w:shd w:fill="auto" w:val="clear"/>
                                  <w:vAlign w:val="center"/>
                                </w:tcPr>
                                <w:p>
                                  <w:pPr>
                                    <w:pStyle w:val="Normal"/>
                                    <w:rPr/>
                                  </w:pPr>
                                  <w:r>
                                    <w:rPr/>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 xml:space="preserve">Our Board nominees have strong corporate leadership backgrounds such as being CEO, CFO or holding other Executive positions </w:t>
                                  </w:r>
                                </w:p>
                              </w:tc>
                            </w:tr>
                            <w:tr>
                              <w:trPr/>
                              <w:tc>
                                <w:tcPr>
                                  <w:tcW w:w="84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840" w:type="dxa"/>
                                  <w:vMerge w:val="restart"/>
                                  <w:tcBorders/>
                                  <w:shd w:fill="auto" w:val="clear"/>
                                  <w:vAlign w:val="center"/>
                                </w:tcPr>
                                <w:p>
                                  <w:pPr>
                                    <w:pStyle w:val="TableContents"/>
                                    <w:spacing w:before="0" w:after="283"/>
                                    <w:jc w:val="center"/>
                                    <w:rPr/>
                                  </w:pPr>
                                  <w:r>
                                    <w:rPr/>
                                    <w:drawing>
                                      <wp:inline distT="0" distB="0" distL="0" distR="0">
                                        <wp:extent cx="523875" cy="52387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523875" cy="523875"/>
                                                </a:xfrm>
                                                <a:prstGeom prst="rect">
                                                  <a:avLst/>
                                                </a:prstGeom>
                                              </pic:spPr>
                                            </pic:pic>
                                          </a:graphicData>
                                        </a:graphic>
                                      </wp:inline>
                                    </w:drawing>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val="false"/>
                                      <w:i w:val="false"/>
                                      <w:caps w:val="false"/>
                                      <w:smallCaps w:val="false"/>
                                      <w:color w:val="111741"/>
                                      <w:sz w:val="36"/>
                                    </w:rPr>
                                  </w:pPr>
                                  <w:r>
                                    <w:rPr>
                                      <w:rFonts w:ascii="Arial" w:hAnsi="Arial"/>
                                      <w:b w:val="false"/>
                                      <w:i w:val="false"/>
                                      <w:caps w:val="false"/>
                                      <w:smallCaps w:val="false"/>
                                      <w:color w:val="111741"/>
                                      <w:sz w:val="36"/>
                                    </w:rPr>
                                    <w:t>89%</w:t>
                                  </w:r>
                                </w:p>
                              </w:tc>
                            </w:tr>
                            <w:tr>
                              <w:trPr/>
                              <w:tc>
                                <w:tcPr>
                                  <w:tcW w:w="840" w:type="dxa"/>
                                  <w:vMerge w:val="continue"/>
                                  <w:tcBorders/>
                                  <w:shd w:fill="auto" w:val="clear"/>
                                  <w:vAlign w:val="center"/>
                                </w:tcPr>
                                <w:p>
                                  <w:pPr>
                                    <w:pStyle w:val="Normal"/>
                                    <w:rPr/>
                                  </w:pPr>
                                  <w:r>
                                    <w:rPr/>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i w:val="false"/>
                                      <w:caps w:val="false"/>
                                      <w:smallCaps w:val="false"/>
                                      <w:color w:val="111741"/>
                                      <w:sz w:val="18"/>
                                    </w:rPr>
                                  </w:pPr>
                                  <w:r>
                                    <w:rPr>
                                      <w:rFonts w:ascii="Arial" w:hAnsi="Arial"/>
                                      <w:b/>
                                      <w:i w:val="false"/>
                                      <w:caps w:val="false"/>
                                      <w:smallCaps w:val="false"/>
                                      <w:color w:val="111741"/>
                                      <w:sz w:val="18"/>
                                    </w:rPr>
                                    <w:t>of our Board nominees currently serve or have served as CEO or in senior leadership positions</w:t>
                                  </w:r>
                                </w:p>
                              </w:tc>
                            </w:tr>
                          </w:tbl>
                          <w:p>
                            <w:pPr>
                              <w:pStyle w:val="TextBody"/>
                              <w:spacing w:before="0" w:after="283"/>
                              <w:rPr/>
                            </w:pPr>
                            <w:r>
                              <w:rPr/>
                            </w:r>
                          </w:p>
                        </w:txbxContent>
                      </wps:txbx>
                      <wps:bodyPr anchor="t" lIns="0" tIns="0" rIns="0" bIns="0">
                        <a:noAutofit/>
                      </wps:bodyPr>
                    </wps:wsp>
                  </a:graphicData>
                </a:graphic>
                <wp14:sizeRelH relativeFrom="margin">
                  <wp14:pctWidth>32000</wp14:pctWidth>
                </wp14:sizeRelH>
              </wp:anchor>
            </w:drawing>
          </mc:Choice>
          <mc:Fallback>
            <w:pict>
              <v:rect style="position:absolute;rotation:0;width:163.25pt;height:585.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840"/>
                        <w:gridCol w:w="240"/>
                        <w:gridCol w:w="9125"/>
                      </w:tblGrid>
                      <w:tr>
                        <w:trPr/>
                        <w:tc>
                          <w:tcPr>
                            <w:tcW w:w="840" w:type="dxa"/>
                            <w:vMerge w:val="restart"/>
                            <w:tcBorders/>
                            <w:shd w:fill="auto" w:val="clear"/>
                            <w:vAlign w:val="center"/>
                          </w:tcPr>
                          <w:p>
                            <w:pPr>
                              <w:pStyle w:val="TableContents"/>
                              <w:spacing w:before="0" w:after="283"/>
                              <w:jc w:val="center"/>
                              <w:rPr/>
                            </w:pPr>
                            <w:r>
                              <w:rPr/>
                              <w:drawing>
                                <wp:inline distT="0" distB="0" distL="0" distR="0">
                                  <wp:extent cx="523875" cy="533400"/>
                                  <wp:effectExtent l="0" t="0" r="0" b="0"/>
                                  <wp:docPr id="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 descr=""/>
                                          <pic:cNvPicPr>
                                            <a:picLocks noChangeAspect="1" noChangeArrowheads="1"/>
                                          </pic:cNvPicPr>
                                        </pic:nvPicPr>
                                        <pic:blipFill>
                                          <a:blip r:embed="rId18"/>
                                          <a:stretch>
                                            <a:fillRect/>
                                          </a:stretch>
                                        </pic:blipFill>
                                        <pic:spPr bwMode="auto">
                                          <a:xfrm>
                                            <a:off x="0" y="0"/>
                                            <a:ext cx="523875" cy="533400"/>
                                          </a:xfrm>
                                          <a:prstGeom prst="rect">
                                            <a:avLst/>
                                          </a:prstGeom>
                                        </pic:spPr>
                                      </pic:pic>
                                    </a:graphicData>
                                  </a:graphic>
                                </wp:inline>
                              </w:drawing>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i w:val="false"/>
                                <w:caps w:val="false"/>
                                <w:smallCaps w:val="false"/>
                                <w:color w:val="111741"/>
                                <w:sz w:val="26"/>
                              </w:rPr>
                            </w:pPr>
                            <w:r>
                              <w:rPr>
                                <w:rFonts w:ascii="Arial" w:hAnsi="Arial"/>
                                <w:b/>
                                <w:i w:val="false"/>
                                <w:caps w:val="false"/>
                                <w:smallCaps w:val="false"/>
                                <w:color w:val="111741"/>
                                <w:sz w:val="26"/>
                              </w:rPr>
                              <w:t>Diversity</w:t>
                            </w:r>
                          </w:p>
                        </w:tc>
                      </w:tr>
                      <w:tr>
                        <w:trPr/>
                        <w:tc>
                          <w:tcPr>
                            <w:tcW w:w="840" w:type="dxa"/>
                            <w:vMerge w:val="continue"/>
                            <w:tcBorders/>
                            <w:shd w:fill="auto" w:val="clear"/>
                            <w:vAlign w:val="center"/>
                          </w:tcPr>
                          <w:p>
                            <w:pPr>
                              <w:pStyle w:val="Normal"/>
                              <w:rPr/>
                            </w:pPr>
                            <w:r>
                              <w:rPr/>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 xml:space="preserve">Our Board nominees have a diversity of knowledge, skills, experience and perspectives, as well as diversity of age and gender </w:t>
                            </w:r>
                          </w:p>
                        </w:tc>
                      </w:tr>
                      <w:tr>
                        <w:trPr/>
                        <w:tc>
                          <w:tcPr>
                            <w:tcW w:w="84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840" w:type="dxa"/>
                            <w:vMerge w:val="restart"/>
                            <w:tcBorders/>
                            <w:shd w:fill="auto" w:val="clear"/>
                            <w:vAlign w:val="center"/>
                          </w:tcPr>
                          <w:p>
                            <w:pPr>
                              <w:pStyle w:val="TableContents"/>
                              <w:spacing w:before="0" w:after="283"/>
                              <w:jc w:val="center"/>
                              <w:rPr/>
                            </w:pPr>
                            <w:r>
                              <w:rPr/>
                              <w:drawing>
                                <wp:inline distT="0" distB="0" distL="0" distR="0">
                                  <wp:extent cx="523875" cy="533400"/>
                                  <wp:effectExtent l="0" t="0" r="0" b="0"/>
                                  <wp:docPr id="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 descr=""/>
                                          <pic:cNvPicPr>
                                            <a:picLocks noChangeAspect="1" noChangeArrowheads="1"/>
                                          </pic:cNvPicPr>
                                        </pic:nvPicPr>
                                        <pic:blipFill>
                                          <a:blip r:embed="rId19"/>
                                          <a:stretch>
                                            <a:fillRect/>
                                          </a:stretch>
                                        </pic:blipFill>
                                        <pic:spPr bwMode="auto">
                                          <a:xfrm>
                                            <a:off x="0" y="0"/>
                                            <a:ext cx="523875" cy="533400"/>
                                          </a:xfrm>
                                          <a:prstGeom prst="rect">
                                            <a:avLst/>
                                          </a:prstGeom>
                                        </pic:spPr>
                                      </pic:pic>
                                    </a:graphicData>
                                  </a:graphic>
                                </wp:inline>
                              </w:drawing>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val="false"/>
                                <w:i w:val="false"/>
                                <w:caps w:val="false"/>
                                <w:smallCaps w:val="false"/>
                                <w:color w:val="111741"/>
                                <w:sz w:val="36"/>
                              </w:rPr>
                            </w:pPr>
                            <w:r>
                              <w:rPr>
                                <w:rFonts w:ascii="Arial" w:hAnsi="Arial"/>
                                <w:b w:val="false"/>
                                <w:i w:val="false"/>
                                <w:caps w:val="false"/>
                                <w:smallCaps w:val="false"/>
                                <w:color w:val="111741"/>
                                <w:sz w:val="36"/>
                              </w:rPr>
                              <w:t>50%</w:t>
                            </w:r>
                          </w:p>
                        </w:tc>
                      </w:tr>
                      <w:tr>
                        <w:trPr/>
                        <w:tc>
                          <w:tcPr>
                            <w:tcW w:w="840" w:type="dxa"/>
                            <w:vMerge w:val="continue"/>
                            <w:tcBorders/>
                            <w:shd w:fill="auto" w:val="clear"/>
                            <w:vAlign w:val="center"/>
                          </w:tcPr>
                          <w:p>
                            <w:pPr>
                              <w:pStyle w:val="Normal"/>
                              <w:rPr/>
                            </w:pPr>
                            <w:r>
                              <w:rPr/>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i w:val="false"/>
                                <w:caps w:val="false"/>
                                <w:smallCaps w:val="false"/>
                                <w:color w:val="111841"/>
                                <w:sz w:val="18"/>
                              </w:rPr>
                            </w:pPr>
                            <w:r>
                              <w:rPr>
                                <w:rFonts w:ascii="Arial" w:hAnsi="Arial"/>
                                <w:b/>
                                <w:i w:val="false"/>
                                <w:caps w:val="false"/>
                                <w:smallCaps w:val="false"/>
                                <w:color w:val="111841"/>
                                <w:sz w:val="18"/>
                              </w:rPr>
                              <w:t>of our independent Board nominees are diverse, including gender and racial/ethnic diversity</w:t>
                            </w:r>
                          </w:p>
                        </w:tc>
                      </w:tr>
                      <w:tr>
                        <w:trPr/>
                        <w:tc>
                          <w:tcPr>
                            <w:tcW w:w="84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bottom w:val="single" w:sz="2" w:space="0" w:color="8DAD3C"/>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r>
                      <w:tr>
                        <w:trPr/>
                        <w:tc>
                          <w:tcPr>
                            <w:tcW w:w="840" w:type="dxa"/>
                            <w:tcBorders/>
                            <w:shd w:fill="auto" w:val="clear"/>
                            <w:vAlign w:val="center"/>
                          </w:tcPr>
                          <w:p>
                            <w:pPr>
                              <w:pStyle w:val="TableContents"/>
                              <w:spacing w:before="0" w:after="283"/>
                              <w:jc w:val="center"/>
                              <w:rPr/>
                            </w:pPr>
                            <w:r>
                              <w:rPr/>
                              <w:t> </w:t>
                            </w:r>
                          </w:p>
                        </w:tc>
                        <w:tc>
                          <w:tcPr>
                            <w:tcW w:w="240" w:type="dxa"/>
                            <w:tcBorders/>
                            <w:shd w:fill="auto" w:val="clear"/>
                            <w:vAlign w:val="center"/>
                          </w:tcPr>
                          <w:p>
                            <w:pPr>
                              <w:pStyle w:val="TableContents"/>
                              <w:spacing w:before="0" w:after="283"/>
                              <w:rPr/>
                            </w:pPr>
                            <w:r>
                              <w:rPr/>
                              <w:t> </w:t>
                            </w:r>
                          </w:p>
                        </w:tc>
                        <w:tc>
                          <w:tcPr>
                            <w:tcW w:w="9125" w:type="dxa"/>
                            <w:tcBorders/>
                            <w:shd w:fill="auto" w:val="clear"/>
                            <w:vAlign w:val="center"/>
                          </w:tcPr>
                          <w:p>
                            <w:pPr>
                              <w:pStyle w:val="TableContents"/>
                              <w:spacing w:before="0" w:after="283"/>
                              <w:rPr/>
                            </w:pPr>
                            <w:r>
                              <w:rPr/>
                              <w:t> </w:t>
                            </w:r>
                          </w:p>
                        </w:tc>
                      </w:tr>
                      <w:tr>
                        <w:trPr/>
                        <w:tc>
                          <w:tcPr>
                            <w:tcW w:w="840" w:type="dxa"/>
                            <w:vMerge w:val="restart"/>
                            <w:tcBorders/>
                            <w:shd w:fill="auto" w:val="clear"/>
                            <w:vAlign w:val="center"/>
                          </w:tcPr>
                          <w:p>
                            <w:pPr>
                              <w:pStyle w:val="TableContents"/>
                              <w:spacing w:before="0" w:after="283"/>
                              <w:jc w:val="center"/>
                              <w:rPr/>
                            </w:pPr>
                            <w:r>
                              <w:rPr/>
                              <w:drawing>
                                <wp:inline distT="0" distB="0" distL="0" distR="0">
                                  <wp:extent cx="523875" cy="514350"/>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0"/>
                                          <a:stretch>
                                            <a:fillRect/>
                                          </a:stretch>
                                        </pic:blipFill>
                                        <pic:spPr bwMode="auto">
                                          <a:xfrm>
                                            <a:off x="0" y="0"/>
                                            <a:ext cx="523875" cy="514350"/>
                                          </a:xfrm>
                                          <a:prstGeom prst="rect">
                                            <a:avLst/>
                                          </a:prstGeom>
                                        </pic:spPr>
                                      </pic:pic>
                                    </a:graphicData>
                                  </a:graphic>
                                </wp:inline>
                              </w:drawing>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i w:val="false"/>
                                <w:caps w:val="false"/>
                                <w:smallCaps w:val="false"/>
                                <w:color w:val="111741"/>
                                <w:sz w:val="26"/>
                              </w:rPr>
                            </w:pPr>
                            <w:r>
                              <w:rPr>
                                <w:rFonts w:ascii="Arial" w:hAnsi="Arial"/>
                                <w:b/>
                                <w:i w:val="false"/>
                                <w:caps w:val="false"/>
                                <w:smallCaps w:val="false"/>
                                <w:color w:val="111741"/>
                                <w:sz w:val="26"/>
                              </w:rPr>
                              <w:t>Experience</w:t>
                            </w:r>
                          </w:p>
                        </w:tc>
                      </w:tr>
                      <w:tr>
                        <w:trPr/>
                        <w:tc>
                          <w:tcPr>
                            <w:tcW w:w="840" w:type="dxa"/>
                            <w:vMerge w:val="continue"/>
                            <w:tcBorders/>
                            <w:shd w:fill="auto" w:val="clear"/>
                            <w:vAlign w:val="center"/>
                          </w:tcPr>
                          <w:p>
                            <w:pPr>
                              <w:pStyle w:val="Normal"/>
                              <w:rPr/>
                            </w:pPr>
                            <w:r>
                              <w:rPr/>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Our Board nominees have broad experience serving on public boards in industries relevant to the Company</w:t>
                            </w:r>
                          </w:p>
                        </w:tc>
                      </w:tr>
                      <w:tr>
                        <w:trPr/>
                        <w:tc>
                          <w:tcPr>
                            <w:tcW w:w="84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840" w:type="dxa"/>
                            <w:vMerge w:val="restart"/>
                            <w:tcBorders/>
                            <w:shd w:fill="auto" w:val="clear"/>
                            <w:vAlign w:val="center"/>
                          </w:tcPr>
                          <w:p>
                            <w:pPr>
                              <w:pStyle w:val="TableContents"/>
                              <w:spacing w:before="0" w:after="283"/>
                              <w:jc w:val="center"/>
                              <w:rPr/>
                            </w:pPr>
                            <w:r>
                              <w:rPr/>
                              <w:drawing>
                                <wp:inline distT="0" distB="0" distL="0" distR="0">
                                  <wp:extent cx="523875" cy="523875"/>
                                  <wp:effectExtent l="0" t="0" r="0" b="0"/>
                                  <wp:docPr id="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 descr=""/>
                                          <pic:cNvPicPr>
                                            <a:picLocks noChangeAspect="1" noChangeArrowheads="1"/>
                                          </pic:cNvPicPr>
                                        </pic:nvPicPr>
                                        <pic:blipFill>
                                          <a:blip r:embed="rId21"/>
                                          <a:stretch>
                                            <a:fillRect/>
                                          </a:stretch>
                                        </pic:blipFill>
                                        <pic:spPr bwMode="auto">
                                          <a:xfrm>
                                            <a:off x="0" y="0"/>
                                            <a:ext cx="523875" cy="523875"/>
                                          </a:xfrm>
                                          <a:prstGeom prst="rect">
                                            <a:avLst/>
                                          </a:prstGeom>
                                        </pic:spPr>
                                      </pic:pic>
                                    </a:graphicData>
                                  </a:graphic>
                                </wp:inline>
                              </w:drawing>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val="false"/>
                                <w:i w:val="false"/>
                                <w:caps w:val="false"/>
                                <w:smallCaps w:val="false"/>
                                <w:color w:val="111741"/>
                                <w:sz w:val="36"/>
                              </w:rPr>
                            </w:pPr>
                            <w:r>
                              <w:rPr>
                                <w:rFonts w:ascii="Arial" w:hAnsi="Arial"/>
                                <w:b w:val="false"/>
                                <w:i w:val="false"/>
                                <w:caps w:val="false"/>
                                <w:smallCaps w:val="false"/>
                                <w:color w:val="111741"/>
                                <w:sz w:val="36"/>
                              </w:rPr>
                              <w:t>56%</w:t>
                            </w:r>
                          </w:p>
                        </w:tc>
                      </w:tr>
                      <w:tr>
                        <w:trPr/>
                        <w:tc>
                          <w:tcPr>
                            <w:tcW w:w="840" w:type="dxa"/>
                            <w:vMerge w:val="continue"/>
                            <w:tcBorders/>
                            <w:shd w:fill="auto" w:val="clear"/>
                            <w:vAlign w:val="center"/>
                          </w:tcPr>
                          <w:p>
                            <w:pPr>
                              <w:pStyle w:val="Normal"/>
                              <w:rPr/>
                            </w:pPr>
                            <w:r>
                              <w:rPr/>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i w:val="false"/>
                                <w:caps w:val="false"/>
                                <w:smallCaps w:val="false"/>
                                <w:color w:val="111741"/>
                                <w:sz w:val="18"/>
                              </w:rPr>
                            </w:pPr>
                            <w:r>
                              <w:rPr>
                                <w:rFonts w:ascii="Arial" w:hAnsi="Arial"/>
                                <w:b/>
                                <w:i w:val="false"/>
                                <w:caps w:val="false"/>
                                <w:smallCaps w:val="false"/>
                                <w:color w:val="111741"/>
                                <w:sz w:val="18"/>
                              </w:rPr>
                              <w:t>of our Board nominees currently serve or have served on the Boards of other publicly traded companies</w:t>
                            </w:r>
                          </w:p>
                        </w:tc>
                      </w:tr>
                      <w:tr>
                        <w:trPr/>
                        <w:tc>
                          <w:tcPr>
                            <w:tcW w:w="84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bottom w:val="single" w:sz="2" w:space="0" w:color="8DAD3C"/>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r>
                      <w:tr>
                        <w:trPr/>
                        <w:tc>
                          <w:tcPr>
                            <w:tcW w:w="840" w:type="dxa"/>
                            <w:tcBorders/>
                            <w:shd w:fill="auto" w:val="clear"/>
                            <w:vAlign w:val="center"/>
                          </w:tcPr>
                          <w:p>
                            <w:pPr>
                              <w:pStyle w:val="TableContents"/>
                              <w:spacing w:before="0" w:after="283"/>
                              <w:jc w:val="center"/>
                              <w:rPr/>
                            </w:pPr>
                            <w:r>
                              <w:rPr/>
                              <w:t> </w:t>
                            </w:r>
                          </w:p>
                        </w:tc>
                        <w:tc>
                          <w:tcPr>
                            <w:tcW w:w="240" w:type="dxa"/>
                            <w:tcBorders/>
                            <w:shd w:fill="auto" w:val="clear"/>
                            <w:vAlign w:val="center"/>
                          </w:tcPr>
                          <w:p>
                            <w:pPr>
                              <w:pStyle w:val="TableContents"/>
                              <w:spacing w:before="0" w:after="283"/>
                              <w:rPr/>
                            </w:pPr>
                            <w:r>
                              <w:rPr/>
                              <w:t> </w:t>
                            </w:r>
                          </w:p>
                        </w:tc>
                        <w:tc>
                          <w:tcPr>
                            <w:tcW w:w="9125" w:type="dxa"/>
                            <w:tcBorders/>
                            <w:shd w:fill="auto" w:val="clear"/>
                            <w:vAlign w:val="center"/>
                          </w:tcPr>
                          <w:p>
                            <w:pPr>
                              <w:pStyle w:val="TableContents"/>
                              <w:spacing w:before="0" w:after="283"/>
                              <w:rPr/>
                            </w:pPr>
                            <w:r>
                              <w:rPr/>
                              <w:t> </w:t>
                            </w:r>
                          </w:p>
                        </w:tc>
                      </w:tr>
                      <w:tr>
                        <w:trPr/>
                        <w:tc>
                          <w:tcPr>
                            <w:tcW w:w="840" w:type="dxa"/>
                            <w:vMerge w:val="restart"/>
                            <w:tcBorders/>
                            <w:shd w:fill="auto" w:val="clear"/>
                            <w:vAlign w:val="center"/>
                          </w:tcPr>
                          <w:p>
                            <w:pPr>
                              <w:pStyle w:val="TableContents"/>
                              <w:spacing w:before="0" w:after="283"/>
                              <w:jc w:val="center"/>
                              <w:rPr/>
                            </w:pPr>
                            <w:r>
                              <w:rPr/>
                              <w:drawing>
                                <wp:inline distT="0" distB="0" distL="0" distR="0">
                                  <wp:extent cx="381000" cy="619125"/>
                                  <wp:effectExtent l="0" t="0" r="0" b="0"/>
                                  <wp:docPr id="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 descr=""/>
                                          <pic:cNvPicPr>
                                            <a:picLocks noChangeAspect="1" noChangeArrowheads="1"/>
                                          </pic:cNvPicPr>
                                        </pic:nvPicPr>
                                        <pic:blipFill>
                                          <a:blip r:embed="rId22"/>
                                          <a:stretch>
                                            <a:fillRect/>
                                          </a:stretch>
                                        </pic:blipFill>
                                        <pic:spPr bwMode="auto">
                                          <a:xfrm>
                                            <a:off x="0" y="0"/>
                                            <a:ext cx="381000" cy="619125"/>
                                          </a:xfrm>
                                          <a:prstGeom prst="rect">
                                            <a:avLst/>
                                          </a:prstGeom>
                                        </pic:spPr>
                                      </pic:pic>
                                    </a:graphicData>
                                  </a:graphic>
                                </wp:inline>
                              </w:drawing>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i w:val="false"/>
                                <w:caps w:val="false"/>
                                <w:smallCaps w:val="false"/>
                                <w:color w:val="111741"/>
                                <w:sz w:val="26"/>
                              </w:rPr>
                            </w:pPr>
                            <w:r>
                              <w:rPr>
                                <w:rFonts w:ascii="Arial" w:hAnsi="Arial"/>
                                <w:b/>
                                <w:i w:val="false"/>
                                <w:caps w:val="false"/>
                                <w:smallCaps w:val="false"/>
                                <w:color w:val="111741"/>
                                <w:sz w:val="26"/>
                              </w:rPr>
                              <w:t>Leadership</w:t>
                            </w:r>
                          </w:p>
                        </w:tc>
                      </w:tr>
                      <w:tr>
                        <w:trPr/>
                        <w:tc>
                          <w:tcPr>
                            <w:tcW w:w="840" w:type="dxa"/>
                            <w:vMerge w:val="continue"/>
                            <w:tcBorders/>
                            <w:shd w:fill="auto" w:val="clear"/>
                            <w:vAlign w:val="center"/>
                          </w:tcPr>
                          <w:p>
                            <w:pPr>
                              <w:pStyle w:val="Normal"/>
                              <w:rPr/>
                            </w:pPr>
                            <w:r>
                              <w:rPr/>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 xml:space="preserve">Our Board nominees have strong corporate leadership backgrounds such as being CEO, CFO or holding other Executive positions </w:t>
                            </w:r>
                          </w:p>
                        </w:tc>
                      </w:tr>
                      <w:tr>
                        <w:trPr/>
                        <w:tc>
                          <w:tcPr>
                            <w:tcW w:w="84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840" w:type="dxa"/>
                            <w:vMerge w:val="restart"/>
                            <w:tcBorders/>
                            <w:shd w:fill="auto" w:val="clear"/>
                            <w:vAlign w:val="center"/>
                          </w:tcPr>
                          <w:p>
                            <w:pPr>
                              <w:pStyle w:val="TableContents"/>
                              <w:spacing w:before="0" w:after="283"/>
                              <w:jc w:val="center"/>
                              <w:rPr/>
                            </w:pPr>
                            <w:r>
                              <w:rPr/>
                              <w:drawing>
                                <wp:inline distT="0" distB="0" distL="0" distR="0">
                                  <wp:extent cx="523875" cy="523875"/>
                                  <wp:effectExtent l="0" t="0" r="0" b="0"/>
                                  <wp:docPr id="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 descr=""/>
                                          <pic:cNvPicPr>
                                            <a:picLocks noChangeAspect="1" noChangeArrowheads="1"/>
                                          </pic:cNvPicPr>
                                        </pic:nvPicPr>
                                        <pic:blipFill>
                                          <a:blip r:embed="rId23"/>
                                          <a:stretch>
                                            <a:fillRect/>
                                          </a:stretch>
                                        </pic:blipFill>
                                        <pic:spPr bwMode="auto">
                                          <a:xfrm>
                                            <a:off x="0" y="0"/>
                                            <a:ext cx="523875" cy="523875"/>
                                          </a:xfrm>
                                          <a:prstGeom prst="rect">
                                            <a:avLst/>
                                          </a:prstGeom>
                                        </pic:spPr>
                                      </pic:pic>
                                    </a:graphicData>
                                  </a:graphic>
                                </wp:inline>
                              </w:drawing>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val="false"/>
                                <w:i w:val="false"/>
                                <w:caps w:val="false"/>
                                <w:smallCaps w:val="false"/>
                                <w:color w:val="111741"/>
                                <w:sz w:val="36"/>
                              </w:rPr>
                            </w:pPr>
                            <w:r>
                              <w:rPr>
                                <w:rFonts w:ascii="Arial" w:hAnsi="Arial"/>
                                <w:b w:val="false"/>
                                <w:i w:val="false"/>
                                <w:caps w:val="false"/>
                                <w:smallCaps w:val="false"/>
                                <w:color w:val="111741"/>
                                <w:sz w:val="36"/>
                              </w:rPr>
                              <w:t>89%</w:t>
                            </w:r>
                          </w:p>
                        </w:tc>
                      </w:tr>
                      <w:tr>
                        <w:trPr/>
                        <w:tc>
                          <w:tcPr>
                            <w:tcW w:w="840" w:type="dxa"/>
                            <w:vMerge w:val="continue"/>
                            <w:tcBorders/>
                            <w:shd w:fill="auto" w:val="clear"/>
                            <w:vAlign w:val="center"/>
                          </w:tcPr>
                          <w:p>
                            <w:pPr>
                              <w:pStyle w:val="Normal"/>
                              <w:rPr/>
                            </w:pPr>
                            <w:r>
                              <w:rPr/>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9125" w:type="dxa"/>
                            <w:tcBorders/>
                            <w:shd w:fill="auto" w:val="clear"/>
                            <w:vAlign w:val="center"/>
                          </w:tcPr>
                          <w:p>
                            <w:pPr>
                              <w:pStyle w:val="TableContents"/>
                              <w:spacing w:before="0" w:after="283"/>
                              <w:rPr>
                                <w:rFonts w:ascii="Arial" w:hAnsi="Arial"/>
                                <w:b/>
                                <w:i w:val="false"/>
                                <w:caps w:val="false"/>
                                <w:smallCaps w:val="false"/>
                                <w:color w:val="111741"/>
                                <w:sz w:val="18"/>
                              </w:rPr>
                            </w:pPr>
                            <w:r>
                              <w:rPr>
                                <w:rFonts w:ascii="Arial" w:hAnsi="Arial"/>
                                <w:b/>
                                <w:i w:val="false"/>
                                <w:caps w:val="false"/>
                                <w:smallCaps w:val="false"/>
                                <w:color w:val="111741"/>
                                <w:sz w:val="18"/>
                              </w:rPr>
                              <w:t>of our Board nominees currently serve or have served as CEO or in senior leadership positions</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3">
                <wp:simplePos x="0" y="0"/>
                <wp:positionH relativeFrom="column">
                  <wp:align>right</wp:align>
                </wp:positionH>
                <wp:positionV relativeFrom="line">
                  <wp:posOffset>635</wp:posOffset>
                </wp:positionV>
                <wp:extent cx="4017645" cy="5749290"/>
                <wp:effectExtent l="0" t="0" r="0" b="0"/>
                <wp:wrapSquare wrapText="largest"/>
                <wp:docPr id="33" name="Frame4"/>
                <a:graphic xmlns:a="http://schemas.openxmlformats.org/drawingml/2006/main">
                  <a:graphicData uri="http://schemas.microsoft.com/office/word/2010/wordprocessingShape">
                    <wps:wsp>
                      <wps:cNvSpPr txBox="1"/>
                      <wps:spPr>
                        <a:xfrm>
                          <a:off x="0" y="0"/>
                          <a:ext cx="4017645" cy="5749290"/>
                        </a:xfrm>
                        <a:prstGeom prst="rect"/>
                      </wps:spPr>
                      <wps:txbx>
                        <w:txbxContent>
                          <w:p>
                            <w:pPr>
                              <w:pStyle w:val="TextBody"/>
                              <w:spacing w:before="0" w:after="120"/>
                              <w:rPr>
                                <w:rFonts w:ascii="Arial" w:hAnsi="Arial"/>
                                <w:b/>
                                <w:i w:val="false"/>
                                <w:caps w:val="false"/>
                                <w:smallCaps w:val="false"/>
                                <w:color w:val="111841"/>
                                <w:sz w:val="26"/>
                              </w:rPr>
                            </w:pPr>
                            <w:r>
                              <w:rPr>
                                <w:rFonts w:ascii="Arial" w:hAnsi="Arial"/>
                                <w:b/>
                                <w:i w:val="false"/>
                                <w:caps w:val="false"/>
                                <w:smallCaps w:val="false"/>
                                <w:color w:val="111841"/>
                                <w:sz w:val="26"/>
                              </w:rPr>
                              <w:t>Annual Director Elections</w:t>
                            </w:r>
                          </w:p>
                          <w:p>
                            <w:pPr>
                              <w:pStyle w:val="TextBody"/>
                              <w:spacing w:before="120" w:after="120"/>
                              <w:ind w:left="120" w:right="120" w:hanging="0"/>
                              <w:rPr>
                                <w:rFonts w:ascii="Arial" w:hAnsi="Arial"/>
                                <w:b w:val="false"/>
                                <w:i w:val="false"/>
                                <w:caps w:val="false"/>
                                <w:smallCaps w:val="false"/>
                                <w:color w:val="111841"/>
                                <w:sz w:val="18"/>
                              </w:rPr>
                            </w:pPr>
                            <w:r>
                              <w:rPr>
                                <w:rFonts w:ascii="Arial" w:hAnsi="Arial"/>
                                <w:b w:val="false"/>
                                <w:i w:val="false"/>
                                <w:caps w:val="false"/>
                                <w:smallCaps w:val="false"/>
                                <w:color w:val="111841"/>
                                <w:sz w:val="18"/>
                              </w:rPr>
                              <w:t>Our directors are elected for one-year terms.</w:t>
                            </w:r>
                          </w:p>
                          <w:p>
                            <w:pPr>
                              <w:pStyle w:val="TextBody"/>
                              <w:pBdr>
                                <w:bottom w:val="single" w:sz="2" w:space="1" w:color="8DAD3C"/>
                              </w:pBdr>
                              <w:rPr>
                                <w:caps w:val="false"/>
                                <w:smallCaps w:val="false"/>
                                <w:color w:val="111841"/>
                              </w:rPr>
                            </w:pPr>
                            <w:r>
                              <w:rPr>
                                <w:caps w:val="false"/>
                                <w:smallCaps w:val="false"/>
                                <w:color w:val="111841"/>
                              </w:rPr>
                              <w:t> </w:t>
                            </w:r>
                          </w:p>
                          <w:p>
                            <w:pPr>
                              <w:pStyle w:val="TextBody"/>
                              <w:spacing w:before="0" w:after="0"/>
                              <w:ind w:left="0" w:right="0" w:hanging="0"/>
                              <w:rPr>
                                <w:caps w:val="false"/>
                                <w:smallCaps w:val="false"/>
                                <w:color w:val="111841"/>
                              </w:rPr>
                            </w:pPr>
                            <w:r>
                              <w:rPr>
                                <w:caps w:val="false"/>
                                <w:smallCaps w:val="false"/>
                                <w:color w:val="111841"/>
                              </w:rPr>
                              <w:t> </w:t>
                            </w:r>
                          </w:p>
                          <w:p>
                            <w:pPr>
                              <w:pStyle w:val="TextBody"/>
                              <w:spacing w:before="0" w:after="120"/>
                              <w:rPr>
                                <w:rFonts w:ascii="Arial" w:hAnsi="Arial"/>
                                <w:b/>
                                <w:i w:val="false"/>
                                <w:caps w:val="false"/>
                                <w:smallCaps w:val="false"/>
                                <w:color w:val="111841"/>
                                <w:sz w:val="26"/>
                              </w:rPr>
                            </w:pPr>
                            <w:r>
                              <w:rPr>
                                <w:rFonts w:ascii="Arial" w:hAnsi="Arial"/>
                                <w:b/>
                                <w:i w:val="false"/>
                                <w:caps w:val="false"/>
                                <w:smallCaps w:val="false"/>
                                <w:color w:val="111841"/>
                                <w:sz w:val="26"/>
                              </w:rPr>
                              <w:t>Majority Vote Standard with Director Resignation Policy</w:t>
                            </w:r>
                          </w:p>
                          <w:p>
                            <w:pPr>
                              <w:pStyle w:val="TextBody"/>
                              <w:spacing w:before="120" w:after="283"/>
                              <w:rPr>
                                <w:rFonts w:ascii="Arial" w:hAnsi="Arial"/>
                                <w:b w:val="false"/>
                                <w:i w:val="false"/>
                                <w:caps w:val="false"/>
                                <w:smallCaps w:val="false"/>
                                <w:color w:val="111841"/>
                                <w:sz w:val="18"/>
                              </w:rPr>
                            </w:pPr>
                            <w:r>
                              <w:rPr>
                                <w:rFonts w:ascii="Arial" w:hAnsi="Arial"/>
                                <w:b w:val="false"/>
                                <w:i w:val="false"/>
                                <w:caps w:val="false"/>
                                <w:smallCaps w:val="false"/>
                                <w:color w:val="111841"/>
                                <w:sz w:val="18"/>
                              </w:rPr>
                              <w:t>In an uncontested election (as is the case for this annual meeting), our bylaws provide that a majority of all the votes cast with respect to a nominee’s election is required for such nominee to be elected to serve on the Board.</w:t>
                            </w:r>
                          </w:p>
                          <w:p>
                            <w:pPr>
                              <w:pStyle w:val="TextBody"/>
                              <w:rPr>
                                <w:rFonts w:ascii="Arial" w:hAnsi="Arial"/>
                                <w:b w:val="false"/>
                                <w:i w:val="false"/>
                                <w:caps w:val="false"/>
                                <w:smallCaps w:val="false"/>
                                <w:color w:val="111841"/>
                                <w:sz w:val="18"/>
                              </w:rPr>
                            </w:pPr>
                            <w:r>
                              <w:rPr>
                                <w:rFonts w:ascii="Arial" w:hAnsi="Arial"/>
                                <w:b w:val="false"/>
                                <w:i w:val="false"/>
                                <w:caps w:val="false"/>
                                <w:smallCaps w:val="false"/>
                                <w:color w:val="111841"/>
                                <w:sz w:val="18"/>
                              </w:rPr>
                              <w:t>Further, we have adopted a director resignation policy for directors who fail to receive majority support.</w:t>
                            </w:r>
                          </w:p>
                          <w:p>
                            <w:pPr>
                              <w:pStyle w:val="TextBody"/>
                              <w:pBdr>
                                <w:bottom w:val="single" w:sz="2" w:space="1" w:color="8DAD3C"/>
                              </w:pBdr>
                              <w:rPr>
                                <w:caps w:val="false"/>
                                <w:smallCaps w:val="false"/>
                                <w:color w:val="111841"/>
                              </w:rPr>
                            </w:pPr>
                            <w:r>
                              <w:rPr>
                                <w:caps w:val="false"/>
                                <w:smallCaps w:val="false"/>
                                <w:color w:val="111841"/>
                              </w:rPr>
                              <w:t> </w:t>
                            </w:r>
                          </w:p>
                          <w:p>
                            <w:pPr>
                              <w:pStyle w:val="TextBody"/>
                              <w:spacing w:before="0" w:after="0"/>
                              <w:ind w:left="0" w:right="0" w:hanging="0"/>
                              <w:rPr>
                                <w:caps w:val="false"/>
                                <w:smallCaps w:val="false"/>
                                <w:color w:val="111841"/>
                              </w:rPr>
                            </w:pPr>
                            <w:r>
                              <w:rPr>
                                <w:caps w:val="false"/>
                                <w:smallCaps w:val="false"/>
                                <w:color w:val="111841"/>
                              </w:rPr>
                              <w:t> </w:t>
                            </w:r>
                          </w:p>
                          <w:tbl>
                            <w:tblPr>
                              <w:tblW w:w="10205" w:type="dxa"/>
                              <w:jc w:val="left"/>
                              <w:tblInd w:w="0" w:type="dxa"/>
                              <w:tblCellMar>
                                <w:top w:w="0" w:type="dxa"/>
                                <w:left w:w="0" w:type="dxa"/>
                                <w:bottom w:w="0" w:type="dxa"/>
                                <w:right w:w="0" w:type="dxa"/>
                              </w:tblCellMar>
                            </w:tblPr>
                            <w:tblGrid>
                              <w:gridCol w:w="1245"/>
                              <w:gridCol w:w="300"/>
                              <w:gridCol w:w="8660"/>
                            </w:tblGrid>
                            <w:tr>
                              <w:trPr/>
                              <w:tc>
                                <w:tcPr>
                                  <w:tcW w:w="1245" w:type="dxa"/>
                                  <w:vMerge w:val="restart"/>
                                  <w:tcBorders/>
                                  <w:shd w:fill="auto" w:val="clear"/>
                                  <w:vAlign w:val="center"/>
                                </w:tcPr>
                                <w:p>
                                  <w:pPr>
                                    <w:pStyle w:val="TableContents"/>
                                    <w:spacing w:before="0" w:after="283"/>
                                    <w:jc w:val="center"/>
                                    <w:rPr/>
                                  </w:pPr>
                                  <w:r>
                                    <w:rPr/>
                                    <w:drawing>
                                      <wp:inline distT="0" distB="0" distL="0" distR="0">
                                        <wp:extent cx="781050" cy="781050"/>
                                        <wp:effectExtent l="0" t="0" r="0" b="0"/>
                                        <wp:docPr id="3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 descr=""/>
                                                <pic:cNvPicPr>
                                                  <a:picLocks noChangeAspect="1" noChangeArrowheads="1"/>
                                                </pic:cNvPicPr>
                                              </pic:nvPicPr>
                                              <pic:blipFill>
                                                <a:blip r:embed="rId24"/>
                                                <a:stretch>
                                                  <a:fillRect/>
                                                </a:stretch>
                                              </pic:blipFill>
                                              <pic:spPr bwMode="auto">
                                                <a:xfrm>
                                                  <a:off x="0" y="0"/>
                                                  <a:ext cx="781050" cy="781050"/>
                                                </a:xfrm>
                                                <a:prstGeom prst="rect">
                                                  <a:avLst/>
                                                </a:prstGeom>
                                              </pic:spPr>
                                            </pic:pic>
                                          </a:graphicData>
                                        </a:graphic>
                                      </wp:inline>
                                    </w:drawing>
                                  </w:r>
                                </w:p>
                              </w:tc>
                              <w:tc>
                                <w:tcPr>
                                  <w:tcW w:w="300" w:type="dxa"/>
                                  <w:tcBorders/>
                                  <w:shd w:fill="auto" w:val="clear"/>
                                  <w:vAlign w:val="center"/>
                                </w:tcPr>
                                <w:p>
                                  <w:pPr>
                                    <w:pStyle w:val="TableContents"/>
                                    <w:spacing w:before="0" w:after="283"/>
                                    <w:rPr>
                                      <w:caps w:val="false"/>
                                      <w:smallCaps w:val="false"/>
                                    </w:rPr>
                                  </w:pPr>
                                  <w:r>
                                    <w:rPr>
                                      <w:caps w:val="false"/>
                                      <w:smallCaps w:val="false"/>
                                    </w:rPr>
                                    <w:t>     </w:t>
                                  </w:r>
                                </w:p>
                              </w:tc>
                              <w:tc>
                                <w:tcPr>
                                  <w:tcW w:w="8660" w:type="dxa"/>
                                  <w:tcBorders/>
                                  <w:shd w:fill="auto" w:val="clear"/>
                                  <w:vAlign w:val="center"/>
                                </w:tcPr>
                                <w:p>
                                  <w:pPr>
                                    <w:pStyle w:val="TableContents"/>
                                    <w:spacing w:before="0" w:after="283"/>
                                    <w:rPr>
                                      <w:rFonts w:ascii="Arial" w:hAnsi="Arial"/>
                                      <w:b/>
                                      <w:i w:val="false"/>
                                      <w:caps w:val="false"/>
                                      <w:smallCaps w:val="false"/>
                                      <w:color w:val="8DAD3C"/>
                                      <w:sz w:val="22"/>
                                    </w:rPr>
                                  </w:pPr>
                                  <w:r>
                                    <w:rPr>
                                      <w:rFonts w:ascii="Arial" w:hAnsi="Arial"/>
                                      <w:b/>
                                      <w:i w:val="false"/>
                                      <w:caps w:val="false"/>
                                      <w:smallCaps w:val="false"/>
                                      <w:color w:val="8DAD3C"/>
                                      <w:sz w:val="22"/>
                                    </w:rPr>
                                    <w:t>Stockholder Amendments to Bylaws</w:t>
                                  </w:r>
                                </w:p>
                              </w:tc>
                            </w:tr>
                            <w:tr>
                              <w:trPr/>
                              <w:tc>
                                <w:tcPr>
                                  <w:tcW w:w="1245" w:type="dxa"/>
                                  <w:vMerge w:val="continue"/>
                                  <w:tcBorders/>
                                  <w:shd w:fill="auto" w:val="clear"/>
                                  <w:vAlign w:val="center"/>
                                </w:tcPr>
                                <w:p>
                                  <w:pPr>
                                    <w:pStyle w:val="Normal"/>
                                    <w:rPr/>
                                  </w:pPr>
                                  <w:r>
                                    <w:rPr/>
                                  </w:r>
                                </w:p>
                              </w:tc>
                              <w:tc>
                                <w:tcPr>
                                  <w:tcW w:w="300" w:type="dxa"/>
                                  <w:tcBorders/>
                                  <w:shd w:fill="auto" w:val="clear"/>
                                  <w:vAlign w:val="center"/>
                                </w:tcPr>
                                <w:p>
                                  <w:pPr>
                                    <w:pStyle w:val="TableContents"/>
                                    <w:spacing w:before="0" w:after="283"/>
                                    <w:rPr>
                                      <w:caps w:val="false"/>
                                      <w:smallCaps w:val="false"/>
                                    </w:rPr>
                                  </w:pPr>
                                  <w:r>
                                    <w:rPr>
                                      <w:caps w:val="false"/>
                                      <w:smallCaps w:val="false"/>
                                    </w:rPr>
                                    <w:t> </w:t>
                                  </w:r>
                                </w:p>
                              </w:tc>
                              <w:tc>
                                <w:tcPr>
                                  <w:tcW w:w="866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We provide stockholders the right to amend our bylaws by a majority vote without any ownership or holding period limitations.</w:t>
                                  </w:r>
                                </w:p>
                              </w:tc>
                            </w:tr>
                            <w:tr>
                              <w:trPr/>
                              <w:tc>
                                <w:tcPr>
                                  <w:tcW w:w="124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300" w:type="dxa"/>
                                  <w:tcBorders/>
                                  <w:shd w:fill="auto" w:val="clear"/>
                                  <w:vAlign w:val="center"/>
                                </w:tcPr>
                                <w:p>
                                  <w:pPr>
                                    <w:pStyle w:val="TableContents"/>
                                    <w:spacing w:before="0" w:after="283"/>
                                    <w:rPr>
                                      <w:caps w:val="false"/>
                                      <w:smallCaps w:val="false"/>
                                    </w:rPr>
                                  </w:pPr>
                                  <w:r>
                                    <w:rPr>
                                      <w:caps w:val="false"/>
                                      <w:smallCaps w:val="false"/>
                                    </w:rPr>
                                    <w:t> </w:t>
                                  </w:r>
                                </w:p>
                              </w:tc>
                              <w:tc>
                                <w:tcPr>
                                  <w:tcW w:w="866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245" w:type="dxa"/>
                                  <w:vMerge w:val="restart"/>
                                  <w:tcBorders/>
                                  <w:shd w:fill="auto" w:val="clear"/>
                                  <w:vAlign w:val="center"/>
                                </w:tcPr>
                                <w:p>
                                  <w:pPr>
                                    <w:pStyle w:val="TableContents"/>
                                    <w:spacing w:before="0" w:after="283"/>
                                    <w:jc w:val="center"/>
                                    <w:rPr/>
                                  </w:pPr>
                                  <w:r>
                                    <w:rPr/>
                                    <w:drawing>
                                      <wp:inline distT="0" distB="0" distL="0" distR="0">
                                        <wp:extent cx="714375" cy="847725"/>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25"/>
                                                <a:stretch>
                                                  <a:fillRect/>
                                                </a:stretch>
                                              </pic:blipFill>
                                              <pic:spPr bwMode="auto">
                                                <a:xfrm>
                                                  <a:off x="0" y="0"/>
                                                  <a:ext cx="714375" cy="847725"/>
                                                </a:xfrm>
                                                <a:prstGeom prst="rect">
                                                  <a:avLst/>
                                                </a:prstGeom>
                                              </pic:spPr>
                                            </pic:pic>
                                          </a:graphicData>
                                        </a:graphic>
                                      </wp:inline>
                                    </w:drawing>
                                  </w:r>
                                </w:p>
                              </w:tc>
                              <w:tc>
                                <w:tcPr>
                                  <w:tcW w:w="300" w:type="dxa"/>
                                  <w:tcBorders/>
                                  <w:shd w:fill="auto" w:val="clear"/>
                                  <w:vAlign w:val="center"/>
                                </w:tcPr>
                                <w:p>
                                  <w:pPr>
                                    <w:pStyle w:val="TableContents"/>
                                    <w:spacing w:before="0" w:after="283"/>
                                    <w:rPr>
                                      <w:caps w:val="false"/>
                                      <w:smallCaps w:val="false"/>
                                    </w:rPr>
                                  </w:pPr>
                                  <w:r>
                                    <w:rPr>
                                      <w:caps w:val="false"/>
                                      <w:smallCaps w:val="false"/>
                                    </w:rPr>
                                    <w:t> </w:t>
                                  </w:r>
                                </w:p>
                              </w:tc>
                              <w:tc>
                                <w:tcPr>
                                  <w:tcW w:w="8660" w:type="dxa"/>
                                  <w:tcBorders/>
                                  <w:shd w:fill="auto" w:val="clear"/>
                                  <w:vAlign w:val="center"/>
                                </w:tcPr>
                                <w:p>
                                  <w:pPr>
                                    <w:pStyle w:val="TableContents"/>
                                    <w:spacing w:before="0" w:after="283"/>
                                    <w:rPr>
                                      <w:rFonts w:ascii="Arial" w:hAnsi="Arial"/>
                                      <w:b/>
                                      <w:i w:val="false"/>
                                      <w:caps w:val="false"/>
                                      <w:smallCaps w:val="false"/>
                                      <w:color w:val="8DAD3C"/>
                                      <w:sz w:val="22"/>
                                    </w:rPr>
                                  </w:pPr>
                                  <w:r>
                                    <w:rPr>
                                      <w:rFonts w:ascii="Arial" w:hAnsi="Arial"/>
                                      <w:b/>
                                      <w:i w:val="false"/>
                                      <w:caps w:val="false"/>
                                      <w:smallCaps w:val="false"/>
                                      <w:color w:val="8DAD3C"/>
                                      <w:sz w:val="22"/>
                                    </w:rPr>
                                    <w:t>Proxy Access</w:t>
                                  </w:r>
                                </w:p>
                              </w:tc>
                            </w:tr>
                            <w:tr>
                              <w:trPr/>
                              <w:tc>
                                <w:tcPr>
                                  <w:tcW w:w="1245" w:type="dxa"/>
                                  <w:vMerge w:val="continue"/>
                                  <w:tcBorders/>
                                  <w:shd w:fill="auto" w:val="clear"/>
                                  <w:vAlign w:val="center"/>
                                </w:tcPr>
                                <w:p>
                                  <w:pPr>
                                    <w:pStyle w:val="Normal"/>
                                    <w:rPr/>
                                  </w:pPr>
                                  <w:r>
                                    <w:rPr/>
                                  </w:r>
                                </w:p>
                              </w:tc>
                              <w:tc>
                                <w:tcPr>
                                  <w:tcW w:w="300" w:type="dxa"/>
                                  <w:tcBorders/>
                                  <w:shd w:fill="auto" w:val="clear"/>
                                  <w:vAlign w:val="center"/>
                                </w:tcPr>
                                <w:p>
                                  <w:pPr>
                                    <w:pStyle w:val="TableContents"/>
                                    <w:spacing w:before="0" w:after="283"/>
                                    <w:rPr>
                                      <w:caps w:val="false"/>
                                      <w:smallCaps w:val="false"/>
                                    </w:rPr>
                                  </w:pPr>
                                  <w:r>
                                    <w:rPr>
                                      <w:caps w:val="false"/>
                                      <w:smallCaps w:val="false"/>
                                    </w:rPr>
                                    <w:t> </w:t>
                                  </w:r>
                                </w:p>
                              </w:tc>
                              <w:tc>
                                <w:tcPr>
                                  <w:tcW w:w="866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A stockholder (or a group of up to 20 stockholders) owning 3% or more of outstanding common stock continuously for at least 3 years may nominate, and include in our proxy materials, director candidates constituting up to the greater of two individuals or 20% of the Board, if the nominating stockholder(s) and the nominee(s) satisfy the requirements specified in our bylaws.</w:t>
                                  </w:r>
                                </w:p>
                              </w:tc>
                            </w:tr>
                          </w:tbl>
                          <w:p>
                            <w:pPr>
                              <w:pStyle w:val="TextBody"/>
                              <w:spacing w:before="0" w:after="283"/>
                              <w:rPr/>
                            </w:pPr>
                            <w:r>
                              <w:rPr/>
                            </w:r>
                          </w:p>
                        </w:txbxContent>
                      </wps:txbx>
                      <wps:bodyPr anchor="t" lIns="0" tIns="0" rIns="0" bIns="0">
                        <a:noAutofit/>
                      </wps:bodyPr>
                    </wps:wsp>
                  </a:graphicData>
                </a:graphic>
                <wp14:sizeRelH relativeFrom="margin">
                  <wp14:pctWidth>62000</wp14:pctWidth>
                </wp14:sizeRelH>
              </wp:anchor>
            </w:drawing>
          </mc:Choice>
          <mc:Fallback>
            <w:pict>
              <v:rect style="position:absolute;rotation:0;width:316.35pt;height:452.7pt;mso-wrap-distance-left:0pt;mso-wrap-distance-right:0pt;mso-wrap-distance-top:0pt;mso-wrap-distance-bottom:0pt;margin-top:0pt;mso-position-vertical:top;mso-position-vertical-relative:text;margin-left:193.9pt;mso-position-horizontal:right;mso-position-horizontal-relative:text">
                <v:textbox inset="0in,0in,0in,0in">
                  <w:txbxContent>
                    <w:p>
                      <w:pPr>
                        <w:pStyle w:val="TextBody"/>
                        <w:spacing w:before="0" w:after="120"/>
                        <w:rPr>
                          <w:rFonts w:ascii="Arial" w:hAnsi="Arial"/>
                          <w:b/>
                          <w:i w:val="false"/>
                          <w:caps w:val="false"/>
                          <w:smallCaps w:val="false"/>
                          <w:color w:val="111841"/>
                          <w:sz w:val="26"/>
                        </w:rPr>
                      </w:pPr>
                      <w:r>
                        <w:rPr>
                          <w:rFonts w:ascii="Arial" w:hAnsi="Arial"/>
                          <w:b/>
                          <w:i w:val="false"/>
                          <w:caps w:val="false"/>
                          <w:smallCaps w:val="false"/>
                          <w:color w:val="111841"/>
                          <w:sz w:val="26"/>
                        </w:rPr>
                        <w:t>Annual Director Elections</w:t>
                      </w:r>
                    </w:p>
                    <w:p>
                      <w:pPr>
                        <w:pStyle w:val="TextBody"/>
                        <w:spacing w:before="120" w:after="120"/>
                        <w:ind w:left="120" w:right="120" w:hanging="0"/>
                        <w:rPr>
                          <w:rFonts w:ascii="Arial" w:hAnsi="Arial"/>
                          <w:b w:val="false"/>
                          <w:i w:val="false"/>
                          <w:caps w:val="false"/>
                          <w:smallCaps w:val="false"/>
                          <w:color w:val="111841"/>
                          <w:sz w:val="18"/>
                        </w:rPr>
                      </w:pPr>
                      <w:r>
                        <w:rPr>
                          <w:rFonts w:ascii="Arial" w:hAnsi="Arial"/>
                          <w:b w:val="false"/>
                          <w:i w:val="false"/>
                          <w:caps w:val="false"/>
                          <w:smallCaps w:val="false"/>
                          <w:color w:val="111841"/>
                          <w:sz w:val="18"/>
                        </w:rPr>
                        <w:t>Our directors are elected for one-year terms.</w:t>
                      </w:r>
                    </w:p>
                    <w:p>
                      <w:pPr>
                        <w:pStyle w:val="TextBody"/>
                        <w:pBdr>
                          <w:bottom w:val="single" w:sz="2" w:space="1" w:color="8DAD3C"/>
                        </w:pBdr>
                        <w:rPr>
                          <w:caps w:val="false"/>
                          <w:smallCaps w:val="false"/>
                          <w:color w:val="111841"/>
                        </w:rPr>
                      </w:pPr>
                      <w:r>
                        <w:rPr>
                          <w:caps w:val="false"/>
                          <w:smallCaps w:val="false"/>
                          <w:color w:val="111841"/>
                        </w:rPr>
                        <w:t> </w:t>
                      </w:r>
                    </w:p>
                    <w:p>
                      <w:pPr>
                        <w:pStyle w:val="TextBody"/>
                        <w:spacing w:before="0" w:after="0"/>
                        <w:ind w:left="0" w:right="0" w:hanging="0"/>
                        <w:rPr>
                          <w:caps w:val="false"/>
                          <w:smallCaps w:val="false"/>
                          <w:color w:val="111841"/>
                        </w:rPr>
                      </w:pPr>
                      <w:r>
                        <w:rPr>
                          <w:caps w:val="false"/>
                          <w:smallCaps w:val="false"/>
                          <w:color w:val="111841"/>
                        </w:rPr>
                        <w:t> </w:t>
                      </w:r>
                    </w:p>
                    <w:p>
                      <w:pPr>
                        <w:pStyle w:val="TextBody"/>
                        <w:spacing w:before="0" w:after="120"/>
                        <w:rPr>
                          <w:rFonts w:ascii="Arial" w:hAnsi="Arial"/>
                          <w:b/>
                          <w:i w:val="false"/>
                          <w:caps w:val="false"/>
                          <w:smallCaps w:val="false"/>
                          <w:color w:val="111841"/>
                          <w:sz w:val="26"/>
                        </w:rPr>
                      </w:pPr>
                      <w:r>
                        <w:rPr>
                          <w:rFonts w:ascii="Arial" w:hAnsi="Arial"/>
                          <w:b/>
                          <w:i w:val="false"/>
                          <w:caps w:val="false"/>
                          <w:smallCaps w:val="false"/>
                          <w:color w:val="111841"/>
                          <w:sz w:val="26"/>
                        </w:rPr>
                        <w:t>Majority Vote Standard with Director Resignation Policy</w:t>
                      </w:r>
                    </w:p>
                    <w:p>
                      <w:pPr>
                        <w:pStyle w:val="TextBody"/>
                        <w:spacing w:before="120" w:after="283"/>
                        <w:rPr>
                          <w:rFonts w:ascii="Arial" w:hAnsi="Arial"/>
                          <w:b w:val="false"/>
                          <w:i w:val="false"/>
                          <w:caps w:val="false"/>
                          <w:smallCaps w:val="false"/>
                          <w:color w:val="111841"/>
                          <w:sz w:val="18"/>
                        </w:rPr>
                      </w:pPr>
                      <w:r>
                        <w:rPr>
                          <w:rFonts w:ascii="Arial" w:hAnsi="Arial"/>
                          <w:b w:val="false"/>
                          <w:i w:val="false"/>
                          <w:caps w:val="false"/>
                          <w:smallCaps w:val="false"/>
                          <w:color w:val="111841"/>
                          <w:sz w:val="18"/>
                        </w:rPr>
                        <w:t>In an uncontested election (as is the case for this annual meeting), our bylaws provide that a majority of all the votes cast with respect to a nominee’s election is required for such nominee to be elected to serve on the Board.</w:t>
                      </w:r>
                    </w:p>
                    <w:p>
                      <w:pPr>
                        <w:pStyle w:val="TextBody"/>
                        <w:rPr>
                          <w:rFonts w:ascii="Arial" w:hAnsi="Arial"/>
                          <w:b w:val="false"/>
                          <w:i w:val="false"/>
                          <w:caps w:val="false"/>
                          <w:smallCaps w:val="false"/>
                          <w:color w:val="111841"/>
                          <w:sz w:val="18"/>
                        </w:rPr>
                      </w:pPr>
                      <w:r>
                        <w:rPr>
                          <w:rFonts w:ascii="Arial" w:hAnsi="Arial"/>
                          <w:b w:val="false"/>
                          <w:i w:val="false"/>
                          <w:caps w:val="false"/>
                          <w:smallCaps w:val="false"/>
                          <w:color w:val="111841"/>
                          <w:sz w:val="18"/>
                        </w:rPr>
                        <w:t>Further, we have adopted a director resignation policy for directors who fail to receive majority support.</w:t>
                      </w:r>
                    </w:p>
                    <w:p>
                      <w:pPr>
                        <w:pStyle w:val="TextBody"/>
                        <w:pBdr>
                          <w:bottom w:val="single" w:sz="2" w:space="1" w:color="8DAD3C"/>
                        </w:pBdr>
                        <w:rPr>
                          <w:caps w:val="false"/>
                          <w:smallCaps w:val="false"/>
                          <w:color w:val="111841"/>
                        </w:rPr>
                      </w:pPr>
                      <w:r>
                        <w:rPr>
                          <w:caps w:val="false"/>
                          <w:smallCaps w:val="false"/>
                          <w:color w:val="111841"/>
                        </w:rPr>
                        <w:t> </w:t>
                      </w:r>
                    </w:p>
                    <w:p>
                      <w:pPr>
                        <w:pStyle w:val="TextBody"/>
                        <w:spacing w:before="0" w:after="0"/>
                        <w:ind w:left="0" w:right="0" w:hanging="0"/>
                        <w:rPr>
                          <w:caps w:val="false"/>
                          <w:smallCaps w:val="false"/>
                          <w:color w:val="111841"/>
                        </w:rPr>
                      </w:pPr>
                      <w:r>
                        <w:rPr>
                          <w:caps w:val="false"/>
                          <w:smallCaps w:val="false"/>
                          <w:color w:val="111841"/>
                        </w:rPr>
                        <w:t> </w:t>
                      </w:r>
                    </w:p>
                    <w:tbl>
                      <w:tblPr>
                        <w:tblW w:w="10205" w:type="dxa"/>
                        <w:jc w:val="left"/>
                        <w:tblInd w:w="0" w:type="dxa"/>
                        <w:tblCellMar>
                          <w:top w:w="0" w:type="dxa"/>
                          <w:left w:w="0" w:type="dxa"/>
                          <w:bottom w:w="0" w:type="dxa"/>
                          <w:right w:w="0" w:type="dxa"/>
                        </w:tblCellMar>
                      </w:tblPr>
                      <w:tblGrid>
                        <w:gridCol w:w="1245"/>
                        <w:gridCol w:w="300"/>
                        <w:gridCol w:w="8660"/>
                      </w:tblGrid>
                      <w:tr>
                        <w:trPr/>
                        <w:tc>
                          <w:tcPr>
                            <w:tcW w:w="1245" w:type="dxa"/>
                            <w:vMerge w:val="restart"/>
                            <w:tcBorders/>
                            <w:shd w:fill="auto" w:val="clear"/>
                            <w:vAlign w:val="center"/>
                          </w:tcPr>
                          <w:p>
                            <w:pPr>
                              <w:pStyle w:val="TableContents"/>
                              <w:spacing w:before="0" w:after="283"/>
                              <w:jc w:val="center"/>
                              <w:rPr/>
                            </w:pPr>
                            <w:r>
                              <w:rPr/>
                              <w:drawing>
                                <wp:inline distT="0" distB="0" distL="0" distR="0">
                                  <wp:extent cx="781050" cy="781050"/>
                                  <wp:effectExtent l="0" t="0" r="0" b="0"/>
                                  <wp:docPr id="3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3" descr=""/>
                                          <pic:cNvPicPr>
                                            <a:picLocks noChangeAspect="1" noChangeArrowheads="1"/>
                                          </pic:cNvPicPr>
                                        </pic:nvPicPr>
                                        <pic:blipFill>
                                          <a:blip r:embed="rId24"/>
                                          <a:stretch>
                                            <a:fillRect/>
                                          </a:stretch>
                                        </pic:blipFill>
                                        <pic:spPr bwMode="auto">
                                          <a:xfrm>
                                            <a:off x="0" y="0"/>
                                            <a:ext cx="781050" cy="781050"/>
                                          </a:xfrm>
                                          <a:prstGeom prst="rect">
                                            <a:avLst/>
                                          </a:prstGeom>
                                        </pic:spPr>
                                      </pic:pic>
                                    </a:graphicData>
                                  </a:graphic>
                                </wp:inline>
                              </w:drawing>
                            </w:r>
                          </w:p>
                        </w:tc>
                        <w:tc>
                          <w:tcPr>
                            <w:tcW w:w="300" w:type="dxa"/>
                            <w:tcBorders/>
                            <w:shd w:fill="auto" w:val="clear"/>
                            <w:vAlign w:val="center"/>
                          </w:tcPr>
                          <w:p>
                            <w:pPr>
                              <w:pStyle w:val="TableContents"/>
                              <w:spacing w:before="0" w:after="283"/>
                              <w:rPr>
                                <w:caps w:val="false"/>
                                <w:smallCaps w:val="false"/>
                              </w:rPr>
                            </w:pPr>
                            <w:r>
                              <w:rPr>
                                <w:caps w:val="false"/>
                                <w:smallCaps w:val="false"/>
                              </w:rPr>
                              <w:t>     </w:t>
                            </w:r>
                          </w:p>
                        </w:tc>
                        <w:tc>
                          <w:tcPr>
                            <w:tcW w:w="8660" w:type="dxa"/>
                            <w:tcBorders/>
                            <w:shd w:fill="auto" w:val="clear"/>
                            <w:vAlign w:val="center"/>
                          </w:tcPr>
                          <w:p>
                            <w:pPr>
                              <w:pStyle w:val="TableContents"/>
                              <w:spacing w:before="0" w:after="283"/>
                              <w:rPr>
                                <w:rFonts w:ascii="Arial" w:hAnsi="Arial"/>
                                <w:b/>
                                <w:i w:val="false"/>
                                <w:caps w:val="false"/>
                                <w:smallCaps w:val="false"/>
                                <w:color w:val="8DAD3C"/>
                                <w:sz w:val="22"/>
                              </w:rPr>
                            </w:pPr>
                            <w:r>
                              <w:rPr>
                                <w:rFonts w:ascii="Arial" w:hAnsi="Arial"/>
                                <w:b/>
                                <w:i w:val="false"/>
                                <w:caps w:val="false"/>
                                <w:smallCaps w:val="false"/>
                                <w:color w:val="8DAD3C"/>
                                <w:sz w:val="22"/>
                              </w:rPr>
                              <w:t>Stockholder Amendments to Bylaws</w:t>
                            </w:r>
                          </w:p>
                        </w:tc>
                      </w:tr>
                      <w:tr>
                        <w:trPr/>
                        <w:tc>
                          <w:tcPr>
                            <w:tcW w:w="1245" w:type="dxa"/>
                            <w:vMerge w:val="continue"/>
                            <w:tcBorders/>
                            <w:shd w:fill="auto" w:val="clear"/>
                            <w:vAlign w:val="center"/>
                          </w:tcPr>
                          <w:p>
                            <w:pPr>
                              <w:pStyle w:val="Normal"/>
                              <w:rPr/>
                            </w:pPr>
                            <w:r>
                              <w:rPr/>
                            </w:r>
                          </w:p>
                        </w:tc>
                        <w:tc>
                          <w:tcPr>
                            <w:tcW w:w="300" w:type="dxa"/>
                            <w:tcBorders/>
                            <w:shd w:fill="auto" w:val="clear"/>
                            <w:vAlign w:val="center"/>
                          </w:tcPr>
                          <w:p>
                            <w:pPr>
                              <w:pStyle w:val="TableContents"/>
                              <w:spacing w:before="0" w:after="283"/>
                              <w:rPr>
                                <w:caps w:val="false"/>
                                <w:smallCaps w:val="false"/>
                              </w:rPr>
                            </w:pPr>
                            <w:r>
                              <w:rPr>
                                <w:caps w:val="false"/>
                                <w:smallCaps w:val="false"/>
                              </w:rPr>
                              <w:t> </w:t>
                            </w:r>
                          </w:p>
                        </w:tc>
                        <w:tc>
                          <w:tcPr>
                            <w:tcW w:w="866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We provide stockholders the right to amend our bylaws by a majority vote without any ownership or holding period limitations.</w:t>
                            </w:r>
                          </w:p>
                        </w:tc>
                      </w:tr>
                      <w:tr>
                        <w:trPr/>
                        <w:tc>
                          <w:tcPr>
                            <w:tcW w:w="124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300" w:type="dxa"/>
                            <w:tcBorders/>
                            <w:shd w:fill="auto" w:val="clear"/>
                            <w:vAlign w:val="center"/>
                          </w:tcPr>
                          <w:p>
                            <w:pPr>
                              <w:pStyle w:val="TableContents"/>
                              <w:spacing w:before="0" w:after="283"/>
                              <w:rPr>
                                <w:caps w:val="false"/>
                                <w:smallCaps w:val="false"/>
                              </w:rPr>
                            </w:pPr>
                            <w:r>
                              <w:rPr>
                                <w:caps w:val="false"/>
                                <w:smallCaps w:val="false"/>
                              </w:rPr>
                              <w:t> </w:t>
                            </w:r>
                          </w:p>
                        </w:tc>
                        <w:tc>
                          <w:tcPr>
                            <w:tcW w:w="866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245" w:type="dxa"/>
                            <w:vMerge w:val="restart"/>
                            <w:tcBorders/>
                            <w:shd w:fill="auto" w:val="clear"/>
                            <w:vAlign w:val="center"/>
                          </w:tcPr>
                          <w:p>
                            <w:pPr>
                              <w:pStyle w:val="TableContents"/>
                              <w:spacing w:before="0" w:after="283"/>
                              <w:jc w:val="center"/>
                              <w:rPr/>
                            </w:pPr>
                            <w:r>
                              <w:rPr/>
                              <w:drawing>
                                <wp:inline distT="0" distB="0" distL="0" distR="0">
                                  <wp:extent cx="714375" cy="847725"/>
                                  <wp:effectExtent l="0" t="0" r="0" b="0"/>
                                  <wp:docPr id="3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4" descr=""/>
                                          <pic:cNvPicPr>
                                            <a:picLocks noChangeAspect="1" noChangeArrowheads="1"/>
                                          </pic:cNvPicPr>
                                        </pic:nvPicPr>
                                        <pic:blipFill>
                                          <a:blip r:embed="rId25"/>
                                          <a:stretch>
                                            <a:fillRect/>
                                          </a:stretch>
                                        </pic:blipFill>
                                        <pic:spPr bwMode="auto">
                                          <a:xfrm>
                                            <a:off x="0" y="0"/>
                                            <a:ext cx="714375" cy="847725"/>
                                          </a:xfrm>
                                          <a:prstGeom prst="rect">
                                            <a:avLst/>
                                          </a:prstGeom>
                                        </pic:spPr>
                                      </pic:pic>
                                    </a:graphicData>
                                  </a:graphic>
                                </wp:inline>
                              </w:drawing>
                            </w:r>
                          </w:p>
                        </w:tc>
                        <w:tc>
                          <w:tcPr>
                            <w:tcW w:w="300" w:type="dxa"/>
                            <w:tcBorders/>
                            <w:shd w:fill="auto" w:val="clear"/>
                            <w:vAlign w:val="center"/>
                          </w:tcPr>
                          <w:p>
                            <w:pPr>
                              <w:pStyle w:val="TableContents"/>
                              <w:spacing w:before="0" w:after="283"/>
                              <w:rPr>
                                <w:caps w:val="false"/>
                                <w:smallCaps w:val="false"/>
                              </w:rPr>
                            </w:pPr>
                            <w:r>
                              <w:rPr>
                                <w:caps w:val="false"/>
                                <w:smallCaps w:val="false"/>
                              </w:rPr>
                              <w:t> </w:t>
                            </w:r>
                          </w:p>
                        </w:tc>
                        <w:tc>
                          <w:tcPr>
                            <w:tcW w:w="8660" w:type="dxa"/>
                            <w:tcBorders/>
                            <w:shd w:fill="auto" w:val="clear"/>
                            <w:vAlign w:val="center"/>
                          </w:tcPr>
                          <w:p>
                            <w:pPr>
                              <w:pStyle w:val="TableContents"/>
                              <w:spacing w:before="0" w:after="283"/>
                              <w:rPr>
                                <w:rFonts w:ascii="Arial" w:hAnsi="Arial"/>
                                <w:b/>
                                <w:i w:val="false"/>
                                <w:caps w:val="false"/>
                                <w:smallCaps w:val="false"/>
                                <w:color w:val="8DAD3C"/>
                                <w:sz w:val="22"/>
                              </w:rPr>
                            </w:pPr>
                            <w:r>
                              <w:rPr>
                                <w:rFonts w:ascii="Arial" w:hAnsi="Arial"/>
                                <w:b/>
                                <w:i w:val="false"/>
                                <w:caps w:val="false"/>
                                <w:smallCaps w:val="false"/>
                                <w:color w:val="8DAD3C"/>
                                <w:sz w:val="22"/>
                              </w:rPr>
                              <w:t>Proxy Access</w:t>
                            </w:r>
                          </w:p>
                        </w:tc>
                      </w:tr>
                      <w:tr>
                        <w:trPr/>
                        <w:tc>
                          <w:tcPr>
                            <w:tcW w:w="1245" w:type="dxa"/>
                            <w:vMerge w:val="continue"/>
                            <w:tcBorders/>
                            <w:shd w:fill="auto" w:val="clear"/>
                            <w:vAlign w:val="center"/>
                          </w:tcPr>
                          <w:p>
                            <w:pPr>
                              <w:pStyle w:val="Normal"/>
                              <w:rPr/>
                            </w:pPr>
                            <w:r>
                              <w:rPr/>
                            </w:r>
                          </w:p>
                        </w:tc>
                        <w:tc>
                          <w:tcPr>
                            <w:tcW w:w="300" w:type="dxa"/>
                            <w:tcBorders/>
                            <w:shd w:fill="auto" w:val="clear"/>
                            <w:vAlign w:val="center"/>
                          </w:tcPr>
                          <w:p>
                            <w:pPr>
                              <w:pStyle w:val="TableContents"/>
                              <w:spacing w:before="0" w:after="283"/>
                              <w:rPr>
                                <w:caps w:val="false"/>
                                <w:smallCaps w:val="false"/>
                              </w:rPr>
                            </w:pPr>
                            <w:r>
                              <w:rPr>
                                <w:caps w:val="false"/>
                                <w:smallCaps w:val="false"/>
                              </w:rPr>
                              <w:t> </w:t>
                            </w:r>
                          </w:p>
                        </w:tc>
                        <w:tc>
                          <w:tcPr>
                            <w:tcW w:w="8660" w:type="dxa"/>
                            <w:tcBorders/>
                            <w:shd w:fill="auto" w:val="clear"/>
                            <w:vAlign w:val="center"/>
                          </w:tcPr>
                          <w:p>
                            <w:pPr>
                              <w:pStyle w:val="TableContents"/>
                              <w:spacing w:before="0" w:after="283"/>
                              <w:rPr>
                                <w:rFonts w:ascii="Arial" w:hAnsi="Arial"/>
                                <w:b w:val="false"/>
                                <w:i w:val="false"/>
                                <w:caps w:val="false"/>
                                <w:smallCaps w:val="false"/>
                                <w:sz w:val="18"/>
                              </w:rPr>
                            </w:pPr>
                            <w:r>
                              <w:rPr>
                                <w:rFonts w:ascii="Arial" w:hAnsi="Arial"/>
                                <w:b w:val="false"/>
                                <w:i w:val="false"/>
                                <w:caps w:val="false"/>
                                <w:smallCaps w:val="false"/>
                                <w:sz w:val="18"/>
                              </w:rPr>
                              <w:t>A stockholder (or a group of up to 20 stockholders) owning 3% or more of outstanding common stock continuously for at least 3 years may nominate, and include in our proxy materials, director candidates constituting up to the greater of two individuals or 20% of the Board, if the nominating stockholder(s) and the nominee(s) satisfy the requirements specified in our bylaws.</w:t>
                            </w:r>
                          </w:p>
                        </w:tc>
                      </w:tr>
                    </w:tbl>
                    <w:p>
                      <w:pPr>
                        <w:pStyle w:val="TextBody"/>
                        <w:spacing w:before="0" w:after="283"/>
                        <w:rPr/>
                      </w:pPr>
                      <w:r>
                        <w:rPr/>
                      </w:r>
                    </w:p>
                  </w:txbxContent>
                </v:textbox>
                <w10:wrap type="square" side="left"/>
              </v:rect>
            </w:pict>
          </mc:Fallback>
        </mc:AlternateContent>
      </w:r>
    </w:p>
    <w:p>
      <w:pPr>
        <w:pStyle w:val="TextBody"/>
        <w:spacing w:before="0" w:after="0"/>
        <w:ind w:left="0" w:right="0" w:hanging="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3100" w:type="dxa"/>
        <w:jc w:val="left"/>
        <w:tblInd w:w="0" w:type="dxa"/>
        <w:tblCellMar>
          <w:top w:w="0" w:type="dxa"/>
          <w:left w:w="0" w:type="dxa"/>
          <w:bottom w:w="0" w:type="dxa"/>
          <w:right w:w="0" w:type="dxa"/>
        </w:tblCellMar>
      </w:tblPr>
      <w:tblGrid>
        <w:gridCol w:w="2945"/>
        <w:gridCol w:w="155"/>
      </w:tblGrid>
      <w:tr>
        <w:trPr/>
        <w:tc>
          <w:tcPr>
            <w:tcW w:w="2945" w:type="dxa"/>
            <w:tcBorders/>
            <w:shd w:fill="auto" w:val="clear"/>
            <w:vAlign w:val="center"/>
          </w:tcPr>
          <w:p>
            <w:pPr>
              <w:pStyle w:val="TableContents"/>
              <w:spacing w:before="0" w:after="283"/>
              <w:jc w:val="left"/>
              <w:rPr>
                <w:rFonts w:ascii="Arial" w:hAnsi="Arial"/>
                <w:sz w:val="15"/>
              </w:rPr>
            </w:pPr>
            <w:r>
              <w:rPr>
                <w:rFonts w:ascii="Arial" w:hAnsi="Arial"/>
                <w:b/>
                <w:sz w:val="15"/>
              </w:rPr>
              <w:t>2023 PROXY STATEMENT HIGHLIGHTS</w:t>
            </w:r>
            <w:r>
              <w:rPr>
                <w:rFonts w:ascii="Arial" w:hAnsi="Arial"/>
                <w:sz w:val="15"/>
              </w:rPr>
              <w:t xml:space="preserve"> </w:t>
            </w:r>
          </w:p>
        </w:tc>
        <w:tc>
          <w:tcPr>
            <w:tcW w:w="155"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5</w:t>
            </w:r>
          </w:p>
        </w:tc>
      </w:tr>
    </w:tbl>
    <w:p>
      <w:pPr>
        <w:pStyle w:val="TextBody"/>
        <w:spacing w:before="240" w:after="283"/>
        <w:jc w:val="left"/>
        <w:rPr/>
      </w:pPr>
      <w:r>
        <w:rPr>
          <w:rStyle w:val="StrongEmphasis"/>
          <w:rFonts w:ascii="Arial" w:hAnsi="Arial"/>
          <w:color w:val="1A2343"/>
          <w:sz w:val="26"/>
        </w:rPr>
        <w:t>Compensation Program Highlights</w:t>
      </w:r>
    </w:p>
    <w:p>
      <w:pPr>
        <w:pStyle w:val="TextBody"/>
        <w:jc w:val="left"/>
        <w:rPr/>
      </w:pPr>
      <w:r>
        <w:rPr>
          <w:rStyle w:val="StrongEmphasis"/>
          <w:rFonts w:ascii="Arial" w:hAnsi="Arial"/>
          <w:color w:val="8EAD3C"/>
          <w:sz w:val="22"/>
        </w:rPr>
        <w:t>Simplified Pay Elements with Continued Emphasis on At-Risk Compensation</w:t>
      </w:r>
    </w:p>
    <w:p>
      <w:pPr>
        <w:pStyle w:val="TextBody"/>
        <w:jc w:val="left"/>
        <w:rPr>
          <w:rFonts w:ascii="Arial" w:hAnsi="Arial"/>
          <w:sz w:val="20"/>
        </w:rPr>
      </w:pPr>
      <w:r>
        <w:rPr>
          <w:rFonts w:ascii="Arial" w:hAnsi="Arial"/>
          <w:sz w:val="20"/>
        </w:rPr>
        <w:t>To align with stockholder feedback, our compensation structure has been updated in recent years to include just four pay elements:</w:t>
      </w:r>
    </w:p>
    <w:tbl>
      <w:tblPr>
        <w:tblW w:w="10205" w:type="dxa"/>
        <w:jc w:val="left"/>
        <w:tblInd w:w="0" w:type="dxa"/>
        <w:tblCellMar>
          <w:top w:w="0" w:type="dxa"/>
          <w:left w:w="0" w:type="dxa"/>
          <w:bottom w:w="40" w:type="dxa"/>
          <w:right w:w="0" w:type="dxa"/>
        </w:tblCellMar>
      </w:tblPr>
      <w:tblGrid>
        <w:gridCol w:w="165"/>
        <w:gridCol w:w="2329"/>
        <w:gridCol w:w="7711"/>
      </w:tblGrid>
      <w:tr>
        <w:trPr/>
        <w:tc>
          <w:tcPr>
            <w:tcW w:w="165"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2329"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Pay Element</w:t>
            </w:r>
          </w:p>
        </w:tc>
        <w:tc>
          <w:tcPr>
            <w:tcW w:w="7711"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Key Characteristics</w:t>
            </w:r>
          </w:p>
        </w:tc>
      </w:tr>
      <w:tr>
        <w:trPr/>
        <w:tc>
          <w:tcPr>
            <w:tcW w:w="165" w:type="dxa"/>
            <w:tcBorders>
              <w:bottom w:val="single" w:sz="8" w:space="0" w:color="1A2343"/>
            </w:tcBorders>
            <w:shd w:fill="1A2343" w:val="clear"/>
            <w:tcMar>
              <w:bottom w:w="80" w:type="dxa"/>
            </w:tcMar>
            <w:vAlign w:val="center"/>
          </w:tcPr>
          <w:p>
            <w:pPr>
              <w:pStyle w:val="TableContents"/>
              <w:spacing w:before="0" w:after="283"/>
              <w:jc w:val="center"/>
              <w:rPr/>
            </w:pPr>
            <w:r>
              <w:rPr/>
              <w:drawing>
                <wp:inline distT="0" distB="0" distL="0" distR="0">
                  <wp:extent cx="104775" cy="333375"/>
                  <wp:effectExtent l="0" t="0" r="0" b="0"/>
                  <wp:docPr id="3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5" descr=""/>
                          <pic:cNvPicPr>
                            <a:picLocks noChangeAspect="1" noChangeArrowheads="1"/>
                          </pic:cNvPicPr>
                        </pic:nvPicPr>
                        <pic:blipFill>
                          <a:blip r:embed="rId26"/>
                          <a:srcRect l="-9621" t="-3023" r="-9621" b="-3023"/>
                          <a:stretch>
                            <a:fillRect/>
                          </a:stretch>
                        </pic:blipFill>
                        <pic:spPr bwMode="auto">
                          <a:xfrm>
                            <a:off x="0" y="0"/>
                            <a:ext cx="104775" cy="333375"/>
                          </a:xfrm>
                          <a:prstGeom prst="rect">
                            <a:avLst/>
                          </a:prstGeom>
                          <a:ln w="635">
                            <a:solidFill>
                              <a:srgbClr val="000000"/>
                            </a:solidFill>
                          </a:ln>
                        </pic:spPr>
                      </pic:pic>
                    </a:graphicData>
                  </a:graphic>
                </wp:inline>
              </w:drawing>
            </w:r>
          </w:p>
        </w:tc>
        <w:tc>
          <w:tcPr>
            <w:tcW w:w="2329" w:type="dxa"/>
            <w:tcBorders>
              <w:bottom w:val="single" w:sz="8" w:space="0" w:color="1A2343"/>
            </w:tcBorders>
            <w:shd w:fill="auto" w:val="clear"/>
            <w:vAlign w:val="center"/>
          </w:tcPr>
          <w:p>
            <w:pPr>
              <w:pStyle w:val="TableContents"/>
              <w:spacing w:before="0" w:after="283"/>
              <w:jc w:val="left"/>
              <w:rPr/>
            </w:pPr>
            <w:r>
              <w:rPr>
                <w:rStyle w:val="StrongEmphasis"/>
                <w:rFonts w:ascii="Arial" w:hAnsi="Arial"/>
                <w:color w:val="1A2343"/>
                <w:sz w:val="20"/>
              </w:rPr>
              <w:t>Annual Base Salary</w:t>
            </w:r>
          </w:p>
        </w:tc>
        <w:tc>
          <w:tcPr>
            <w:tcW w:w="7711" w:type="dxa"/>
            <w:tcBorders>
              <w:bottom w:val="single" w:sz="8" w:space="0" w:color="1A2343"/>
            </w:tcBorders>
            <w:shd w:fill="auto" w:val="clear"/>
            <w:vAlign w:val="center"/>
          </w:tcPr>
          <w:p>
            <w:pPr>
              <w:pStyle w:val="TableContents"/>
              <w:spacing w:before="0" w:after="283"/>
              <w:jc w:val="left"/>
              <w:rPr>
                <w:rFonts w:ascii="Arial" w:hAnsi="Arial"/>
                <w:sz w:val="20"/>
              </w:rPr>
            </w:pPr>
            <w:r>
              <w:rPr>
                <w:rFonts w:ascii="Arial" w:hAnsi="Arial"/>
                <w:sz w:val="20"/>
              </w:rPr>
              <w:t>Represents the only fixed component</w:t>
            </w:r>
          </w:p>
        </w:tc>
      </w:tr>
      <w:tr>
        <w:trPr/>
        <w:tc>
          <w:tcPr>
            <w:tcW w:w="165" w:type="dxa"/>
            <w:vMerge w:val="restart"/>
            <w:tcBorders>
              <w:bottom w:val="single" w:sz="12" w:space="0" w:color="1A2343"/>
            </w:tcBorders>
            <w:shd w:fill="8EAD3C" w:val="clear"/>
            <w:tcMar>
              <w:bottom w:w="80" w:type="dxa"/>
            </w:tcMar>
            <w:vAlign w:val="center"/>
          </w:tcPr>
          <w:p>
            <w:pPr>
              <w:pStyle w:val="TableContents"/>
              <w:spacing w:before="0" w:after="283"/>
              <w:jc w:val="center"/>
              <w:rPr/>
            </w:pPr>
            <w:r>
              <w:rPr/>
              <w:drawing>
                <wp:inline distT="0" distB="0" distL="0" distR="0">
                  <wp:extent cx="104775" cy="428625"/>
                  <wp:effectExtent l="0" t="0" r="0" b="0"/>
                  <wp:docPr id="3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6" descr=""/>
                          <pic:cNvPicPr>
                            <a:picLocks noChangeAspect="1" noChangeArrowheads="1"/>
                          </pic:cNvPicPr>
                        </pic:nvPicPr>
                        <pic:blipFill>
                          <a:blip r:embed="rId27"/>
                          <a:srcRect l="-9621" t="-2350" r="-9621" b="-2350"/>
                          <a:stretch>
                            <a:fillRect/>
                          </a:stretch>
                        </pic:blipFill>
                        <pic:spPr bwMode="auto">
                          <a:xfrm>
                            <a:off x="0" y="0"/>
                            <a:ext cx="104775" cy="428625"/>
                          </a:xfrm>
                          <a:prstGeom prst="rect">
                            <a:avLst/>
                          </a:prstGeom>
                          <a:ln w="635">
                            <a:solidFill>
                              <a:srgbClr val="000000"/>
                            </a:solidFill>
                          </a:ln>
                        </pic:spPr>
                      </pic:pic>
                    </a:graphicData>
                  </a:graphic>
                </wp:inline>
              </w:drawing>
            </w:r>
          </w:p>
        </w:tc>
        <w:tc>
          <w:tcPr>
            <w:tcW w:w="2329" w:type="dxa"/>
            <w:tcBorders>
              <w:bottom w:val="single" w:sz="8" w:space="0" w:color="1A2343"/>
            </w:tcBorders>
            <w:shd w:fill="auto" w:val="clear"/>
            <w:vAlign w:val="center"/>
          </w:tcPr>
          <w:p>
            <w:pPr>
              <w:pStyle w:val="TableContents"/>
              <w:spacing w:before="0" w:after="283"/>
              <w:jc w:val="left"/>
              <w:rPr/>
            </w:pPr>
            <w:r>
              <w:rPr>
                <w:rStyle w:val="StrongEmphasis"/>
                <w:rFonts w:ascii="Arial" w:hAnsi="Arial"/>
                <w:color w:val="1A2343"/>
                <w:sz w:val="20"/>
              </w:rPr>
              <w:t>Annual Cash Bonus</w:t>
            </w:r>
          </w:p>
        </w:tc>
        <w:tc>
          <w:tcPr>
            <w:tcW w:w="7711" w:type="dxa"/>
            <w:tcBorders>
              <w:bottom w:val="single" w:sz="8" w:space="0" w:color="1A2343"/>
            </w:tcBorders>
            <w:shd w:fill="auto" w:val="clear"/>
            <w:vAlign w:val="center"/>
          </w:tcPr>
          <w:p>
            <w:pPr>
              <w:pStyle w:val="TableContents"/>
              <w:spacing w:before="0" w:after="283"/>
              <w:jc w:val="left"/>
              <w:rPr>
                <w:rFonts w:ascii="Arial" w:hAnsi="Arial"/>
                <w:sz w:val="20"/>
              </w:rPr>
            </w:pPr>
            <w:r>
              <w:rPr>
                <w:rFonts w:ascii="Arial" w:hAnsi="Arial"/>
                <w:sz w:val="20"/>
              </w:rPr>
              <w:t>Determined 100% formulaically for both our CEO and President and, beginning in 2023, 60% formulaically for our CFO, based on weightings that directly correspond to our strategy</w:t>
            </w:r>
          </w:p>
        </w:tc>
      </w:tr>
      <w:tr>
        <w:trPr/>
        <w:tc>
          <w:tcPr>
            <w:tcW w:w="165" w:type="dxa"/>
            <w:vMerge w:val="continue"/>
            <w:tcBorders>
              <w:bottom w:val="single" w:sz="12" w:space="0" w:color="1A2343"/>
            </w:tcBorders>
            <w:shd w:fill="8EAD3C" w:val="clear"/>
            <w:tcMar>
              <w:bottom w:w="80" w:type="dxa"/>
            </w:tcMar>
            <w:vAlign w:val="center"/>
          </w:tcPr>
          <w:p>
            <w:pPr>
              <w:pStyle w:val="Normal"/>
              <w:rPr/>
            </w:pPr>
            <w:r>
              <w:rPr/>
            </w:r>
          </w:p>
        </w:tc>
        <w:tc>
          <w:tcPr>
            <w:tcW w:w="2329" w:type="dxa"/>
            <w:tcBorders>
              <w:bottom w:val="single" w:sz="8" w:space="0" w:color="1A2343"/>
            </w:tcBorders>
            <w:shd w:fill="auto" w:val="clear"/>
            <w:vAlign w:val="center"/>
          </w:tcPr>
          <w:p>
            <w:pPr>
              <w:pStyle w:val="TableContents"/>
              <w:spacing w:before="0" w:after="283"/>
              <w:jc w:val="left"/>
              <w:rPr/>
            </w:pPr>
            <w:r>
              <w:rPr>
                <w:rStyle w:val="StrongEmphasis"/>
                <w:rFonts w:ascii="Arial" w:hAnsi="Arial"/>
                <w:color w:val="1A2343"/>
                <w:sz w:val="20"/>
              </w:rPr>
              <w:t>Performance-Based Equity Awards</w:t>
            </w:r>
          </w:p>
        </w:tc>
        <w:tc>
          <w:tcPr>
            <w:tcW w:w="7711" w:type="dxa"/>
            <w:tcBorders>
              <w:bottom w:val="single" w:sz="8" w:space="0" w:color="1A2343"/>
            </w:tcBorders>
            <w:shd w:fill="auto" w:val="clear"/>
            <w:vAlign w:val="center"/>
          </w:tcPr>
          <w:p>
            <w:pPr>
              <w:pStyle w:val="TableContents"/>
              <w:spacing w:before="0" w:after="283"/>
              <w:jc w:val="left"/>
              <w:rPr>
                <w:rFonts w:ascii="Arial" w:hAnsi="Arial"/>
                <w:sz w:val="20"/>
              </w:rPr>
            </w:pPr>
            <w:r>
              <w:rPr>
                <w:rFonts w:ascii="Arial" w:hAnsi="Arial"/>
                <w:sz w:val="20"/>
              </w:rPr>
              <w:t>Awards are (i) 50% based on performance against annual operating goals, subject to a modifier based on absolute TSR over a three-year performance period and (ii) 50% based on relative TSR over a three-year performance period</w:t>
            </w:r>
          </w:p>
        </w:tc>
      </w:tr>
      <w:tr>
        <w:trPr/>
        <w:tc>
          <w:tcPr>
            <w:tcW w:w="165" w:type="dxa"/>
            <w:vMerge w:val="continue"/>
            <w:tcBorders>
              <w:bottom w:val="single" w:sz="12" w:space="0" w:color="1A2343"/>
            </w:tcBorders>
            <w:shd w:fill="8EAD3C" w:val="clear"/>
            <w:tcMar>
              <w:bottom w:w="80" w:type="dxa"/>
            </w:tcMar>
            <w:vAlign w:val="center"/>
          </w:tcPr>
          <w:p>
            <w:pPr>
              <w:pStyle w:val="Normal"/>
              <w:rPr/>
            </w:pPr>
            <w:r>
              <w:rPr/>
            </w:r>
          </w:p>
        </w:tc>
        <w:tc>
          <w:tcPr>
            <w:tcW w:w="2329" w:type="dxa"/>
            <w:tcBorders>
              <w:bottom w:val="single" w:sz="12" w:space="0" w:color="1A2343"/>
            </w:tcBorders>
            <w:shd w:fill="auto" w:val="clear"/>
            <w:vAlign w:val="center"/>
          </w:tcPr>
          <w:p>
            <w:pPr>
              <w:pStyle w:val="TableContents"/>
              <w:spacing w:before="0" w:after="283"/>
              <w:jc w:val="left"/>
              <w:rPr/>
            </w:pPr>
            <w:r>
              <w:rPr>
                <w:rStyle w:val="StrongEmphasis"/>
                <w:rFonts w:ascii="Arial" w:hAnsi="Arial"/>
                <w:color w:val="1A2343"/>
                <w:sz w:val="20"/>
              </w:rPr>
              <w:t>Time-Based Equity Awards</w:t>
            </w:r>
          </w:p>
        </w:tc>
        <w:tc>
          <w:tcPr>
            <w:tcW w:w="7711" w:type="dxa"/>
            <w:tcBorders>
              <w:bottom w:val="single" w:sz="12" w:space="0" w:color="1A2343"/>
            </w:tcBorders>
            <w:shd w:fill="auto" w:val="clear"/>
            <w:vAlign w:val="center"/>
          </w:tcPr>
          <w:p>
            <w:pPr>
              <w:pStyle w:val="TableContents"/>
              <w:spacing w:before="0" w:after="283"/>
              <w:jc w:val="left"/>
              <w:rPr>
                <w:rFonts w:ascii="Arial" w:hAnsi="Arial"/>
                <w:sz w:val="20"/>
              </w:rPr>
            </w:pPr>
            <w:r>
              <w:rPr>
                <w:rFonts w:ascii="Arial" w:hAnsi="Arial"/>
                <w:sz w:val="20"/>
              </w:rPr>
              <w:t>Multi-year time-based equity awards that vest based on continued service, and are subject to a no-sell restriction for three years after grant date</w:t>
            </w:r>
          </w:p>
        </w:tc>
      </w:tr>
    </w:tbl>
    <w:p>
      <w:pPr>
        <w:pStyle w:val="TextBody"/>
        <w:spacing w:before="240" w:after="283"/>
        <w:jc w:val="left"/>
        <w:rPr/>
      </w:pPr>
      <w:r>
        <w:rPr>
          <w:rStyle w:val="StrongEmphasis"/>
          <w:rFonts w:ascii="Arial" w:hAnsi="Arial"/>
          <w:color w:val="8EAD3C"/>
          <w:sz w:val="22"/>
        </w:rPr>
        <w:t>Continued Commitment to Strengthening Performance-Based Executive Compensation</w:t>
      </w:r>
    </w:p>
    <w:p>
      <w:pPr>
        <w:pStyle w:val="TextBody"/>
        <w:jc w:val="left"/>
        <w:rPr>
          <w:rFonts w:ascii="Arial" w:hAnsi="Arial"/>
          <w:sz w:val="20"/>
        </w:rPr>
      </w:pPr>
      <w:r>
        <w:rPr>
          <w:rFonts w:ascii="Arial" w:hAnsi="Arial"/>
          <w:sz w:val="20"/>
        </w:rPr>
        <w:t>In direct response to stockholder feedback received during our 2022 fall and winter outreach to stockholders, the Compensation Committee:</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Reduced discretion in bonuses for our NEOs</w:t>
            </w:r>
          </w:p>
        </w:tc>
      </w:tr>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 xml:space="preserve">Included a vesting cap for performance-based awards that may be earned based on performance relative to our peers in the event of negative multi-year TSR, </w:t>
            </w:r>
          </w:p>
        </w:tc>
      </w:tr>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Eliminated automobile allowances for all NEOs, and</w:t>
            </w:r>
          </w:p>
        </w:tc>
      </w:tr>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Intends to eliminate short-term measurement periods from long-term performance-based equity awards, in future employment agreements with the Company’s CEO and President.</w:t>
            </w:r>
          </w:p>
        </w:tc>
      </w:tr>
    </w:tbl>
    <w:p>
      <w:pPr>
        <w:pStyle w:val="TextBody"/>
        <w:spacing w:before="240" w:after="283"/>
        <w:jc w:val="left"/>
        <w:rPr/>
      </w:pPr>
      <w:r>
        <w:rPr>
          <w:rStyle w:val="StrongEmphasis"/>
          <w:rFonts w:ascii="Arial" w:hAnsi="Arial"/>
          <w:color w:val="8EAD3C"/>
          <w:sz w:val="22"/>
        </w:rPr>
        <w:t>Majority of 2022 Pay at Risk</w:t>
      </w:r>
    </w:p>
    <w:p>
      <w:pPr>
        <w:pStyle w:val="TextBody"/>
        <w:jc w:val="center"/>
        <w:rPr/>
      </w:pPr>
      <w:r>
        <w:rPr/>
        <w:drawing>
          <wp:inline distT="0" distB="0" distL="0" distR="0">
            <wp:extent cx="5781675" cy="2486025"/>
            <wp:effectExtent l="0" t="0" r="0" b="0"/>
            <wp:docPr id="4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7" descr=""/>
                    <pic:cNvPicPr>
                      <a:picLocks noChangeAspect="1" noChangeArrowheads="1"/>
                    </pic:cNvPicPr>
                  </pic:nvPicPr>
                  <pic:blipFill>
                    <a:blip r:embed="rId28"/>
                    <a:srcRect l="-174" t="-405" r="-174" b="-405"/>
                    <a:stretch>
                      <a:fillRect/>
                    </a:stretch>
                  </pic:blipFill>
                  <pic:spPr bwMode="auto">
                    <a:xfrm>
                      <a:off x="0" y="0"/>
                      <a:ext cx="5781675" cy="2486025"/>
                    </a:xfrm>
                    <a:prstGeom prst="rect">
                      <a:avLst/>
                    </a:prstGeom>
                    <a:ln w="635">
                      <a:solidFill>
                        <a:srgbClr val="000000"/>
                      </a:solidFill>
                    </a:ln>
                  </pic:spPr>
                </pic:pic>
              </a:graphicData>
            </a:graphic>
          </wp:inline>
        </w:drawing>
      </w:r>
      <w:r>
        <w:rPr/>
        <w:t xml:space="preserve"> </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075" w:type="dxa"/>
        <w:jc w:val="left"/>
        <w:tblInd w:w="0" w:type="dxa"/>
        <w:tblCellMar>
          <w:top w:w="0" w:type="dxa"/>
          <w:left w:w="0" w:type="dxa"/>
          <w:bottom w:w="0" w:type="dxa"/>
          <w:right w:w="0" w:type="dxa"/>
        </w:tblCellMar>
      </w:tblPr>
      <w:tblGrid>
        <w:gridCol w:w="155"/>
        <w:gridCol w:w="3920"/>
      </w:tblGrid>
      <w:tr>
        <w:trPr/>
        <w:tc>
          <w:tcPr>
            <w:tcW w:w="155"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6</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0" w:after="0"/>
        <w:rPr/>
      </w:pPr>
      <w:r>
        <w:rPr/>
      </w:r>
    </w:p>
    <w:tbl>
      <w:tblPr>
        <w:tblW w:w="2705" w:type="dxa"/>
        <w:jc w:val="left"/>
        <w:tblInd w:w="0" w:type="dxa"/>
        <w:tblCellMar>
          <w:top w:w="0" w:type="dxa"/>
          <w:left w:w="0" w:type="dxa"/>
          <w:bottom w:w="80" w:type="dxa"/>
          <w:right w:w="0" w:type="dxa"/>
        </w:tblCellMar>
      </w:tblPr>
      <w:tblGrid>
        <w:gridCol w:w="2705"/>
      </w:tblGrid>
      <w:tr>
        <w:trPr/>
        <w:tc>
          <w:tcPr>
            <w:tcW w:w="2705" w:type="dxa"/>
            <w:tcBorders>
              <w:bottom w:val="single" w:sz="8" w:space="0" w:color="8EAD3C"/>
            </w:tcBorders>
            <w:shd w:fill="auto" w:val="clear"/>
            <w:vAlign w:val="center"/>
          </w:tcPr>
          <w:p>
            <w:pPr>
              <w:pStyle w:val="TableContents"/>
              <w:spacing w:before="0" w:after="283"/>
              <w:jc w:val="left"/>
              <w:rPr/>
            </w:pPr>
            <w:r>
              <w:rPr>
                <w:rStyle w:val="StrongEmphasis"/>
                <w:rFonts w:ascii="Arial" w:hAnsi="Arial"/>
                <w:color w:val="8EAD3C"/>
                <w:sz w:val="32"/>
              </w:rPr>
              <w:t>ESG HIGHLIGHTS</w:t>
            </w:r>
          </w:p>
        </w:tc>
      </w:tr>
    </w:tbl>
    <w:tbl>
      <w:tblPr>
        <w:tblW w:w="10205" w:type="dxa"/>
        <w:jc w:val="left"/>
        <w:tblInd w:w="0" w:type="dxa"/>
        <w:tblCellMar>
          <w:top w:w="0" w:type="dxa"/>
          <w:left w:w="0" w:type="dxa"/>
          <w:bottom w:w="0" w:type="dxa"/>
          <w:right w:w="0" w:type="dxa"/>
        </w:tblCellMar>
      </w:tblPr>
      <w:tblGrid>
        <w:gridCol w:w="3909"/>
        <w:gridCol w:w="6296"/>
      </w:tblGrid>
      <w:tr>
        <w:trPr/>
        <w:tc>
          <w:tcPr>
            <w:tcW w:w="3909" w:type="dxa"/>
            <w:tcBorders/>
            <w:shd w:fill="auto" w:val="clear"/>
            <w:vAlign w:val="center"/>
          </w:tcPr>
          <w:p>
            <w:pPr>
              <w:pStyle w:val="TableContents"/>
              <w:spacing w:before="0" w:after="283"/>
              <w:jc w:val="left"/>
              <w:rPr/>
            </w:pPr>
            <w:r>
              <w:rPr>
                <w:rStyle w:val="StrongEmphasis"/>
                <w:rFonts w:ascii="Arial" w:hAnsi="Arial"/>
                <w:color w:val="8EAD3C"/>
                <w:sz w:val="22"/>
              </w:rPr>
              <w:t>Transparent Disclosure and Commitments</w:t>
            </w:r>
          </w:p>
        </w:tc>
        <w:tc>
          <w:tcPr>
            <w:tcW w:w="6296" w:type="dxa"/>
            <w:tcBorders/>
            <w:shd w:fill="auto" w:val="clear"/>
            <w:vAlign w:val="center"/>
          </w:tcPr>
          <w:p>
            <w:pPr>
              <w:pStyle w:val="TableContents"/>
              <w:spacing w:before="0" w:after="283"/>
              <w:jc w:val="left"/>
              <w:rPr/>
            </w:pPr>
            <w:r>
              <w:rPr>
                <w:rStyle w:val="StrongEmphasis"/>
                <w:rFonts w:ascii="Arial" w:hAnsi="Arial"/>
                <w:color w:val="8EAD3C"/>
                <w:sz w:val="22"/>
              </w:rPr>
              <w:t>ESG Oversight &amp; Business Integration</w:t>
            </w:r>
          </w:p>
        </w:tc>
      </w:tr>
      <w:tr>
        <w:trPr/>
        <w:tc>
          <w:tcPr>
            <w:tcW w:w="3909" w:type="dxa"/>
            <w:tcBorders>
              <w:bottom w:val="single" w:sz="8" w:space="0" w:color="8EAD3C"/>
            </w:tcBorders>
            <w:shd w:fill="auto" w:val="clear"/>
            <w:tcMar>
              <w:bottom w:w="28" w:type="dxa"/>
            </w:tcMar>
            <w:vAlign w:val="center"/>
          </w:tcPr>
          <w:p>
            <w:pPr>
              <w:pStyle w:val="TableContents"/>
              <w:spacing w:before="0" w:after="0"/>
              <w:ind w:left="0" w:right="0" w:hanging="290"/>
              <w:jc w:val="left"/>
              <w:rPr/>
            </w:pPr>
            <w:r>
              <w:rPr>
                <w:color w:val="1A2343"/>
              </w:rPr>
              <w:t>●</w:t>
            </w:r>
            <w:r>
              <w:rPr>
                <w:rFonts w:ascii="Arial" w:hAnsi="Arial"/>
                <w:sz w:val="20"/>
              </w:rPr>
              <w:t>Developed a long-term decarbonization roadmap and emissions reduction plan</w:t>
            </w:r>
          </w:p>
          <w:p>
            <w:pPr>
              <w:pStyle w:val="TableContents"/>
              <w:spacing w:before="0" w:after="0"/>
              <w:ind w:left="0" w:right="0" w:hanging="290"/>
              <w:jc w:val="left"/>
              <w:rPr/>
            </w:pPr>
            <w:r>
              <w:rPr>
                <w:color w:val="1A2343"/>
              </w:rPr>
              <w:t>●</w:t>
            </w:r>
            <w:r>
              <w:rPr>
                <w:rFonts w:ascii="Arial" w:hAnsi="Arial"/>
                <w:sz w:val="20"/>
              </w:rPr>
              <w:t>Developed and validated absolute scope 1 and 2, science-based emissions reduction targets with the SBTi</w:t>
            </w:r>
          </w:p>
          <w:p>
            <w:pPr>
              <w:pStyle w:val="TableContents"/>
              <w:spacing w:before="0" w:after="0"/>
              <w:ind w:left="0" w:right="0" w:hanging="290"/>
              <w:jc w:val="left"/>
              <w:rPr/>
            </w:pPr>
            <w:r>
              <w:rPr>
                <w:color w:val="1A2343"/>
              </w:rPr>
              <w:t>●</w:t>
            </w:r>
            <w:r>
              <w:rPr>
                <w:rFonts w:ascii="Arial" w:hAnsi="Arial"/>
                <w:sz w:val="20"/>
              </w:rPr>
              <w:t>Expanded scope 3 disclosures and committed to reduce absolute scope 3 GHG emissions from capital goods with the SBTi</w:t>
            </w:r>
          </w:p>
          <w:p>
            <w:pPr>
              <w:pStyle w:val="TableContents"/>
              <w:spacing w:before="0" w:after="0"/>
              <w:ind w:left="0" w:right="0" w:hanging="290"/>
              <w:jc w:val="left"/>
              <w:rPr/>
            </w:pPr>
            <w:r>
              <w:rPr>
                <w:color w:val="1A2343"/>
              </w:rPr>
              <w:t>●</w:t>
            </w:r>
            <w:r>
              <w:rPr>
                <w:rFonts w:ascii="Arial" w:hAnsi="Arial"/>
                <w:sz w:val="20"/>
              </w:rPr>
              <w:t>Became a signatory to TCFD in 2021 and published our first formal TCFD report (reporting update to be issued in 2023)</w:t>
            </w:r>
          </w:p>
          <w:p>
            <w:pPr>
              <w:pStyle w:val="TableContents"/>
              <w:spacing w:before="0" w:after="0"/>
              <w:ind w:left="0" w:right="0" w:hanging="290"/>
              <w:jc w:val="left"/>
              <w:rPr/>
            </w:pPr>
            <w:r>
              <w:rPr>
                <w:color w:val="1A2343"/>
              </w:rPr>
              <w:t>●</w:t>
            </w:r>
            <w:r>
              <w:rPr>
                <w:rFonts w:ascii="Arial" w:hAnsi="Arial"/>
                <w:sz w:val="20"/>
              </w:rPr>
              <w:t>ESG Reporting since 2013 in line with GRI standards and supplemented by annual ESG Report</w:t>
            </w:r>
          </w:p>
          <w:p>
            <w:pPr>
              <w:pStyle w:val="TableContents"/>
              <w:spacing w:before="0" w:after="0"/>
              <w:ind w:left="0" w:right="0" w:hanging="290"/>
              <w:jc w:val="left"/>
              <w:rPr/>
            </w:pPr>
            <w:r>
              <w:rPr>
                <w:color w:val="1A2343"/>
              </w:rPr>
              <w:t>●</w:t>
            </w:r>
            <w:r>
              <w:rPr>
                <w:rFonts w:ascii="Arial" w:hAnsi="Arial"/>
                <w:sz w:val="20"/>
              </w:rPr>
              <w:t>Annual reporting for GRESB, CDP, SASB, S&amp;P CSA / DJSI</w:t>
            </w:r>
          </w:p>
        </w:tc>
        <w:tc>
          <w:tcPr>
            <w:tcW w:w="6296" w:type="dxa"/>
            <w:tcBorders>
              <w:left w:val="single" w:sz="8" w:space="0" w:color="8EAD3C"/>
              <w:bottom w:val="single" w:sz="8" w:space="0" w:color="8EAD3C"/>
            </w:tcBorders>
            <w:shd w:fill="auto" w:val="clear"/>
            <w:tcMar>
              <w:left w:w="160" w:type="dxa"/>
              <w:bottom w:w="28" w:type="dxa"/>
            </w:tcMar>
            <w:vAlign w:val="center"/>
          </w:tcPr>
          <w:p>
            <w:pPr>
              <w:pStyle w:val="TableContents"/>
              <w:spacing w:before="0" w:after="0"/>
              <w:ind w:left="0" w:right="0" w:hanging="290"/>
              <w:jc w:val="left"/>
              <w:rPr/>
            </w:pPr>
            <w:r>
              <w:rPr>
                <w:color w:val="1A2343"/>
              </w:rPr>
              <w:t>●</w:t>
            </w:r>
            <w:r>
              <w:rPr>
                <w:rFonts w:ascii="Arial" w:hAnsi="Arial"/>
                <w:sz w:val="20"/>
              </w:rPr>
              <w:t>ESG program oversight by the full Board, reflective of the program’s cross-departmental integration and importance to the Company’s long-term strategic plan</w:t>
            </w:r>
          </w:p>
          <w:p>
            <w:pPr>
              <w:pStyle w:val="TableContents"/>
              <w:spacing w:before="0" w:after="0"/>
              <w:ind w:left="0" w:right="0" w:hanging="290"/>
              <w:jc w:val="left"/>
              <w:rPr/>
            </w:pPr>
            <w:r>
              <w:rPr>
                <w:color w:val="1A2343"/>
              </w:rPr>
              <w:t>●</w:t>
            </w:r>
            <w:r>
              <w:rPr>
                <w:rFonts w:ascii="Arial" w:hAnsi="Arial"/>
                <w:sz w:val="20"/>
              </w:rPr>
              <w:t>ESG program’s internal execution team is cross-functional with executive-level participation, including SL Green’s Chief Operating Officer, SVP, Hospitality &amp; Sustainability, VP, Director of Sustainability, and AVP of People Experience</w:t>
            </w:r>
          </w:p>
          <w:p>
            <w:pPr>
              <w:pStyle w:val="TableContents"/>
              <w:spacing w:before="0" w:after="0"/>
              <w:ind w:left="0" w:right="0" w:hanging="290"/>
              <w:jc w:val="left"/>
              <w:rPr/>
            </w:pPr>
            <w:r>
              <w:rPr>
                <w:color w:val="1A2343"/>
              </w:rPr>
              <w:t>●</w:t>
            </w:r>
            <w:r>
              <w:rPr>
                <w:rFonts w:ascii="Arial" w:hAnsi="Arial"/>
                <w:sz w:val="20"/>
              </w:rPr>
              <w:t>ESG platform is integrated throughout SL Green’s business, which has led to effective risk-management practices that influence corporate strategy and decision-making</w:t>
            </w:r>
          </w:p>
        </w:tc>
      </w:tr>
    </w:tbl>
    <w:p>
      <w:pPr>
        <w:pStyle w:val="TextBody"/>
        <w:spacing w:before="240" w:after="283"/>
        <w:jc w:val="left"/>
        <w:rPr/>
      </w:pPr>
      <w:r>
        <w:rPr>
          <w:rStyle w:val="StrongEmphasis"/>
          <w:rFonts w:ascii="Arial" w:hAnsi="Arial"/>
          <w:color w:val="8EAD3C"/>
          <w:sz w:val="26"/>
        </w:rPr>
        <w:t>Key ESG Achievements</w:t>
      </w:r>
    </w:p>
    <w:tbl>
      <w:tblPr>
        <w:tblW w:w="10205" w:type="dxa"/>
        <w:jc w:val="left"/>
        <w:tblInd w:w="0" w:type="dxa"/>
        <w:tblCellMar>
          <w:top w:w="0" w:type="dxa"/>
          <w:left w:w="0" w:type="dxa"/>
          <w:bottom w:w="120" w:type="dxa"/>
          <w:right w:w="0" w:type="dxa"/>
        </w:tblCellMar>
      </w:tblPr>
      <w:tblGrid>
        <w:gridCol w:w="1833"/>
        <w:gridCol w:w="750"/>
        <w:gridCol w:w="300"/>
        <w:gridCol w:w="1463"/>
        <w:gridCol w:w="750"/>
        <w:gridCol w:w="300"/>
        <w:gridCol w:w="1177"/>
        <w:gridCol w:w="750"/>
        <w:gridCol w:w="300"/>
        <w:gridCol w:w="1815"/>
        <w:gridCol w:w="767"/>
      </w:tblGrid>
      <w:tr>
        <w:trPr/>
        <w:tc>
          <w:tcPr>
            <w:tcW w:w="2583" w:type="dxa"/>
            <w:gridSpan w:val="2"/>
            <w:tcBorders>
              <w:bottom w:val="single" w:sz="8" w:space="0" w:color="1A2343"/>
            </w:tcBorders>
            <w:shd w:fill="auto" w:val="clear"/>
            <w:vAlign w:val="center"/>
          </w:tcPr>
          <w:p>
            <w:pPr>
              <w:pStyle w:val="TableContents"/>
              <w:spacing w:before="0" w:after="283"/>
              <w:jc w:val="left"/>
              <w:rPr/>
            </w:pPr>
            <w:r>
              <w:rPr>
                <w:rStyle w:val="StrongEmphasis"/>
                <w:rFonts w:ascii="Arial" w:hAnsi="Arial"/>
                <w:color w:val="1A2343"/>
                <w:sz w:val="22"/>
              </w:rPr>
              <w:t>ESG Leadership</w:t>
            </w:r>
            <w:r>
              <w:rPr/>
              <w:t xml:space="preserve"> </w:t>
            </w:r>
          </w:p>
        </w:tc>
        <w:tc>
          <w:tcPr>
            <w:tcW w:w="300" w:type="dxa"/>
            <w:tcBorders/>
            <w:shd w:fill="auto" w:val="clear"/>
            <w:tcMar>
              <w:bottom w:w="0" w:type="dxa"/>
            </w:tcMar>
            <w:vAlign w:val="center"/>
          </w:tcPr>
          <w:p>
            <w:pPr>
              <w:pStyle w:val="TableContents"/>
              <w:spacing w:before="0" w:after="283"/>
              <w:jc w:val="left"/>
              <w:rPr/>
            </w:pPr>
            <w:r>
              <w:rPr/>
              <w:t>     </w:t>
            </w:r>
          </w:p>
        </w:tc>
        <w:tc>
          <w:tcPr>
            <w:tcW w:w="2213" w:type="dxa"/>
            <w:gridSpan w:val="2"/>
            <w:tcBorders>
              <w:bottom w:val="single" w:sz="8" w:space="0" w:color="1A2343"/>
            </w:tcBorders>
            <w:shd w:fill="auto" w:val="clear"/>
            <w:vAlign w:val="center"/>
          </w:tcPr>
          <w:p>
            <w:pPr>
              <w:pStyle w:val="TableContents"/>
              <w:spacing w:before="0" w:after="283"/>
              <w:jc w:val="left"/>
              <w:rPr/>
            </w:pPr>
            <w:r>
              <w:rPr>
                <w:rStyle w:val="StrongEmphasis"/>
                <w:rFonts w:ascii="Arial" w:hAnsi="Arial"/>
                <w:color w:val="1A2343"/>
                <w:sz w:val="22"/>
              </w:rPr>
              <w:t>Industry</w:t>
              <w:br/>
              <w:t>Leadership</w:t>
            </w:r>
            <w:r>
              <w:rPr/>
              <w:t xml:space="preserve"> </w:t>
            </w:r>
          </w:p>
        </w:tc>
        <w:tc>
          <w:tcPr>
            <w:tcW w:w="300" w:type="dxa"/>
            <w:tcBorders/>
            <w:shd w:fill="auto" w:val="clear"/>
            <w:tcMar>
              <w:bottom w:w="0" w:type="dxa"/>
            </w:tcMar>
            <w:vAlign w:val="center"/>
          </w:tcPr>
          <w:p>
            <w:pPr>
              <w:pStyle w:val="TableContents"/>
              <w:spacing w:before="0" w:after="283"/>
              <w:jc w:val="left"/>
              <w:rPr/>
            </w:pPr>
            <w:r>
              <w:rPr/>
              <w:t>     </w:t>
            </w:r>
          </w:p>
        </w:tc>
        <w:tc>
          <w:tcPr>
            <w:tcW w:w="1927" w:type="dxa"/>
            <w:gridSpan w:val="2"/>
            <w:tcBorders>
              <w:bottom w:val="single" w:sz="8" w:space="0" w:color="1A2343"/>
            </w:tcBorders>
            <w:shd w:fill="auto" w:val="clear"/>
            <w:vAlign w:val="center"/>
          </w:tcPr>
          <w:p>
            <w:pPr>
              <w:pStyle w:val="TableContents"/>
              <w:spacing w:before="0" w:after="283"/>
              <w:jc w:val="left"/>
              <w:rPr/>
            </w:pPr>
            <w:r>
              <w:rPr>
                <w:rStyle w:val="StrongEmphasis"/>
                <w:rFonts w:ascii="Arial" w:hAnsi="Arial"/>
                <w:color w:val="1A2343"/>
                <w:sz w:val="22"/>
              </w:rPr>
              <w:t>Building</w:t>
              <w:br/>
              <w:t>Certifications</w:t>
            </w:r>
            <w:r>
              <w:rPr/>
              <w:t xml:space="preserve"> </w:t>
            </w:r>
          </w:p>
        </w:tc>
        <w:tc>
          <w:tcPr>
            <w:tcW w:w="300" w:type="dxa"/>
            <w:tcBorders/>
            <w:shd w:fill="auto" w:val="clear"/>
            <w:tcMar>
              <w:bottom w:w="0" w:type="dxa"/>
            </w:tcMar>
            <w:vAlign w:val="center"/>
          </w:tcPr>
          <w:p>
            <w:pPr>
              <w:pStyle w:val="TableContents"/>
              <w:spacing w:before="0" w:after="283"/>
              <w:jc w:val="left"/>
              <w:rPr/>
            </w:pPr>
            <w:r>
              <w:rPr/>
              <w:t>     </w:t>
            </w:r>
          </w:p>
        </w:tc>
        <w:tc>
          <w:tcPr>
            <w:tcW w:w="2582" w:type="dxa"/>
            <w:gridSpan w:val="2"/>
            <w:tcBorders>
              <w:bottom w:val="single" w:sz="8" w:space="0" w:color="1A2343"/>
            </w:tcBorders>
            <w:shd w:fill="auto" w:val="clear"/>
            <w:vAlign w:val="center"/>
          </w:tcPr>
          <w:p>
            <w:pPr>
              <w:pStyle w:val="TableContents"/>
              <w:spacing w:before="0" w:after="283"/>
              <w:jc w:val="left"/>
              <w:rPr/>
            </w:pPr>
            <w:r>
              <w:rPr>
                <w:rStyle w:val="StrongEmphasis"/>
                <w:rFonts w:ascii="Arial" w:hAnsi="Arial"/>
                <w:color w:val="1A2343"/>
                <w:sz w:val="22"/>
              </w:rPr>
              <w:t>Awards &amp;</w:t>
              <w:br/>
              <w:t>Accolades</w:t>
            </w:r>
            <w:r>
              <w:rPr/>
              <w:t xml:space="preserve"> </w:t>
            </w:r>
          </w:p>
        </w:tc>
      </w:tr>
      <w:tr>
        <w:trPr/>
        <w:tc>
          <w:tcPr>
            <w:tcW w:w="1833"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Highest Scoring U.S. Office REIT</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47675" cy="209550"/>
                  <wp:effectExtent l="0" t="0" r="0" b="0"/>
                  <wp:docPr id="4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8" descr=""/>
                          <pic:cNvPicPr>
                            <a:picLocks noChangeAspect="1" noChangeArrowheads="1"/>
                          </pic:cNvPicPr>
                        </pic:nvPicPr>
                        <pic:blipFill>
                          <a:blip r:embed="rId29"/>
                          <a:srcRect l="-2250" t="-4810" r="-2250" b="-4810"/>
                          <a:stretch>
                            <a:fillRect/>
                          </a:stretch>
                        </pic:blipFill>
                        <pic:spPr bwMode="auto">
                          <a:xfrm>
                            <a:off x="0" y="0"/>
                            <a:ext cx="447675" cy="209550"/>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463"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Public Commitment to SBTi</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76250" cy="266700"/>
                  <wp:effectExtent l="0" t="0" r="0" b="0"/>
                  <wp:docPr id="4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9" descr=""/>
                          <pic:cNvPicPr>
                            <a:picLocks noChangeAspect="1" noChangeArrowheads="1"/>
                          </pic:cNvPicPr>
                        </pic:nvPicPr>
                        <pic:blipFill>
                          <a:blip r:embed="rId30"/>
                          <a:srcRect l="-2116" t="-3778" r="-2116" b="-3778"/>
                          <a:stretch>
                            <a:fillRect/>
                          </a:stretch>
                        </pic:blipFill>
                        <pic:spPr bwMode="auto">
                          <a:xfrm>
                            <a:off x="0" y="0"/>
                            <a:ext cx="476250" cy="266700"/>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77"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11 Buildings and 10M SF</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66725" cy="476250"/>
                  <wp:effectExtent l="0" t="0" r="0" b="0"/>
                  <wp:docPr id="4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0" descr=""/>
                          <pic:cNvPicPr>
                            <a:picLocks noChangeAspect="1" noChangeArrowheads="1"/>
                          </pic:cNvPicPr>
                        </pic:nvPicPr>
                        <pic:blipFill>
                          <a:blip r:embed="rId31"/>
                          <a:srcRect l="-2160" t="-2116" r="-2160" b="-2116"/>
                          <a:stretch>
                            <a:fillRect/>
                          </a:stretch>
                        </pic:blipFill>
                        <pic:spPr bwMode="auto">
                          <a:xfrm>
                            <a:off x="0" y="0"/>
                            <a:ext cx="466725" cy="476250"/>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15"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Partner of the Year Sustained Excellence 2018-2022</w:t>
            </w:r>
          </w:p>
        </w:tc>
        <w:tc>
          <w:tcPr>
            <w:tcW w:w="767"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76250" cy="257175"/>
                  <wp:effectExtent l="0" t="0" r="0" b="0"/>
                  <wp:docPr id="4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1" descr=""/>
                          <pic:cNvPicPr>
                            <a:picLocks noChangeAspect="1" noChangeArrowheads="1"/>
                          </pic:cNvPicPr>
                        </pic:nvPicPr>
                        <pic:blipFill>
                          <a:blip r:embed="rId32"/>
                          <a:srcRect l="-2116" t="-3921" r="-2116" b="-3921"/>
                          <a:stretch>
                            <a:fillRect/>
                          </a:stretch>
                        </pic:blipFill>
                        <pic:spPr bwMode="auto">
                          <a:xfrm>
                            <a:off x="0" y="0"/>
                            <a:ext cx="476250" cy="257175"/>
                          </a:xfrm>
                          <a:prstGeom prst="rect">
                            <a:avLst/>
                          </a:prstGeom>
                          <a:ln w="635">
                            <a:solidFill>
                              <a:srgbClr val="000000"/>
                            </a:solidFill>
                          </a:ln>
                        </pic:spPr>
                      </pic:pic>
                    </a:graphicData>
                  </a:graphic>
                </wp:inline>
              </w:drawing>
            </w:r>
          </w:p>
        </w:tc>
      </w:tr>
      <w:tr>
        <w:trPr/>
        <w:tc>
          <w:tcPr>
            <w:tcW w:w="1833"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Top 20% of all GRESB Participants</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66725" cy="352425"/>
                  <wp:effectExtent l="0" t="0" r="0" b="0"/>
                  <wp:docPr id="4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2" descr=""/>
                          <pic:cNvPicPr>
                            <a:picLocks noChangeAspect="1" noChangeArrowheads="1"/>
                          </pic:cNvPicPr>
                        </pic:nvPicPr>
                        <pic:blipFill>
                          <a:blip r:embed="rId33"/>
                          <a:srcRect l="-2160" t="-2860" r="-2160" b="-2860"/>
                          <a:stretch>
                            <a:fillRect/>
                          </a:stretch>
                        </pic:blipFill>
                        <pic:spPr bwMode="auto">
                          <a:xfrm>
                            <a:off x="0" y="0"/>
                            <a:ext cx="466725" cy="352425"/>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463"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Early Adopter for Global Risk Disclosure</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66725" cy="190500"/>
                  <wp:effectExtent l="0" t="0" r="0" b="0"/>
                  <wp:docPr id="4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3" descr=""/>
                          <pic:cNvPicPr>
                            <a:picLocks noChangeAspect="1" noChangeArrowheads="1"/>
                          </pic:cNvPicPr>
                        </pic:nvPicPr>
                        <pic:blipFill>
                          <a:blip r:embed="rId34"/>
                          <a:srcRect l="-2160" t="-5293" r="-2160" b="-5293"/>
                          <a:stretch>
                            <a:fillRect/>
                          </a:stretch>
                        </pic:blipFill>
                        <pic:spPr bwMode="auto">
                          <a:xfrm>
                            <a:off x="0" y="0"/>
                            <a:ext cx="466725" cy="190500"/>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77"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22 Buildings and 20M SF</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76250" cy="285750"/>
                  <wp:effectExtent l="0" t="0" r="0" b="0"/>
                  <wp:docPr id="4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4" descr=""/>
                          <pic:cNvPicPr>
                            <a:picLocks noChangeAspect="1" noChangeArrowheads="1"/>
                          </pic:cNvPicPr>
                        </pic:nvPicPr>
                        <pic:blipFill>
                          <a:blip r:embed="rId35"/>
                          <a:srcRect l="-2116" t="-3526" r="-2116" b="-3526"/>
                          <a:stretch>
                            <a:fillRect/>
                          </a:stretch>
                        </pic:blipFill>
                        <pic:spPr bwMode="auto">
                          <a:xfrm>
                            <a:off x="0" y="0"/>
                            <a:ext cx="476250" cy="285750"/>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15"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FTSE4Good Index Constituent 2020-2022</w:t>
            </w:r>
          </w:p>
        </w:tc>
        <w:tc>
          <w:tcPr>
            <w:tcW w:w="767"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28625" cy="371475"/>
                  <wp:effectExtent l="0" t="0" r="0" b="0"/>
                  <wp:docPr id="4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5" descr=""/>
                          <pic:cNvPicPr>
                            <a:picLocks noChangeAspect="1" noChangeArrowheads="1"/>
                          </pic:cNvPicPr>
                        </pic:nvPicPr>
                        <pic:blipFill>
                          <a:blip r:embed="rId36"/>
                          <a:srcRect l="-2350" t="-2713" r="-2350" b="-2713"/>
                          <a:stretch>
                            <a:fillRect/>
                          </a:stretch>
                        </pic:blipFill>
                        <pic:spPr bwMode="auto">
                          <a:xfrm>
                            <a:off x="0" y="0"/>
                            <a:ext cx="428625" cy="371475"/>
                          </a:xfrm>
                          <a:prstGeom prst="rect">
                            <a:avLst/>
                          </a:prstGeom>
                          <a:ln w="635">
                            <a:solidFill>
                              <a:srgbClr val="000000"/>
                            </a:solidFill>
                          </a:ln>
                        </pic:spPr>
                      </pic:pic>
                    </a:graphicData>
                  </a:graphic>
                </wp:inline>
              </w:drawing>
            </w:r>
          </w:p>
        </w:tc>
      </w:tr>
      <w:tr>
        <w:trPr/>
        <w:tc>
          <w:tcPr>
            <w:tcW w:w="1833"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Top 25% of all Residential &amp; Commercial REITs</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38150" cy="142875"/>
                  <wp:effectExtent l="0" t="0" r="0" b="0"/>
                  <wp:docPr id="4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6" descr=""/>
                          <pic:cNvPicPr>
                            <a:picLocks noChangeAspect="1" noChangeArrowheads="1"/>
                          </pic:cNvPicPr>
                        </pic:nvPicPr>
                        <pic:blipFill>
                          <a:blip r:embed="rId37"/>
                          <a:srcRect l="-2300" t="-7052" r="-2300" b="-7052"/>
                          <a:stretch>
                            <a:fillRect/>
                          </a:stretch>
                        </pic:blipFill>
                        <pic:spPr bwMode="auto">
                          <a:xfrm>
                            <a:off x="0" y="0"/>
                            <a:ext cx="438150" cy="142875"/>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463"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SASB Real Estate Standards Release, 2021-2022</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66725" cy="476250"/>
                  <wp:effectExtent l="0" t="0" r="0" b="0"/>
                  <wp:docPr id="5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7" descr=""/>
                          <pic:cNvPicPr>
                            <a:picLocks noChangeAspect="1" noChangeArrowheads="1"/>
                          </pic:cNvPicPr>
                        </pic:nvPicPr>
                        <pic:blipFill>
                          <a:blip r:embed="rId38"/>
                          <a:srcRect l="-2160" t="-2116" r="-2160" b="-2116"/>
                          <a:stretch>
                            <a:fillRect/>
                          </a:stretch>
                        </pic:blipFill>
                        <pic:spPr bwMode="auto">
                          <a:xfrm>
                            <a:off x="0" y="0"/>
                            <a:ext cx="466725" cy="476250"/>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77"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25 Buildings and 23M SF</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28625" cy="438150"/>
                  <wp:effectExtent l="0" t="0" r="0" b="0"/>
                  <wp:docPr id="5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8" descr=""/>
                          <pic:cNvPicPr>
                            <a:picLocks noChangeAspect="1" noChangeArrowheads="1"/>
                          </pic:cNvPicPr>
                        </pic:nvPicPr>
                        <pic:blipFill>
                          <a:blip r:embed="rId39"/>
                          <a:srcRect l="-2350" t="-2300" r="-2350" b="-2300"/>
                          <a:stretch>
                            <a:fillRect/>
                          </a:stretch>
                        </pic:blipFill>
                        <pic:spPr bwMode="auto">
                          <a:xfrm>
                            <a:off x="0" y="0"/>
                            <a:ext cx="428625" cy="438150"/>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15"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2022 Earth Award, 11 Madison</w:t>
            </w:r>
          </w:p>
        </w:tc>
        <w:tc>
          <w:tcPr>
            <w:tcW w:w="767"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76250" cy="342900"/>
                  <wp:effectExtent l="0" t="0" r="0" b="0"/>
                  <wp:docPr id="5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9" descr=""/>
                          <pic:cNvPicPr>
                            <a:picLocks noChangeAspect="1" noChangeArrowheads="1"/>
                          </pic:cNvPicPr>
                        </pic:nvPicPr>
                        <pic:blipFill>
                          <a:blip r:embed="rId40"/>
                          <a:srcRect l="-2116" t="-2938" r="-2116" b="-2938"/>
                          <a:stretch>
                            <a:fillRect/>
                          </a:stretch>
                        </pic:blipFill>
                        <pic:spPr bwMode="auto">
                          <a:xfrm>
                            <a:off x="0" y="0"/>
                            <a:ext cx="476250" cy="342900"/>
                          </a:xfrm>
                          <a:prstGeom prst="rect">
                            <a:avLst/>
                          </a:prstGeom>
                          <a:ln w="635">
                            <a:solidFill>
                              <a:srgbClr val="000000"/>
                            </a:solidFill>
                          </a:ln>
                        </pic:spPr>
                      </pic:pic>
                    </a:graphicData>
                  </a:graphic>
                </wp:inline>
              </w:drawing>
            </w:r>
          </w:p>
        </w:tc>
      </w:tr>
      <w:tr>
        <w:trPr/>
        <w:tc>
          <w:tcPr>
            <w:tcW w:w="1833"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R-Factor</w:t>
            </w:r>
            <w:r>
              <w:rPr>
                <w:rFonts w:ascii="Arial" w:hAnsi="Arial"/>
                <w:position w:val="7"/>
                <w:sz w:val="16"/>
                <w:sz w:val="20"/>
              </w:rPr>
              <w:t xml:space="preserve">TM </w:t>
            </w:r>
            <w:r>
              <w:rPr>
                <w:rFonts w:ascii="Arial" w:hAnsi="Arial"/>
                <w:sz w:val="20"/>
              </w:rPr>
              <w:t>Score Outperformer 2020-2022</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66725" cy="180975"/>
                  <wp:effectExtent l="0" t="0" r="0" b="0"/>
                  <wp:docPr id="5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0" descr=""/>
                          <pic:cNvPicPr>
                            <a:picLocks noChangeAspect="1" noChangeArrowheads="1"/>
                          </pic:cNvPicPr>
                        </pic:nvPicPr>
                        <pic:blipFill>
                          <a:blip r:embed="rId41"/>
                          <a:srcRect l="-2160" t="-5566" r="-2160" b="-5566"/>
                          <a:stretch>
                            <a:fillRect/>
                          </a:stretch>
                        </pic:blipFill>
                        <pic:spPr bwMode="auto">
                          <a:xfrm>
                            <a:off x="0" y="0"/>
                            <a:ext cx="466725" cy="180975"/>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463"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Net Zero by 2050 Goal — Aligned</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57200" cy="228600"/>
                  <wp:effectExtent l="0" t="0" r="0" b="0"/>
                  <wp:docPr id="5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1" descr=""/>
                          <pic:cNvPicPr>
                            <a:picLocks noChangeAspect="1" noChangeArrowheads="1"/>
                          </pic:cNvPicPr>
                        </pic:nvPicPr>
                        <pic:blipFill>
                          <a:blip r:embed="rId42"/>
                          <a:srcRect l="-2204" t="-4409" r="-2204" b="-4409"/>
                          <a:stretch>
                            <a:fillRect/>
                          </a:stretch>
                        </pic:blipFill>
                        <pic:spPr bwMode="auto">
                          <a:xfrm>
                            <a:off x="0" y="0"/>
                            <a:ext cx="457200" cy="228600"/>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77"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1 WELL v2 Platinum</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66725" cy="466725"/>
                  <wp:effectExtent l="0" t="0" r="0" b="0"/>
                  <wp:docPr id="5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2" descr=""/>
                          <pic:cNvPicPr>
                            <a:picLocks noChangeAspect="1" noChangeArrowheads="1"/>
                          </pic:cNvPicPr>
                        </pic:nvPicPr>
                        <pic:blipFill>
                          <a:blip r:embed="rId43"/>
                          <a:srcRect l="-2160" t="-2160" r="-2160" b="-2160"/>
                          <a:stretch>
                            <a:fillRect/>
                          </a:stretch>
                        </pic:blipFill>
                        <pic:spPr bwMode="auto">
                          <a:xfrm>
                            <a:off x="0" y="0"/>
                            <a:ext cx="466725" cy="466725"/>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15"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Gold Level 2020-2023</w:t>
            </w:r>
          </w:p>
        </w:tc>
        <w:tc>
          <w:tcPr>
            <w:tcW w:w="767"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76250" cy="466725"/>
                  <wp:effectExtent l="0" t="0" r="0" b="0"/>
                  <wp:docPr id="5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3" descr=""/>
                          <pic:cNvPicPr>
                            <a:picLocks noChangeAspect="1" noChangeArrowheads="1"/>
                          </pic:cNvPicPr>
                        </pic:nvPicPr>
                        <pic:blipFill>
                          <a:blip r:embed="rId44"/>
                          <a:srcRect l="-2116" t="-2160" r="-2116" b="-2160"/>
                          <a:stretch>
                            <a:fillRect/>
                          </a:stretch>
                        </pic:blipFill>
                        <pic:spPr bwMode="auto">
                          <a:xfrm>
                            <a:off x="0" y="0"/>
                            <a:ext cx="476250" cy="466725"/>
                          </a:xfrm>
                          <a:prstGeom prst="rect">
                            <a:avLst/>
                          </a:prstGeom>
                          <a:ln w="635">
                            <a:solidFill>
                              <a:srgbClr val="000000"/>
                            </a:solidFill>
                          </a:ln>
                        </pic:spPr>
                      </pic:pic>
                    </a:graphicData>
                  </a:graphic>
                </wp:inline>
              </w:drawing>
            </w:r>
          </w:p>
        </w:tc>
      </w:tr>
      <w:tr>
        <w:trPr/>
        <w:tc>
          <w:tcPr>
            <w:tcW w:w="1833"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2022 Score Increased from 64 to 68 Against Peer Average of 21 (as of 12/1/22)</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57200" cy="285750"/>
                  <wp:effectExtent l="0" t="0" r="0" b="0"/>
                  <wp:docPr id="5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4" descr=""/>
                          <pic:cNvPicPr>
                            <a:picLocks noChangeAspect="1" noChangeArrowheads="1"/>
                          </pic:cNvPicPr>
                        </pic:nvPicPr>
                        <pic:blipFill>
                          <a:blip r:embed="rId45"/>
                          <a:srcRect l="-2204" t="-3526" r="-2204" b="-3526"/>
                          <a:stretch>
                            <a:fillRect/>
                          </a:stretch>
                        </pic:blipFill>
                        <pic:spPr bwMode="auto">
                          <a:xfrm>
                            <a:off x="0" y="0"/>
                            <a:ext cx="457200" cy="285750"/>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463" w:type="dxa"/>
            <w:tcBorders/>
            <w:shd w:fill="auto" w:val="clear"/>
            <w:tcMar>
              <w:bottom w:w="0" w:type="dxa"/>
            </w:tcMar>
            <w:vAlign w:val="center"/>
          </w:tcPr>
          <w:p>
            <w:pPr>
              <w:pStyle w:val="TableContents"/>
              <w:spacing w:before="0" w:after="283"/>
              <w:rPr>
                <w:sz w:val="4"/>
                <w:szCs w:val="4"/>
              </w:rPr>
            </w:pPr>
            <w:r>
              <w:rPr>
                <w:sz w:val="4"/>
                <w:szCs w:val="4"/>
              </w:rPr>
            </w:r>
          </w:p>
        </w:tc>
        <w:tc>
          <w:tcPr>
            <w:tcW w:w="75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77"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6 Certified Buildings</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47675" cy="152400"/>
                  <wp:effectExtent l="0" t="0" r="0" b="0"/>
                  <wp:docPr id="5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5" descr=""/>
                          <pic:cNvPicPr>
                            <a:picLocks noChangeAspect="1" noChangeArrowheads="1"/>
                          </pic:cNvPicPr>
                        </pic:nvPicPr>
                        <pic:blipFill>
                          <a:blip r:embed="rId46"/>
                          <a:srcRect l="-2250" t="-6619" r="-2250" b="-6619"/>
                          <a:stretch>
                            <a:fillRect/>
                          </a:stretch>
                        </pic:blipFill>
                        <pic:spPr bwMode="auto">
                          <a:xfrm>
                            <a:off x="0" y="0"/>
                            <a:ext cx="447675" cy="152400"/>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15"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Changemaker Award 2018-2022</w:t>
            </w:r>
          </w:p>
        </w:tc>
        <w:tc>
          <w:tcPr>
            <w:tcW w:w="767"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57200" cy="95250"/>
                  <wp:effectExtent l="0" t="0" r="0" b="0"/>
                  <wp:docPr id="5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6" descr=""/>
                          <pic:cNvPicPr>
                            <a:picLocks noChangeAspect="1" noChangeArrowheads="1"/>
                          </pic:cNvPicPr>
                        </pic:nvPicPr>
                        <pic:blipFill>
                          <a:blip r:embed="rId47"/>
                          <a:srcRect l="-2204" t="-10566" r="-2204" b="-10566"/>
                          <a:stretch>
                            <a:fillRect/>
                          </a:stretch>
                        </pic:blipFill>
                        <pic:spPr bwMode="auto">
                          <a:xfrm>
                            <a:off x="0" y="0"/>
                            <a:ext cx="457200" cy="95250"/>
                          </a:xfrm>
                          <a:prstGeom prst="rect">
                            <a:avLst/>
                          </a:prstGeom>
                          <a:ln w="635">
                            <a:solidFill>
                              <a:srgbClr val="000000"/>
                            </a:solidFill>
                          </a:ln>
                        </pic:spPr>
                      </pic:pic>
                    </a:graphicData>
                  </a:graphic>
                </wp:inline>
              </w:drawing>
            </w:r>
          </w:p>
        </w:tc>
      </w:tr>
      <w:tr>
        <w:trPr/>
        <w:tc>
          <w:tcPr>
            <w:tcW w:w="1833"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Top 10 ESG Disclosure Score Among REITs Listed on Russell 1000 Index</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76250" cy="114300"/>
                  <wp:effectExtent l="0" t="0" r="0" b="0"/>
                  <wp:docPr id="6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7" descr=""/>
                          <pic:cNvPicPr>
                            <a:picLocks noChangeAspect="1" noChangeArrowheads="1"/>
                          </pic:cNvPicPr>
                        </pic:nvPicPr>
                        <pic:blipFill>
                          <a:blip r:embed="rId48"/>
                          <a:srcRect l="-2116" t="-8805" r="-2116" b="-8805"/>
                          <a:stretch>
                            <a:fillRect/>
                          </a:stretch>
                        </pic:blipFill>
                        <pic:spPr bwMode="auto">
                          <a:xfrm>
                            <a:off x="0" y="0"/>
                            <a:ext cx="476250" cy="114300"/>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463" w:type="dxa"/>
            <w:tcBorders/>
            <w:shd w:fill="auto" w:val="clear"/>
            <w:tcMar>
              <w:bottom w:w="0" w:type="dxa"/>
            </w:tcMar>
            <w:vAlign w:val="center"/>
          </w:tcPr>
          <w:p>
            <w:pPr>
              <w:pStyle w:val="TableContents"/>
              <w:spacing w:before="0" w:after="283"/>
              <w:rPr>
                <w:sz w:val="4"/>
                <w:szCs w:val="4"/>
              </w:rPr>
            </w:pPr>
            <w:r>
              <w:rPr>
                <w:sz w:val="4"/>
                <w:szCs w:val="4"/>
              </w:rPr>
            </w:r>
          </w:p>
        </w:tc>
        <w:tc>
          <w:tcPr>
            <w:tcW w:w="75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77"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24 LEED Certified Buildings (see p. 43 for details)</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47675" cy="533400"/>
                  <wp:effectExtent l="0" t="0" r="0" b="0"/>
                  <wp:docPr id="6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8" descr=""/>
                          <pic:cNvPicPr>
                            <a:picLocks noChangeAspect="1" noChangeArrowheads="1"/>
                          </pic:cNvPicPr>
                        </pic:nvPicPr>
                        <pic:blipFill>
                          <a:blip r:embed="rId49"/>
                          <a:srcRect l="-2250" t="-1889" r="-2250" b="-1889"/>
                          <a:stretch>
                            <a:fillRect/>
                          </a:stretch>
                        </pic:blipFill>
                        <pic:spPr bwMode="auto">
                          <a:xfrm>
                            <a:off x="0" y="0"/>
                            <a:ext cx="447675" cy="533400"/>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15"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2022 Employer of the Year</w:t>
            </w:r>
          </w:p>
        </w:tc>
        <w:tc>
          <w:tcPr>
            <w:tcW w:w="767"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85775" cy="323850"/>
                  <wp:effectExtent l="0" t="0" r="0" b="0"/>
                  <wp:docPr id="6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9" descr=""/>
                          <pic:cNvPicPr>
                            <a:picLocks noChangeAspect="1" noChangeArrowheads="1"/>
                          </pic:cNvPicPr>
                        </pic:nvPicPr>
                        <pic:blipFill>
                          <a:blip r:embed="rId50"/>
                          <a:srcRect l="-2075" t="-3111" r="-2075" b="-3111"/>
                          <a:stretch>
                            <a:fillRect/>
                          </a:stretch>
                        </pic:blipFill>
                        <pic:spPr bwMode="auto">
                          <a:xfrm>
                            <a:off x="0" y="0"/>
                            <a:ext cx="485775" cy="323850"/>
                          </a:xfrm>
                          <a:prstGeom prst="rect">
                            <a:avLst/>
                          </a:prstGeom>
                          <a:ln w="635">
                            <a:solidFill>
                              <a:srgbClr val="000000"/>
                            </a:solidFill>
                          </a:ln>
                        </pic:spPr>
                      </pic:pic>
                    </a:graphicData>
                  </a:graphic>
                </wp:inline>
              </w:drawing>
            </w:r>
          </w:p>
        </w:tc>
      </w:tr>
      <w:tr>
        <w:trPr/>
        <w:tc>
          <w:tcPr>
            <w:tcW w:w="1833"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Low-Risk ESG Risk Rating</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390525" cy="371475"/>
                  <wp:effectExtent l="0" t="0" r="0" b="0"/>
                  <wp:docPr id="6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0" descr=""/>
                          <pic:cNvPicPr>
                            <a:picLocks noChangeAspect="1" noChangeArrowheads="1"/>
                          </pic:cNvPicPr>
                        </pic:nvPicPr>
                        <pic:blipFill>
                          <a:blip r:embed="rId51"/>
                          <a:srcRect l="-2580" t="-2713" r="-2580" b="-2713"/>
                          <a:stretch>
                            <a:fillRect/>
                          </a:stretch>
                        </pic:blipFill>
                        <pic:spPr bwMode="auto">
                          <a:xfrm>
                            <a:off x="0" y="0"/>
                            <a:ext cx="390525" cy="371475"/>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463" w:type="dxa"/>
            <w:tcBorders/>
            <w:shd w:fill="auto" w:val="clear"/>
            <w:tcMar>
              <w:bottom w:w="0" w:type="dxa"/>
            </w:tcMar>
            <w:vAlign w:val="center"/>
          </w:tcPr>
          <w:p>
            <w:pPr>
              <w:pStyle w:val="TableContents"/>
              <w:spacing w:before="0" w:after="283"/>
              <w:rPr>
                <w:sz w:val="4"/>
                <w:szCs w:val="4"/>
              </w:rPr>
            </w:pPr>
            <w:r>
              <w:rPr>
                <w:sz w:val="4"/>
                <w:szCs w:val="4"/>
              </w:rPr>
            </w:r>
          </w:p>
        </w:tc>
        <w:tc>
          <w:tcPr>
            <w:tcW w:w="75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77"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28 Certified Buildings</w:t>
            </w:r>
          </w:p>
        </w:tc>
        <w:tc>
          <w:tcPr>
            <w:tcW w:w="750"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66725" cy="238125"/>
                  <wp:effectExtent l="0" t="0" r="0" b="0"/>
                  <wp:docPr id="6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1" descr=""/>
                          <pic:cNvPicPr>
                            <a:picLocks noChangeAspect="1" noChangeArrowheads="1"/>
                          </pic:cNvPicPr>
                        </pic:nvPicPr>
                        <pic:blipFill>
                          <a:blip r:embed="rId52"/>
                          <a:srcRect l="-2160" t="-4236" r="-2160" b="-4236"/>
                          <a:stretch>
                            <a:fillRect/>
                          </a:stretch>
                        </pic:blipFill>
                        <pic:spPr bwMode="auto">
                          <a:xfrm>
                            <a:off x="0" y="0"/>
                            <a:ext cx="466725" cy="238125"/>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15" w:type="dxa"/>
            <w:tcBorders>
              <w:bottom w:val="single" w:sz="8" w:space="0" w:color="8EAD3C"/>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2022 Real Estate and Construction Council Gala Honoree —Edward V. Piccinich</w:t>
            </w:r>
          </w:p>
        </w:tc>
        <w:tc>
          <w:tcPr>
            <w:tcW w:w="767" w:type="dxa"/>
            <w:tcBorders>
              <w:bottom w:val="single" w:sz="8" w:space="0" w:color="8EAD3C"/>
            </w:tcBorders>
            <w:shd w:fill="auto" w:val="clear"/>
            <w:tcMar>
              <w:bottom w:w="40" w:type="dxa"/>
            </w:tcMar>
            <w:vAlign w:val="center"/>
          </w:tcPr>
          <w:p>
            <w:pPr>
              <w:pStyle w:val="TableContents"/>
              <w:spacing w:before="0" w:after="283"/>
              <w:jc w:val="right"/>
              <w:rPr/>
            </w:pPr>
            <w:r>
              <w:rPr/>
              <w:drawing>
                <wp:inline distT="0" distB="0" distL="0" distR="0">
                  <wp:extent cx="485775" cy="228600"/>
                  <wp:effectExtent l="0" t="0" r="0" b="0"/>
                  <wp:docPr id="6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2" descr=""/>
                          <pic:cNvPicPr>
                            <a:picLocks noChangeAspect="1" noChangeArrowheads="1"/>
                          </pic:cNvPicPr>
                        </pic:nvPicPr>
                        <pic:blipFill>
                          <a:blip r:embed="rId53"/>
                          <a:srcRect l="-2075" t="-4409" r="-2075" b="-4409"/>
                          <a:stretch>
                            <a:fillRect/>
                          </a:stretch>
                        </pic:blipFill>
                        <pic:spPr bwMode="auto">
                          <a:xfrm>
                            <a:off x="0" y="0"/>
                            <a:ext cx="485775" cy="228600"/>
                          </a:xfrm>
                          <a:prstGeom prst="rect">
                            <a:avLst/>
                          </a:prstGeom>
                          <a:ln w="635">
                            <a:solidFill>
                              <a:srgbClr val="000000"/>
                            </a:solidFill>
                          </a:ln>
                        </pic:spPr>
                      </pic:pic>
                    </a:graphicData>
                  </a:graphic>
                </wp:inline>
              </w:drawing>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78" w:type="dxa"/>
        <w:jc w:val="left"/>
        <w:tblInd w:w="0" w:type="dxa"/>
        <w:tblCellMar>
          <w:top w:w="0" w:type="dxa"/>
          <w:left w:w="0" w:type="dxa"/>
          <w:bottom w:w="0" w:type="dxa"/>
          <w:right w:w="0" w:type="dxa"/>
        </w:tblCellMar>
      </w:tblPr>
      <w:tblGrid>
        <w:gridCol w:w="23"/>
        <w:gridCol w:w="155"/>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7</w:t>
            </w:r>
          </w:p>
        </w:tc>
      </w:tr>
    </w:tbl>
    <w:tbl>
      <w:tblPr>
        <w:tblW w:w="5075" w:type="dxa"/>
        <w:jc w:val="left"/>
        <w:tblInd w:w="0" w:type="dxa"/>
        <w:tblCellMar>
          <w:top w:w="0" w:type="dxa"/>
          <w:left w:w="0" w:type="dxa"/>
          <w:bottom w:w="0" w:type="dxa"/>
          <w:right w:w="0" w:type="dxa"/>
        </w:tblCellMar>
      </w:tblPr>
      <w:tblGrid>
        <w:gridCol w:w="2190"/>
        <w:gridCol w:w="2885"/>
      </w:tblGrid>
      <w:tr>
        <w:trPr/>
        <w:tc>
          <w:tcPr>
            <w:tcW w:w="2190" w:type="dxa"/>
            <w:tcBorders/>
            <w:shd w:fill="auto" w:val="clear"/>
            <w:vAlign w:val="center"/>
          </w:tcPr>
          <w:p>
            <w:pPr>
              <w:pStyle w:val="TableContents"/>
              <w:spacing w:before="0" w:after="283"/>
              <w:jc w:val="left"/>
              <w:rPr/>
            </w:pPr>
            <w:r>
              <w:rPr>
                <w:rStyle w:val="StrongEmphasis"/>
              </w:rPr>
              <w:drawing>
                <wp:inline distT="0" distB="0" distL="0" distR="0">
                  <wp:extent cx="1390650" cy="419100"/>
                  <wp:effectExtent l="0" t="0" r="0" b="0"/>
                  <wp:docPr id="6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3" descr=""/>
                          <pic:cNvPicPr>
                            <a:picLocks noChangeAspect="1" noChangeArrowheads="1"/>
                          </pic:cNvPicPr>
                        </pic:nvPicPr>
                        <pic:blipFill>
                          <a:blip r:embed="rId54"/>
                          <a:srcRect l="-724" t="-2405" r="-724" b="-2405"/>
                          <a:stretch>
                            <a:fillRect/>
                          </a:stretch>
                        </pic:blipFill>
                        <pic:spPr bwMode="auto">
                          <a:xfrm>
                            <a:off x="0" y="0"/>
                            <a:ext cx="1390650" cy="419100"/>
                          </a:xfrm>
                          <a:prstGeom prst="rect">
                            <a:avLst/>
                          </a:prstGeom>
                          <a:ln w="635">
                            <a:solidFill>
                              <a:srgbClr val="000000"/>
                            </a:solidFill>
                          </a:ln>
                        </pic:spPr>
                      </pic:pic>
                    </a:graphicData>
                  </a:graphic>
                </wp:inline>
              </w:drawing>
            </w:r>
          </w:p>
        </w:tc>
        <w:tc>
          <w:tcPr>
            <w:tcW w:w="2885" w:type="dxa"/>
            <w:tcBorders/>
            <w:shd w:fill="auto" w:val="clear"/>
            <w:vAlign w:val="center"/>
          </w:tcPr>
          <w:p>
            <w:pPr>
              <w:pStyle w:val="TableContents"/>
              <w:spacing w:before="0" w:after="283"/>
              <w:jc w:val="left"/>
              <w:rPr/>
            </w:pPr>
            <w:r>
              <w:rPr>
                <w:rStyle w:val="StrongEmphasis"/>
                <w:rFonts w:ascii="Arial" w:hAnsi="Arial"/>
                <w:sz w:val="20"/>
              </w:rPr>
              <w:t>SL GREEN REALTY CORP.</w:t>
            </w:r>
            <w:r>
              <w:rPr>
                <w:rFonts w:ascii="Arial" w:hAnsi="Arial"/>
                <w:sz w:val="20"/>
              </w:rPr>
              <w:br/>
              <w:t>One Vanderbilt Avenue</w:t>
              <w:br/>
              <w:t>New York, New York 10017-3852</w:t>
            </w:r>
          </w:p>
        </w:tc>
      </w:tr>
    </w:tbl>
    <w:p>
      <w:pPr>
        <w:pStyle w:val="TextBody"/>
        <w:spacing w:before="240" w:after="283"/>
        <w:jc w:val="left"/>
        <w:rPr/>
      </w:pPr>
      <w:bookmarkStart w:id="6" w:name="pg_NOTICEOFANNUALMEETINGOFSTOCKHOLDERS"/>
      <w:bookmarkEnd w:id="6"/>
      <w:r>
        <w:rPr>
          <w:rStyle w:val="StrongEmphasis"/>
          <w:rFonts w:ascii="Arial" w:hAnsi="Arial"/>
          <w:color w:val="1A2343"/>
          <w:sz w:val="42"/>
        </w:rPr>
        <w:t>NOTICE OF ANNUAL MEETING OF STOCKHOLDERS</w:t>
      </w:r>
    </w:p>
    <w:tbl>
      <w:tblPr>
        <w:tblW w:w="8175" w:type="dxa"/>
        <w:jc w:val="left"/>
        <w:tblInd w:w="0" w:type="dxa"/>
        <w:tblCellMar>
          <w:top w:w="0" w:type="dxa"/>
          <w:left w:w="0" w:type="dxa"/>
          <w:bottom w:w="0" w:type="dxa"/>
          <w:right w:w="0" w:type="dxa"/>
        </w:tblCellMar>
      </w:tblPr>
      <w:tblGrid>
        <w:gridCol w:w="585"/>
        <w:gridCol w:w="2150"/>
        <w:gridCol w:w="555"/>
        <w:gridCol w:w="2945"/>
        <w:gridCol w:w="570"/>
        <w:gridCol w:w="1370"/>
      </w:tblGrid>
      <w:tr>
        <w:trPr/>
        <w:tc>
          <w:tcPr>
            <w:tcW w:w="585" w:type="dxa"/>
            <w:tcBorders/>
            <w:shd w:fill="auto" w:val="clear"/>
            <w:vAlign w:val="center"/>
          </w:tcPr>
          <w:p>
            <w:pPr>
              <w:pStyle w:val="TableContents"/>
              <w:spacing w:before="0" w:after="283"/>
              <w:jc w:val="left"/>
              <w:rPr/>
            </w:pPr>
            <w:r>
              <w:rPr/>
              <w:drawing>
                <wp:inline distT="0" distB="0" distL="0" distR="0">
                  <wp:extent cx="371475" cy="361950"/>
                  <wp:effectExtent l="0" t="0" r="0" b="0"/>
                  <wp:docPr id="6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4" descr=""/>
                          <pic:cNvPicPr>
                            <a:picLocks noChangeAspect="1" noChangeArrowheads="1"/>
                          </pic:cNvPicPr>
                        </pic:nvPicPr>
                        <pic:blipFill>
                          <a:blip r:embed="rId55"/>
                          <a:srcRect l="-2713" t="-2786" r="-2713" b="-2786"/>
                          <a:stretch>
                            <a:fillRect/>
                          </a:stretch>
                        </pic:blipFill>
                        <pic:spPr bwMode="auto">
                          <a:xfrm>
                            <a:off x="0" y="0"/>
                            <a:ext cx="371475" cy="361950"/>
                          </a:xfrm>
                          <a:prstGeom prst="rect">
                            <a:avLst/>
                          </a:prstGeom>
                          <a:ln w="635">
                            <a:solidFill>
                              <a:srgbClr val="000000"/>
                            </a:solidFill>
                          </a:ln>
                        </pic:spPr>
                      </pic:pic>
                    </a:graphicData>
                  </a:graphic>
                </wp:inline>
              </w:drawing>
            </w:r>
          </w:p>
        </w:tc>
        <w:tc>
          <w:tcPr>
            <w:tcW w:w="2150" w:type="dxa"/>
            <w:tcBorders/>
            <w:shd w:fill="auto" w:val="clear"/>
            <w:vAlign w:val="center"/>
          </w:tcPr>
          <w:p>
            <w:pPr>
              <w:pStyle w:val="TableContents"/>
              <w:spacing w:before="0" w:after="80"/>
              <w:jc w:val="left"/>
              <w:rPr/>
            </w:pPr>
            <w:r>
              <w:rPr>
                <w:rStyle w:val="StrongEmphasis"/>
                <w:rFonts w:ascii="Arial" w:hAnsi="Arial"/>
                <w:color w:val="1A2343"/>
                <w:sz w:val="20"/>
              </w:rPr>
              <w:t>Date &amp; Time</w:t>
            </w:r>
          </w:p>
          <w:p>
            <w:pPr>
              <w:pStyle w:val="TableContents"/>
              <w:spacing w:before="0" w:after="283"/>
              <w:jc w:val="left"/>
              <w:rPr>
                <w:rFonts w:ascii="Arial" w:hAnsi="Arial"/>
                <w:sz w:val="20"/>
              </w:rPr>
            </w:pPr>
            <w:r>
              <w:rPr>
                <w:rFonts w:ascii="Arial" w:hAnsi="Arial"/>
                <w:sz w:val="20"/>
              </w:rPr>
              <w:t>June 5, 2023</w:t>
              <w:br/>
              <w:t>10:00 AM, Eastern Time</w:t>
            </w:r>
          </w:p>
        </w:tc>
        <w:tc>
          <w:tcPr>
            <w:tcW w:w="555" w:type="dxa"/>
            <w:tcBorders/>
            <w:shd w:fill="auto" w:val="clear"/>
            <w:vAlign w:val="center"/>
          </w:tcPr>
          <w:p>
            <w:pPr>
              <w:pStyle w:val="TableContents"/>
              <w:spacing w:before="0" w:after="283"/>
              <w:jc w:val="left"/>
              <w:rPr/>
            </w:pPr>
            <w:r>
              <w:rPr/>
              <w:drawing>
                <wp:inline distT="0" distB="0" distL="0" distR="0">
                  <wp:extent cx="352425" cy="323850"/>
                  <wp:effectExtent l="0" t="0" r="0" b="0"/>
                  <wp:docPr id="6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5" descr=""/>
                          <pic:cNvPicPr>
                            <a:picLocks noChangeAspect="1" noChangeArrowheads="1"/>
                          </pic:cNvPicPr>
                        </pic:nvPicPr>
                        <pic:blipFill>
                          <a:blip r:embed="rId56"/>
                          <a:srcRect l="-2860" t="-3111" r="-2860" b="-3111"/>
                          <a:stretch>
                            <a:fillRect/>
                          </a:stretch>
                        </pic:blipFill>
                        <pic:spPr bwMode="auto">
                          <a:xfrm>
                            <a:off x="0" y="0"/>
                            <a:ext cx="352425" cy="323850"/>
                          </a:xfrm>
                          <a:prstGeom prst="rect">
                            <a:avLst/>
                          </a:prstGeom>
                          <a:ln w="635">
                            <a:solidFill>
                              <a:srgbClr val="000000"/>
                            </a:solidFill>
                          </a:ln>
                        </pic:spPr>
                      </pic:pic>
                    </a:graphicData>
                  </a:graphic>
                </wp:inline>
              </w:drawing>
            </w:r>
          </w:p>
        </w:tc>
        <w:tc>
          <w:tcPr>
            <w:tcW w:w="2945" w:type="dxa"/>
            <w:tcBorders/>
            <w:shd w:fill="auto" w:val="clear"/>
            <w:vAlign w:val="center"/>
          </w:tcPr>
          <w:p>
            <w:pPr>
              <w:pStyle w:val="TableContents"/>
              <w:spacing w:before="0" w:after="80"/>
              <w:jc w:val="left"/>
              <w:rPr/>
            </w:pPr>
            <w:r>
              <w:rPr>
                <w:rStyle w:val="StrongEmphasis"/>
                <w:rFonts w:ascii="Arial" w:hAnsi="Arial"/>
                <w:color w:val="1A2343"/>
                <w:sz w:val="20"/>
              </w:rPr>
              <w:t>Location</w:t>
            </w:r>
          </w:p>
          <w:p>
            <w:pPr>
              <w:pStyle w:val="TableContents"/>
              <w:spacing w:before="0" w:after="283"/>
              <w:jc w:val="left"/>
              <w:rPr>
                <w:rFonts w:ascii="Arial" w:hAnsi="Arial"/>
                <w:sz w:val="20"/>
              </w:rPr>
            </w:pPr>
            <w:r>
              <w:rPr>
                <w:rFonts w:ascii="Arial" w:hAnsi="Arial"/>
                <w:sz w:val="20"/>
              </w:rPr>
              <w:t xml:space="preserve">The auditorium at One Vanderbilt </w:t>
              <w:br/>
              <w:t>Avenue, New York, New York</w:t>
            </w:r>
          </w:p>
        </w:tc>
        <w:tc>
          <w:tcPr>
            <w:tcW w:w="570" w:type="dxa"/>
            <w:tcBorders/>
            <w:shd w:fill="auto" w:val="clear"/>
            <w:vAlign w:val="center"/>
          </w:tcPr>
          <w:p>
            <w:pPr>
              <w:pStyle w:val="TableContents"/>
              <w:spacing w:before="0" w:after="283"/>
              <w:jc w:val="left"/>
              <w:rPr/>
            </w:pPr>
            <w:r>
              <w:rPr/>
              <w:drawing>
                <wp:inline distT="0" distB="0" distL="0" distR="0">
                  <wp:extent cx="361950" cy="371475"/>
                  <wp:effectExtent l="0" t="0" r="0" b="0"/>
                  <wp:docPr id="6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6" descr=""/>
                          <pic:cNvPicPr>
                            <a:picLocks noChangeAspect="1" noChangeArrowheads="1"/>
                          </pic:cNvPicPr>
                        </pic:nvPicPr>
                        <pic:blipFill>
                          <a:blip r:embed="rId57"/>
                          <a:srcRect l="-2786" t="-2713" r="-2786" b="-2713"/>
                          <a:stretch>
                            <a:fillRect/>
                          </a:stretch>
                        </pic:blipFill>
                        <pic:spPr bwMode="auto">
                          <a:xfrm>
                            <a:off x="0" y="0"/>
                            <a:ext cx="361950" cy="371475"/>
                          </a:xfrm>
                          <a:prstGeom prst="rect">
                            <a:avLst/>
                          </a:prstGeom>
                          <a:ln w="635">
                            <a:solidFill>
                              <a:srgbClr val="000000"/>
                            </a:solidFill>
                          </a:ln>
                        </pic:spPr>
                      </pic:pic>
                    </a:graphicData>
                  </a:graphic>
                </wp:inline>
              </w:drawing>
            </w:r>
          </w:p>
        </w:tc>
        <w:tc>
          <w:tcPr>
            <w:tcW w:w="1370" w:type="dxa"/>
            <w:tcBorders/>
            <w:shd w:fill="auto" w:val="clear"/>
            <w:vAlign w:val="center"/>
          </w:tcPr>
          <w:p>
            <w:pPr>
              <w:pStyle w:val="TableContents"/>
              <w:spacing w:before="0" w:after="80"/>
              <w:jc w:val="left"/>
              <w:rPr/>
            </w:pPr>
            <w:r>
              <w:rPr>
                <w:rStyle w:val="StrongEmphasis"/>
                <w:rFonts w:ascii="Arial" w:hAnsi="Arial"/>
                <w:color w:val="1A2343"/>
                <w:sz w:val="20"/>
              </w:rPr>
              <w:t>Record Date</w:t>
            </w:r>
          </w:p>
          <w:p>
            <w:pPr>
              <w:pStyle w:val="TableContents"/>
              <w:spacing w:before="0" w:after="283"/>
              <w:jc w:val="left"/>
              <w:rPr>
                <w:rFonts w:ascii="Arial" w:hAnsi="Arial"/>
                <w:sz w:val="20"/>
              </w:rPr>
            </w:pPr>
            <w:r>
              <w:rPr>
                <w:rFonts w:ascii="Arial" w:hAnsi="Arial"/>
                <w:sz w:val="20"/>
              </w:rPr>
              <w:t>March 31, 2023</w:t>
            </w:r>
          </w:p>
        </w:tc>
      </w:tr>
    </w:tbl>
    <w:p>
      <w:pPr>
        <w:pStyle w:val="TextBody"/>
        <w:spacing w:before="240" w:after="283"/>
        <w:jc w:val="left"/>
        <w:rPr/>
      </w:pPr>
      <w:r>
        <w:rPr>
          <w:rStyle w:val="StrongEmphasis"/>
          <w:rFonts w:ascii="Arial" w:hAnsi="Arial"/>
          <w:color w:val="1A2343"/>
          <w:sz w:val="26"/>
        </w:rPr>
        <w:t>Dear Stockholder:</w:t>
      </w:r>
    </w:p>
    <w:p>
      <w:pPr>
        <w:pStyle w:val="TextBody"/>
        <w:jc w:val="left"/>
        <w:rPr>
          <w:rFonts w:ascii="Arial" w:hAnsi="Arial"/>
          <w:sz w:val="20"/>
        </w:rPr>
      </w:pPr>
      <w:r>
        <w:rPr>
          <w:rFonts w:ascii="Arial" w:hAnsi="Arial"/>
          <w:sz w:val="20"/>
        </w:rPr>
        <w:t>You are invited to attend the 2023 annual meeting of stockholders of SL Green Realty Corp., a Maryland corporation, which will be held on June 5, 2023 at 10:00 a.m., Eastern Time in the auditorium at One Vanderbilt Avenue, New York, New York. We strongly encourage you to vote your shares by proxy prior to the annual meeting.</w:t>
      </w:r>
    </w:p>
    <w:p>
      <w:pPr>
        <w:pStyle w:val="TextBody"/>
        <w:jc w:val="left"/>
        <w:rPr/>
      </w:pPr>
      <w:r>
        <w:rPr>
          <w:rStyle w:val="StrongEmphasis"/>
          <w:rFonts w:ascii="Arial" w:hAnsi="Arial"/>
          <w:color w:val="1A2343"/>
          <w:sz w:val="20"/>
        </w:rPr>
        <w:t>Items of Business</w:t>
      </w:r>
      <w:r>
        <w:rPr>
          <w:rFonts w:ascii="Arial" w:hAnsi="Arial"/>
          <w:color w:val="1A2343"/>
          <w:sz w:val="20"/>
        </w:rPr>
        <w:t xml:space="preserve"> </w:t>
      </w:r>
      <w:r>
        <w:rPr>
          <w:rFonts w:ascii="Arial" w:hAnsi="Arial"/>
          <w:sz w:val="20"/>
        </w:rPr>
        <w:t>- the annual meeting will be held for the following purposes:</w:t>
      </w:r>
    </w:p>
    <w:tbl>
      <w:tblPr>
        <w:tblW w:w="10205" w:type="dxa"/>
        <w:jc w:val="left"/>
        <w:tblInd w:w="0" w:type="dxa"/>
        <w:tblCellMar>
          <w:top w:w="28" w:type="dxa"/>
          <w:left w:w="0" w:type="dxa"/>
          <w:bottom w:w="0" w:type="dxa"/>
          <w:right w:w="0" w:type="dxa"/>
        </w:tblCellMar>
      </w:tblPr>
      <w:tblGrid>
        <w:gridCol w:w="999"/>
        <w:gridCol w:w="1806"/>
        <w:gridCol w:w="596"/>
        <w:gridCol w:w="1053"/>
        <w:gridCol w:w="751"/>
        <w:gridCol w:w="2381"/>
        <w:gridCol w:w="653"/>
        <w:gridCol w:w="1966"/>
      </w:tblGrid>
      <w:tr>
        <w:trPr/>
        <w:tc>
          <w:tcPr>
            <w:tcW w:w="2805" w:type="dxa"/>
            <w:gridSpan w:val="2"/>
            <w:tcBorders>
              <w:top w:val="single" w:sz="8" w:space="0" w:color="8EAD3C"/>
            </w:tcBorders>
            <w:shd w:fill="auto" w:val="clear"/>
            <w:vAlign w:val="center"/>
          </w:tcPr>
          <w:p>
            <w:pPr>
              <w:pStyle w:val="TableContents"/>
              <w:spacing w:before="0" w:after="283"/>
              <w:jc w:val="left"/>
              <w:rPr/>
            </w:pPr>
            <w:r>
              <w:rPr/>
              <w:t> </w:t>
            </w:r>
          </w:p>
        </w:tc>
        <w:tc>
          <w:tcPr>
            <w:tcW w:w="1649" w:type="dxa"/>
            <w:gridSpan w:val="2"/>
            <w:tcBorders>
              <w:top w:val="single" w:sz="8" w:space="0" w:color="8EAD3C"/>
            </w:tcBorders>
            <w:shd w:fill="auto" w:val="clear"/>
            <w:vAlign w:val="center"/>
          </w:tcPr>
          <w:p>
            <w:pPr>
              <w:pStyle w:val="TableContents"/>
              <w:spacing w:before="0" w:after="283"/>
              <w:rPr>
                <w:sz w:val="4"/>
                <w:szCs w:val="4"/>
              </w:rPr>
            </w:pPr>
            <w:r>
              <w:rPr>
                <w:sz w:val="4"/>
                <w:szCs w:val="4"/>
              </w:rPr>
            </w:r>
          </w:p>
        </w:tc>
        <w:tc>
          <w:tcPr>
            <w:tcW w:w="3132" w:type="dxa"/>
            <w:gridSpan w:val="2"/>
            <w:tcBorders>
              <w:top w:val="single" w:sz="8" w:space="0" w:color="8EAD3C"/>
            </w:tcBorders>
            <w:shd w:fill="auto" w:val="clear"/>
            <w:vAlign w:val="center"/>
          </w:tcPr>
          <w:p>
            <w:pPr>
              <w:pStyle w:val="TableContents"/>
              <w:spacing w:before="0" w:after="283"/>
              <w:rPr>
                <w:sz w:val="4"/>
                <w:szCs w:val="4"/>
              </w:rPr>
            </w:pPr>
            <w:r>
              <w:rPr>
                <w:sz w:val="4"/>
                <w:szCs w:val="4"/>
              </w:rPr>
            </w:r>
          </w:p>
        </w:tc>
        <w:tc>
          <w:tcPr>
            <w:tcW w:w="2619" w:type="dxa"/>
            <w:gridSpan w:val="2"/>
            <w:tcBorders>
              <w:top w:val="single" w:sz="8" w:space="0" w:color="8EAD3C"/>
            </w:tcBorders>
            <w:shd w:fill="auto" w:val="clear"/>
            <w:vAlign w:val="center"/>
          </w:tcPr>
          <w:p>
            <w:pPr>
              <w:pStyle w:val="TableContents"/>
              <w:spacing w:before="0" w:after="283"/>
              <w:rPr>
                <w:sz w:val="4"/>
                <w:szCs w:val="4"/>
              </w:rPr>
            </w:pPr>
            <w:r>
              <w:rPr>
                <w:sz w:val="4"/>
                <w:szCs w:val="4"/>
              </w:rPr>
            </w:r>
          </w:p>
        </w:tc>
      </w:tr>
      <w:tr>
        <w:trPr/>
        <w:tc>
          <w:tcPr>
            <w:tcW w:w="2805" w:type="dxa"/>
            <w:gridSpan w:val="2"/>
            <w:tcBorders>
              <w:right w:val="single" w:sz="8" w:space="0" w:color="8EAD3C"/>
            </w:tcBorders>
            <w:shd w:fill="auto" w:val="clear"/>
            <w:tcMar>
              <w:top w:w="0" w:type="dxa"/>
              <w:right w:w="120" w:type="dxa"/>
            </w:tcMar>
            <w:vAlign w:val="center"/>
          </w:tcPr>
          <w:p>
            <w:pPr>
              <w:pStyle w:val="TableContents"/>
              <w:spacing w:before="0" w:after="283"/>
              <w:jc w:val="left"/>
              <w:rPr/>
            </w:pPr>
            <w:r>
              <w:rPr/>
              <w:drawing>
                <wp:inline distT="0" distB="0" distL="0" distR="0">
                  <wp:extent cx="247650" cy="247650"/>
                  <wp:effectExtent l="0" t="0" r="0" b="0"/>
                  <wp:docPr id="7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7" descr=""/>
                          <pic:cNvPicPr>
                            <a:picLocks noChangeAspect="1" noChangeArrowheads="1"/>
                          </pic:cNvPicPr>
                        </pic:nvPicPr>
                        <pic:blipFill>
                          <a:blip r:embed="rId58"/>
                          <a:srcRect l="-4069" t="-4069" r="-4069" b="-4069"/>
                          <a:stretch>
                            <a:fillRect/>
                          </a:stretch>
                        </pic:blipFill>
                        <pic:spPr bwMode="auto">
                          <a:xfrm>
                            <a:off x="0" y="0"/>
                            <a:ext cx="247650" cy="247650"/>
                          </a:xfrm>
                          <a:prstGeom prst="rect">
                            <a:avLst/>
                          </a:prstGeom>
                          <a:ln w="635">
                            <a:solidFill>
                              <a:srgbClr val="000000"/>
                            </a:solidFill>
                          </a:ln>
                        </pic:spPr>
                      </pic:pic>
                    </a:graphicData>
                  </a:graphic>
                </wp:inline>
              </w:drawing>
            </w:r>
          </w:p>
        </w:tc>
        <w:tc>
          <w:tcPr>
            <w:tcW w:w="1649" w:type="dxa"/>
            <w:gridSpan w:val="2"/>
            <w:tcBorders>
              <w:right w:val="single" w:sz="8" w:space="0" w:color="8EAD3C"/>
            </w:tcBorders>
            <w:shd w:fill="auto" w:val="clear"/>
            <w:tcMar>
              <w:top w:w="0" w:type="dxa"/>
              <w:right w:w="120" w:type="dxa"/>
            </w:tcMar>
            <w:vAlign w:val="center"/>
          </w:tcPr>
          <w:p>
            <w:pPr>
              <w:pStyle w:val="TableContents"/>
              <w:spacing w:before="0" w:after="283"/>
              <w:jc w:val="left"/>
              <w:rPr/>
            </w:pPr>
            <w:r>
              <w:rPr/>
              <w:drawing>
                <wp:inline distT="0" distB="0" distL="0" distR="0">
                  <wp:extent cx="247650" cy="247650"/>
                  <wp:effectExtent l="0" t="0" r="0" b="0"/>
                  <wp:docPr id="7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8" descr=""/>
                          <pic:cNvPicPr>
                            <a:picLocks noChangeAspect="1" noChangeArrowheads="1"/>
                          </pic:cNvPicPr>
                        </pic:nvPicPr>
                        <pic:blipFill>
                          <a:blip r:embed="rId59"/>
                          <a:srcRect l="-4069" t="-4069" r="-4069" b="-4069"/>
                          <a:stretch>
                            <a:fillRect/>
                          </a:stretch>
                        </pic:blipFill>
                        <pic:spPr bwMode="auto">
                          <a:xfrm>
                            <a:off x="0" y="0"/>
                            <a:ext cx="247650" cy="247650"/>
                          </a:xfrm>
                          <a:prstGeom prst="rect">
                            <a:avLst/>
                          </a:prstGeom>
                          <a:ln w="635">
                            <a:solidFill>
                              <a:srgbClr val="000000"/>
                            </a:solidFill>
                          </a:ln>
                        </pic:spPr>
                      </pic:pic>
                    </a:graphicData>
                  </a:graphic>
                </wp:inline>
              </w:drawing>
            </w:r>
          </w:p>
        </w:tc>
        <w:tc>
          <w:tcPr>
            <w:tcW w:w="3132" w:type="dxa"/>
            <w:gridSpan w:val="2"/>
            <w:tcBorders>
              <w:right w:val="single" w:sz="8" w:space="0" w:color="8EAD3C"/>
            </w:tcBorders>
            <w:shd w:fill="auto" w:val="clear"/>
            <w:tcMar>
              <w:top w:w="0" w:type="dxa"/>
              <w:right w:w="120" w:type="dxa"/>
            </w:tcMar>
            <w:vAlign w:val="center"/>
          </w:tcPr>
          <w:p>
            <w:pPr>
              <w:pStyle w:val="TableContents"/>
              <w:spacing w:before="0" w:after="283"/>
              <w:jc w:val="left"/>
              <w:rPr/>
            </w:pPr>
            <w:r>
              <w:rPr/>
              <w:drawing>
                <wp:inline distT="0" distB="0" distL="0" distR="0">
                  <wp:extent cx="247650" cy="247650"/>
                  <wp:effectExtent l="0" t="0" r="0" b="0"/>
                  <wp:docPr id="7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9" descr=""/>
                          <pic:cNvPicPr>
                            <a:picLocks noChangeAspect="1" noChangeArrowheads="1"/>
                          </pic:cNvPicPr>
                        </pic:nvPicPr>
                        <pic:blipFill>
                          <a:blip r:embed="rId60"/>
                          <a:srcRect l="-4069" t="-4069" r="-4069" b="-4069"/>
                          <a:stretch>
                            <a:fillRect/>
                          </a:stretch>
                        </pic:blipFill>
                        <pic:spPr bwMode="auto">
                          <a:xfrm>
                            <a:off x="0" y="0"/>
                            <a:ext cx="247650" cy="247650"/>
                          </a:xfrm>
                          <a:prstGeom prst="rect">
                            <a:avLst/>
                          </a:prstGeom>
                          <a:ln w="635">
                            <a:solidFill>
                              <a:srgbClr val="000000"/>
                            </a:solidFill>
                          </a:ln>
                        </pic:spPr>
                      </pic:pic>
                    </a:graphicData>
                  </a:graphic>
                </wp:inline>
              </w:drawing>
            </w:r>
          </w:p>
        </w:tc>
        <w:tc>
          <w:tcPr>
            <w:tcW w:w="2619" w:type="dxa"/>
            <w:gridSpan w:val="2"/>
            <w:tcBorders/>
            <w:shd w:fill="auto" w:val="clear"/>
            <w:tcMar>
              <w:top w:w="0" w:type="dxa"/>
            </w:tcMar>
            <w:vAlign w:val="center"/>
          </w:tcPr>
          <w:p>
            <w:pPr>
              <w:pStyle w:val="TableContents"/>
              <w:spacing w:before="0" w:after="283"/>
              <w:jc w:val="left"/>
              <w:rPr/>
            </w:pPr>
            <w:r>
              <w:rPr/>
              <w:drawing>
                <wp:inline distT="0" distB="0" distL="0" distR="0">
                  <wp:extent cx="247650" cy="247650"/>
                  <wp:effectExtent l="0" t="0" r="0" b="0"/>
                  <wp:docPr id="7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0" descr=""/>
                          <pic:cNvPicPr>
                            <a:picLocks noChangeAspect="1" noChangeArrowheads="1"/>
                          </pic:cNvPicPr>
                        </pic:nvPicPr>
                        <pic:blipFill>
                          <a:blip r:embed="rId61"/>
                          <a:srcRect l="-4069" t="-4069" r="-4069" b="-4069"/>
                          <a:stretch>
                            <a:fillRect/>
                          </a:stretch>
                        </pic:blipFill>
                        <pic:spPr bwMode="auto">
                          <a:xfrm>
                            <a:off x="0" y="0"/>
                            <a:ext cx="247650" cy="247650"/>
                          </a:xfrm>
                          <a:prstGeom prst="rect">
                            <a:avLst/>
                          </a:prstGeom>
                          <a:ln w="635">
                            <a:solidFill>
                              <a:srgbClr val="000000"/>
                            </a:solidFill>
                          </a:ln>
                        </pic:spPr>
                      </pic:pic>
                    </a:graphicData>
                  </a:graphic>
                </wp:inline>
              </w:drawing>
            </w:r>
          </w:p>
        </w:tc>
      </w:tr>
      <w:tr>
        <w:trPr/>
        <w:tc>
          <w:tcPr>
            <w:tcW w:w="2805" w:type="dxa"/>
            <w:gridSpan w:val="2"/>
            <w:tcBorders>
              <w:right w:val="single" w:sz="8" w:space="0" w:color="8EAD3C"/>
            </w:tcBorders>
            <w:shd w:fill="auto" w:val="clear"/>
            <w:tcMar>
              <w:top w:w="0" w:type="dxa"/>
              <w:right w:w="120" w:type="dxa"/>
            </w:tcMar>
            <w:vAlign w:val="center"/>
          </w:tcPr>
          <w:p>
            <w:pPr>
              <w:pStyle w:val="TableContents"/>
              <w:spacing w:before="0" w:after="0"/>
              <w:jc w:val="left"/>
              <w:rPr>
                <w:rFonts w:ascii="Arial" w:hAnsi="Arial"/>
                <w:sz w:val="20"/>
              </w:rPr>
            </w:pPr>
            <w:r>
              <w:rPr>
                <w:rFonts w:ascii="Arial" w:hAnsi="Arial"/>
                <w:sz w:val="20"/>
              </w:rPr>
              <w:t>To elect the nine director nominees named in the proxy statement to serve on the Board of Directors for a one-year term and until their successors are duly elected and qualify</w:t>
            </w:r>
          </w:p>
          <w:p>
            <w:pPr>
              <w:pStyle w:val="TableContents"/>
              <w:spacing w:before="0" w:after="283"/>
              <w:jc w:val="left"/>
              <w:rPr/>
            </w:pPr>
            <w:r>
              <w:rPr>
                <w:rStyle w:val="StrongEmphasis"/>
                <w:rFonts w:ascii="Arial" w:hAnsi="Arial"/>
                <w:color w:val="1A2343"/>
                <w:sz w:val="15"/>
              </w:rPr>
              <w:t>PAGE 9 ►</w:t>
            </w:r>
          </w:p>
        </w:tc>
        <w:tc>
          <w:tcPr>
            <w:tcW w:w="1649" w:type="dxa"/>
            <w:gridSpan w:val="2"/>
            <w:tcBorders>
              <w:right w:val="single" w:sz="8" w:space="0" w:color="8EAD3C"/>
            </w:tcBorders>
            <w:shd w:fill="auto" w:val="clear"/>
            <w:tcMar>
              <w:top w:w="0" w:type="dxa"/>
              <w:right w:w="120" w:type="dxa"/>
            </w:tcMar>
            <w:vAlign w:val="center"/>
          </w:tcPr>
          <w:p>
            <w:pPr>
              <w:pStyle w:val="TableContents"/>
              <w:spacing w:before="0" w:after="0"/>
              <w:jc w:val="left"/>
              <w:rPr>
                <w:rFonts w:ascii="Arial" w:hAnsi="Arial"/>
                <w:sz w:val="20"/>
              </w:rPr>
            </w:pPr>
            <w:r>
              <w:rPr>
                <w:rFonts w:ascii="Arial" w:hAnsi="Arial"/>
                <w:sz w:val="20"/>
              </w:rPr>
              <w:t>To hold an advisory vote on executive compensation</w:t>
            </w:r>
          </w:p>
          <w:p>
            <w:pPr>
              <w:pStyle w:val="TableContents"/>
              <w:spacing w:before="0" w:after="283"/>
              <w:jc w:val="left"/>
              <w:rPr/>
            </w:pPr>
            <w:r>
              <w:rPr>
                <w:rStyle w:val="StrongEmphasis"/>
                <w:rFonts w:ascii="Arial" w:hAnsi="Arial"/>
                <w:color w:val="1A2343"/>
                <w:sz w:val="15"/>
              </w:rPr>
              <w:t>PAGE 41 ►</w:t>
            </w:r>
          </w:p>
        </w:tc>
        <w:tc>
          <w:tcPr>
            <w:tcW w:w="3132" w:type="dxa"/>
            <w:gridSpan w:val="2"/>
            <w:tcBorders>
              <w:right w:val="single" w:sz="8" w:space="0" w:color="8EAD3C"/>
            </w:tcBorders>
            <w:shd w:fill="auto" w:val="clear"/>
            <w:tcMar>
              <w:top w:w="0" w:type="dxa"/>
              <w:right w:w="120" w:type="dxa"/>
            </w:tcMar>
            <w:vAlign w:val="center"/>
          </w:tcPr>
          <w:p>
            <w:pPr>
              <w:pStyle w:val="TableContents"/>
              <w:spacing w:before="0" w:after="0"/>
              <w:jc w:val="left"/>
              <w:rPr>
                <w:rFonts w:ascii="Arial" w:hAnsi="Arial"/>
                <w:sz w:val="20"/>
              </w:rPr>
            </w:pPr>
            <w:r>
              <w:rPr>
                <w:rFonts w:ascii="Arial" w:hAnsi="Arial"/>
                <w:sz w:val="20"/>
              </w:rPr>
              <w:t>To ratify the appointment of Ernst &amp; Young LLP as our independent registered public accounting firm for the fiscal year ending December 31, 2023</w:t>
            </w:r>
          </w:p>
          <w:p>
            <w:pPr>
              <w:pStyle w:val="TableContents"/>
              <w:spacing w:before="0" w:after="283"/>
              <w:jc w:val="left"/>
              <w:rPr/>
            </w:pPr>
            <w:r>
              <w:rPr>
                <w:rStyle w:val="StrongEmphasis"/>
                <w:rFonts w:ascii="Arial" w:hAnsi="Arial"/>
                <w:color w:val="1A2343"/>
                <w:sz w:val="15"/>
              </w:rPr>
              <w:t>PAGE 81 ►</w:t>
            </w:r>
          </w:p>
        </w:tc>
        <w:tc>
          <w:tcPr>
            <w:tcW w:w="2619" w:type="dxa"/>
            <w:gridSpan w:val="2"/>
            <w:tcBorders/>
            <w:shd w:fill="auto" w:val="clear"/>
            <w:tcMar>
              <w:top w:w="0" w:type="dxa"/>
            </w:tcMar>
            <w:vAlign w:val="center"/>
          </w:tcPr>
          <w:p>
            <w:pPr>
              <w:pStyle w:val="TableContents"/>
              <w:spacing w:before="0" w:after="0"/>
              <w:jc w:val="left"/>
              <w:rPr>
                <w:rFonts w:ascii="Arial" w:hAnsi="Arial"/>
                <w:sz w:val="20"/>
              </w:rPr>
            </w:pPr>
            <w:r>
              <w:rPr>
                <w:rFonts w:ascii="Arial" w:hAnsi="Arial"/>
                <w:sz w:val="20"/>
              </w:rPr>
              <w:t xml:space="preserve">To hold an advisory vote on whether an advisory vote on executive compensation should be held every one, two or three years </w:t>
            </w:r>
          </w:p>
          <w:p>
            <w:pPr>
              <w:pStyle w:val="TableContents"/>
              <w:spacing w:before="0" w:after="283"/>
              <w:jc w:val="left"/>
              <w:rPr/>
            </w:pPr>
            <w:r>
              <w:rPr>
                <w:rStyle w:val="StrongEmphasis"/>
                <w:rFonts w:ascii="Arial" w:hAnsi="Arial"/>
                <w:color w:val="1A2343"/>
                <w:sz w:val="15"/>
              </w:rPr>
              <w:t>PAGE 83 ►</w:t>
            </w:r>
          </w:p>
        </w:tc>
      </w:tr>
      <w:tr>
        <w:trPr/>
        <w:tc>
          <w:tcPr>
            <w:tcW w:w="999" w:type="dxa"/>
            <w:tcBorders/>
            <w:shd w:fill="auto" w:val="clear"/>
            <w:tcMar>
              <w:top w:w="0" w:type="dxa"/>
            </w:tcMar>
            <w:vAlign w:val="center"/>
          </w:tcPr>
          <w:p>
            <w:pPr>
              <w:pStyle w:val="TableContents"/>
              <w:spacing w:before="0" w:after="283"/>
              <w:jc w:val="left"/>
              <w:rPr/>
            </w:pPr>
            <w:r>
              <w:rPr/>
              <w:drawing>
                <wp:inline distT="0" distB="0" distL="0" distR="0">
                  <wp:extent cx="304800" cy="285750"/>
                  <wp:effectExtent l="0" t="0" r="0" b="0"/>
                  <wp:docPr id="7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1" descr=""/>
                          <pic:cNvPicPr>
                            <a:picLocks noChangeAspect="1" noChangeArrowheads="1"/>
                          </pic:cNvPicPr>
                        </pic:nvPicPr>
                        <pic:blipFill>
                          <a:blip r:embed="rId62"/>
                          <a:srcRect l="-3305" t="-3526" r="-3305" b="-3526"/>
                          <a:stretch>
                            <a:fillRect/>
                          </a:stretch>
                        </pic:blipFill>
                        <pic:spPr bwMode="auto">
                          <a:xfrm>
                            <a:off x="0" y="0"/>
                            <a:ext cx="304800" cy="285750"/>
                          </a:xfrm>
                          <a:prstGeom prst="rect">
                            <a:avLst/>
                          </a:prstGeom>
                          <a:ln w="635">
                            <a:solidFill>
                              <a:srgbClr val="000000"/>
                            </a:solidFill>
                          </a:ln>
                        </pic:spPr>
                      </pic:pic>
                    </a:graphicData>
                  </a:graphic>
                </wp:inline>
              </w:drawing>
            </w:r>
          </w:p>
        </w:tc>
        <w:tc>
          <w:tcPr>
            <w:tcW w:w="1806" w:type="dxa"/>
            <w:tcBorders>
              <w:right w:val="single" w:sz="8" w:space="0" w:color="8EAD3C"/>
            </w:tcBorders>
            <w:shd w:fill="auto" w:val="clear"/>
            <w:tcMar>
              <w:top w:w="0" w:type="dxa"/>
              <w:right w:w="28" w:type="dxa"/>
            </w:tcMar>
            <w:vAlign w:val="center"/>
          </w:tcPr>
          <w:p>
            <w:pPr>
              <w:pStyle w:val="TableContents"/>
              <w:spacing w:before="0" w:after="283"/>
              <w:jc w:val="left"/>
              <w:rPr/>
            </w:pPr>
            <w:r>
              <w:rPr>
                <w:rStyle w:val="StrongEmphasis"/>
                <w:rFonts w:ascii="Arial" w:hAnsi="Arial"/>
                <w:sz w:val="20"/>
              </w:rPr>
              <w:t xml:space="preserve">Vote </w:t>
            </w:r>
            <w:r>
              <w:rPr>
                <w:rFonts w:ascii="Arial" w:hAnsi="Arial"/>
                <w:b/>
                <w:color w:val="1A2343"/>
                <w:sz w:val="24"/>
              </w:rPr>
              <w:t>FOR </w:t>
            </w:r>
          </w:p>
        </w:tc>
        <w:tc>
          <w:tcPr>
            <w:tcW w:w="596" w:type="dxa"/>
            <w:tcBorders/>
            <w:shd w:fill="auto" w:val="clear"/>
            <w:tcMar>
              <w:top w:w="0" w:type="dxa"/>
            </w:tcMar>
            <w:vAlign w:val="center"/>
          </w:tcPr>
          <w:p>
            <w:pPr>
              <w:pStyle w:val="TableContents"/>
              <w:spacing w:before="0" w:after="283"/>
              <w:jc w:val="left"/>
              <w:rPr/>
            </w:pPr>
            <w:r>
              <w:rPr/>
              <w:drawing>
                <wp:inline distT="0" distB="0" distL="0" distR="0">
                  <wp:extent cx="304800" cy="285750"/>
                  <wp:effectExtent l="0" t="0" r="0" b="0"/>
                  <wp:docPr id="7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2" descr=""/>
                          <pic:cNvPicPr>
                            <a:picLocks noChangeAspect="1" noChangeArrowheads="1"/>
                          </pic:cNvPicPr>
                        </pic:nvPicPr>
                        <pic:blipFill>
                          <a:blip r:embed="rId63"/>
                          <a:srcRect l="-3305" t="-3526" r="-3305" b="-3526"/>
                          <a:stretch>
                            <a:fillRect/>
                          </a:stretch>
                        </pic:blipFill>
                        <pic:spPr bwMode="auto">
                          <a:xfrm>
                            <a:off x="0" y="0"/>
                            <a:ext cx="304800" cy="285750"/>
                          </a:xfrm>
                          <a:prstGeom prst="rect">
                            <a:avLst/>
                          </a:prstGeom>
                          <a:ln w="635">
                            <a:solidFill>
                              <a:srgbClr val="000000"/>
                            </a:solidFill>
                          </a:ln>
                        </pic:spPr>
                      </pic:pic>
                    </a:graphicData>
                  </a:graphic>
                </wp:inline>
              </w:drawing>
            </w:r>
          </w:p>
        </w:tc>
        <w:tc>
          <w:tcPr>
            <w:tcW w:w="1053" w:type="dxa"/>
            <w:tcBorders>
              <w:right w:val="single" w:sz="8" w:space="0" w:color="8EAD3C"/>
            </w:tcBorders>
            <w:shd w:fill="auto" w:val="clear"/>
            <w:tcMar>
              <w:top w:w="0" w:type="dxa"/>
              <w:right w:w="28" w:type="dxa"/>
            </w:tcMar>
            <w:vAlign w:val="center"/>
          </w:tcPr>
          <w:p>
            <w:pPr>
              <w:pStyle w:val="TableContents"/>
              <w:spacing w:before="0" w:after="283"/>
              <w:jc w:val="left"/>
              <w:rPr/>
            </w:pPr>
            <w:r>
              <w:rPr>
                <w:rStyle w:val="StrongEmphasis"/>
                <w:rFonts w:ascii="Arial" w:hAnsi="Arial"/>
                <w:sz w:val="20"/>
              </w:rPr>
              <w:t xml:space="preserve">Vote </w:t>
            </w:r>
            <w:r>
              <w:rPr>
                <w:rFonts w:ascii="Arial" w:hAnsi="Arial"/>
                <w:b/>
                <w:color w:val="1A2343"/>
                <w:sz w:val="24"/>
              </w:rPr>
              <w:t>FOR </w:t>
            </w:r>
          </w:p>
        </w:tc>
        <w:tc>
          <w:tcPr>
            <w:tcW w:w="751" w:type="dxa"/>
            <w:tcBorders/>
            <w:shd w:fill="auto" w:val="clear"/>
            <w:tcMar>
              <w:top w:w="0" w:type="dxa"/>
            </w:tcMar>
            <w:vAlign w:val="center"/>
          </w:tcPr>
          <w:p>
            <w:pPr>
              <w:pStyle w:val="TableContents"/>
              <w:spacing w:before="0" w:after="283"/>
              <w:jc w:val="left"/>
              <w:rPr/>
            </w:pPr>
            <w:r>
              <w:rPr/>
              <w:drawing>
                <wp:inline distT="0" distB="0" distL="0" distR="0">
                  <wp:extent cx="304800" cy="285750"/>
                  <wp:effectExtent l="0" t="0" r="0" b="0"/>
                  <wp:docPr id="7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3" descr=""/>
                          <pic:cNvPicPr>
                            <a:picLocks noChangeAspect="1" noChangeArrowheads="1"/>
                          </pic:cNvPicPr>
                        </pic:nvPicPr>
                        <pic:blipFill>
                          <a:blip r:embed="rId64"/>
                          <a:srcRect l="-3305" t="-3526" r="-3305" b="-3526"/>
                          <a:stretch>
                            <a:fillRect/>
                          </a:stretch>
                        </pic:blipFill>
                        <pic:spPr bwMode="auto">
                          <a:xfrm>
                            <a:off x="0" y="0"/>
                            <a:ext cx="304800" cy="285750"/>
                          </a:xfrm>
                          <a:prstGeom prst="rect">
                            <a:avLst/>
                          </a:prstGeom>
                          <a:ln w="635">
                            <a:solidFill>
                              <a:srgbClr val="000000"/>
                            </a:solidFill>
                          </a:ln>
                        </pic:spPr>
                      </pic:pic>
                    </a:graphicData>
                  </a:graphic>
                </wp:inline>
              </w:drawing>
            </w:r>
          </w:p>
        </w:tc>
        <w:tc>
          <w:tcPr>
            <w:tcW w:w="2381" w:type="dxa"/>
            <w:tcBorders>
              <w:right w:val="single" w:sz="8" w:space="0" w:color="8EAD3C"/>
            </w:tcBorders>
            <w:shd w:fill="auto" w:val="clear"/>
            <w:tcMar>
              <w:top w:w="0" w:type="dxa"/>
              <w:right w:w="28" w:type="dxa"/>
            </w:tcMar>
            <w:vAlign w:val="center"/>
          </w:tcPr>
          <w:p>
            <w:pPr>
              <w:pStyle w:val="TableContents"/>
              <w:spacing w:before="0" w:after="283"/>
              <w:jc w:val="left"/>
              <w:rPr/>
            </w:pPr>
            <w:r>
              <w:rPr>
                <w:rStyle w:val="StrongEmphasis"/>
                <w:rFonts w:ascii="Arial" w:hAnsi="Arial"/>
                <w:sz w:val="20"/>
              </w:rPr>
              <w:t xml:space="preserve">Vote </w:t>
            </w:r>
            <w:r>
              <w:rPr>
                <w:rFonts w:ascii="Arial" w:hAnsi="Arial"/>
                <w:b/>
                <w:color w:val="1A2343"/>
                <w:sz w:val="24"/>
              </w:rPr>
              <w:t>FOR             </w:t>
            </w:r>
          </w:p>
        </w:tc>
        <w:tc>
          <w:tcPr>
            <w:tcW w:w="653" w:type="dxa"/>
            <w:tcBorders/>
            <w:shd w:fill="auto" w:val="clear"/>
            <w:tcMar>
              <w:top w:w="0" w:type="dxa"/>
            </w:tcMar>
            <w:vAlign w:val="center"/>
          </w:tcPr>
          <w:p>
            <w:pPr>
              <w:pStyle w:val="TableContents"/>
              <w:spacing w:before="0" w:after="283"/>
              <w:jc w:val="left"/>
              <w:rPr/>
            </w:pPr>
            <w:r>
              <w:rPr/>
              <w:drawing>
                <wp:inline distT="0" distB="0" distL="0" distR="0">
                  <wp:extent cx="304800" cy="285750"/>
                  <wp:effectExtent l="0" t="0" r="0" b="0"/>
                  <wp:docPr id="7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4" descr=""/>
                          <pic:cNvPicPr>
                            <a:picLocks noChangeAspect="1" noChangeArrowheads="1"/>
                          </pic:cNvPicPr>
                        </pic:nvPicPr>
                        <pic:blipFill>
                          <a:blip r:embed="rId65"/>
                          <a:srcRect l="-3305" t="-3526" r="-3305" b="-3526"/>
                          <a:stretch>
                            <a:fillRect/>
                          </a:stretch>
                        </pic:blipFill>
                        <pic:spPr bwMode="auto">
                          <a:xfrm>
                            <a:off x="0" y="0"/>
                            <a:ext cx="304800" cy="285750"/>
                          </a:xfrm>
                          <a:prstGeom prst="rect">
                            <a:avLst/>
                          </a:prstGeom>
                          <a:ln w="635">
                            <a:solidFill>
                              <a:srgbClr val="000000"/>
                            </a:solidFill>
                          </a:ln>
                        </pic:spPr>
                      </pic:pic>
                    </a:graphicData>
                  </a:graphic>
                </wp:inline>
              </w:drawing>
            </w:r>
          </w:p>
        </w:tc>
        <w:tc>
          <w:tcPr>
            <w:tcW w:w="1966" w:type="dxa"/>
            <w:tcBorders/>
            <w:shd w:fill="auto" w:val="clear"/>
            <w:tcMar>
              <w:top w:w="0" w:type="dxa"/>
            </w:tcMar>
            <w:vAlign w:val="center"/>
          </w:tcPr>
          <w:p>
            <w:pPr>
              <w:pStyle w:val="TableContents"/>
              <w:spacing w:before="0" w:after="283"/>
              <w:jc w:val="left"/>
              <w:rPr/>
            </w:pPr>
            <w:r>
              <w:rPr>
                <w:rStyle w:val="StrongEmphasis"/>
                <w:rFonts w:ascii="Arial" w:hAnsi="Arial"/>
                <w:sz w:val="20"/>
              </w:rPr>
              <w:t xml:space="preserve">Vote for </w:t>
            </w:r>
            <w:r>
              <w:rPr>
                <w:rFonts w:ascii="Arial" w:hAnsi="Arial"/>
                <w:b/>
                <w:color w:val="1A2343"/>
                <w:sz w:val="24"/>
              </w:rPr>
              <w:t>ONE YEAR    </w:t>
            </w:r>
          </w:p>
        </w:tc>
      </w:tr>
      <w:tr>
        <w:trPr/>
        <w:tc>
          <w:tcPr>
            <w:tcW w:w="999" w:type="dxa"/>
            <w:tcBorders>
              <w:bottom w:val="single" w:sz="8" w:space="0" w:color="8EAD3C"/>
            </w:tcBorders>
            <w:shd w:fill="auto" w:val="clear"/>
            <w:tcMar>
              <w:top w:w="0" w:type="dxa"/>
              <w:bottom w:w="28" w:type="dxa"/>
            </w:tcMar>
            <w:vAlign w:val="center"/>
          </w:tcPr>
          <w:p>
            <w:pPr>
              <w:pStyle w:val="TableContents"/>
              <w:spacing w:before="0" w:after="283"/>
              <w:jc w:val="left"/>
              <w:rPr/>
            </w:pPr>
            <w:r>
              <w:rPr/>
              <w:t> </w:t>
            </w:r>
          </w:p>
        </w:tc>
        <w:tc>
          <w:tcPr>
            <w:tcW w:w="1806"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596"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1053"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751"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2381"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653"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1966"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4381"/>
        <w:gridCol w:w="987"/>
        <w:gridCol w:w="710"/>
        <w:gridCol w:w="2206"/>
        <w:gridCol w:w="641"/>
        <w:gridCol w:w="1280"/>
      </w:tblGrid>
      <w:tr>
        <w:trPr/>
        <w:tc>
          <w:tcPr>
            <w:tcW w:w="4381" w:type="dxa"/>
            <w:tcBorders/>
            <w:shd w:fill="auto" w:val="clear"/>
            <w:vAlign w:val="center"/>
          </w:tcPr>
          <w:p>
            <w:pPr>
              <w:pStyle w:val="TableContents"/>
              <w:spacing w:before="0" w:after="283"/>
              <w:jc w:val="left"/>
              <w:rPr/>
            </w:pPr>
            <w:r>
              <w:rPr/>
              <w:t>                                                                       </w:t>
            </w:r>
          </w:p>
        </w:tc>
        <w:tc>
          <w:tcPr>
            <w:tcW w:w="987" w:type="dxa"/>
            <w:tcBorders/>
            <w:shd w:fill="auto" w:val="clear"/>
            <w:vAlign w:val="center"/>
          </w:tcPr>
          <w:p>
            <w:pPr>
              <w:pStyle w:val="TableContents"/>
              <w:spacing w:before="0" w:after="283"/>
              <w:jc w:val="left"/>
              <w:rPr/>
            </w:pPr>
            <w:r>
              <w:rPr/>
              <w:t>                </w:t>
            </w:r>
          </w:p>
        </w:tc>
        <w:tc>
          <w:tcPr>
            <w:tcW w:w="710" w:type="dxa"/>
            <w:tcBorders/>
            <w:shd w:fill="auto" w:val="clear"/>
            <w:vAlign w:val="center"/>
          </w:tcPr>
          <w:p>
            <w:pPr>
              <w:pStyle w:val="TableContents"/>
              <w:spacing w:before="0" w:after="283"/>
              <w:rPr>
                <w:sz w:val="4"/>
                <w:szCs w:val="4"/>
              </w:rPr>
            </w:pPr>
            <w:r>
              <w:rPr>
                <w:sz w:val="4"/>
                <w:szCs w:val="4"/>
              </w:rPr>
            </w:r>
          </w:p>
        </w:tc>
        <w:tc>
          <w:tcPr>
            <w:tcW w:w="2206"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r>
      <w:tr>
        <w:trPr/>
        <w:tc>
          <w:tcPr>
            <w:tcW w:w="5368" w:type="dxa"/>
            <w:gridSpan w:val="2"/>
            <w:vMerge w:val="restart"/>
            <w:tcBorders/>
            <w:shd w:fill="auto" w:val="clear"/>
            <w:vAlign w:val="center"/>
          </w:tcPr>
          <w:p>
            <w:pPr>
              <w:pStyle w:val="TableContents"/>
              <w:jc w:val="left"/>
              <w:rPr>
                <w:rFonts w:ascii="Arial" w:hAnsi="Arial"/>
                <w:sz w:val="20"/>
              </w:rPr>
            </w:pPr>
            <w:r>
              <w:rPr>
                <w:rFonts w:ascii="Arial" w:hAnsi="Arial"/>
                <w:sz w:val="20"/>
              </w:rPr>
              <w:t>In addition, stockholders may be asked to consider and vote upon any other matters that may properly be brought before the annual meeting and at any adjournments or postponements thereof.</w:t>
            </w:r>
          </w:p>
          <w:p>
            <w:pPr>
              <w:pStyle w:val="TableContents"/>
              <w:jc w:val="left"/>
              <w:rPr>
                <w:rFonts w:ascii="Arial" w:hAnsi="Arial"/>
                <w:sz w:val="20"/>
              </w:rPr>
            </w:pPr>
            <w:r>
              <w:rPr>
                <w:rFonts w:ascii="Arial" w:hAnsi="Arial"/>
                <w:sz w:val="20"/>
              </w:rPr>
              <w:t>Any action may be taken on the foregoing matters at the annual meeting on the date specified above, or on any date or dates to which the annual meeting may be adjourned, or to which the annual meeting may be postponed.</w:t>
            </w:r>
          </w:p>
          <w:p>
            <w:pPr>
              <w:pStyle w:val="TableContents"/>
              <w:jc w:val="left"/>
              <w:rPr>
                <w:rFonts w:ascii="Arial" w:hAnsi="Arial"/>
                <w:sz w:val="20"/>
              </w:rPr>
            </w:pPr>
            <w:r>
              <w:rPr>
                <w:rFonts w:ascii="Arial" w:hAnsi="Arial"/>
                <w:sz w:val="20"/>
              </w:rPr>
              <w:t>The Board of Directors has fixed the close of business on March 31, 2023 as the record date for determining the stockholders entitled to notice of, and to vote at, the annual meeting and at any adjournments or postponements thereof.</w:t>
            </w:r>
          </w:p>
          <w:p>
            <w:pPr>
              <w:pStyle w:val="TableContents"/>
              <w:jc w:val="left"/>
              <w:rPr>
                <w:rFonts w:ascii="Arial" w:hAnsi="Arial"/>
                <w:sz w:val="20"/>
              </w:rPr>
            </w:pPr>
            <w:r>
              <w:rPr>
                <w:rFonts w:ascii="Arial" w:hAnsi="Arial"/>
                <w:sz w:val="20"/>
              </w:rPr>
              <w:t>By Order of the Board of Directors,</w:t>
            </w:r>
          </w:p>
          <w:p>
            <w:pPr>
              <w:pStyle w:val="TableContents"/>
              <w:spacing w:before="0" w:after="283"/>
              <w:rPr/>
            </w:pPr>
            <w:r>
              <w:rPr/>
            </w:r>
            <w:r>
              <mc:AlternateContent>
                <mc:Choice Requires="wps">
                  <w:drawing>
                    <wp:anchor behindDoc="0" distT="0" distB="0" distL="0" distR="0" simplePos="0" locked="0" layoutInCell="1" allowOverlap="1" relativeHeight="16">
                      <wp:simplePos x="0" y="0"/>
                      <wp:positionH relativeFrom="column">
                        <wp:align>right</wp:align>
                      </wp:positionH>
                      <wp:positionV relativeFrom="line">
                        <wp:posOffset>635</wp:posOffset>
                      </wp:positionV>
                      <wp:extent cx="1976755" cy="1168400"/>
                      <wp:effectExtent l="0" t="0" r="0" b="0"/>
                      <wp:wrapSquare wrapText="largest"/>
                      <wp:docPr id="78" name="Frame6"/>
                      <a:graphic xmlns:a="http://schemas.openxmlformats.org/drawingml/2006/main">
                        <a:graphicData uri="http://schemas.microsoft.com/office/word/2010/wordprocessingShape">
                          <wps:wsp>
                            <wps:cNvSpPr txBox="1"/>
                            <wps:spPr>
                              <a:xfrm>
                                <a:off x="0" y="0"/>
                                <a:ext cx="1976755" cy="1168400"/>
                              </a:xfrm>
                              <a:prstGeom prst="rect"/>
                            </wps:spPr>
                            <wps:txbx>
                              <w:txbxContent>
                                <w:p>
                                  <w:pPr>
                                    <w:pStyle w:val="TextBody"/>
                                    <w:spacing w:before="0" w:after="283"/>
                                    <w:rPr/>
                                  </w:pPr>
                                  <w:r>
                                    <w:rPr>
                                      <w:rStyle w:val="StrongEmphasis"/>
                                      <w:rFonts w:ascii="Arial" w:hAnsi="Arial"/>
                                      <w:sz w:val="20"/>
                                    </w:rPr>
                                    <w:t>Important Notice Regarding the Availability of Proxy Materials for the Annual Stockholder Meeting to be Held on June 5, 2023.</w:t>
                                  </w:r>
                                  <w:r>
                                    <w:rPr>
                                      <w:rFonts w:ascii="Arial" w:hAnsi="Arial"/>
                                      <w:sz w:val="20"/>
                                    </w:rPr>
                                    <w:t xml:space="preserve"> This proxy statement and our 2022 Annual Report to Stockholders are available at http://www.proxyvote.com </w:t>
                                  </w:r>
                                </w:p>
                              </w:txbxContent>
                            </wps:txbx>
                            <wps:bodyPr anchor="t" lIns="0" tIns="0" rIns="0" bIns="0">
                              <a:noAutofit/>
                            </wps:bodyPr>
                          </wps:wsp>
                        </a:graphicData>
                      </a:graphic>
                      <wp14:sizeRelH relativeFrom="margin">
                        <wp14:pctWidth>58000</wp14:pctWidth>
                      </wp14:sizeRelH>
                    </wp:anchor>
                  </w:drawing>
                </mc:Choice>
                <mc:Fallback>
                  <w:pict>
                    <v:rect style="position:absolute;rotation:0;width:155.65pt;height:92pt;mso-wrap-distance-left:0pt;mso-wrap-distance-right:0pt;mso-wrap-distance-top:0pt;mso-wrap-distance-bottom:0pt;margin-top:0pt;mso-position-vertical:top;mso-position-vertical-relative:text;margin-left:112.7pt;mso-position-horizontal:right;mso-position-horizontal-relative:text">
                      <v:textbox>
                        <w:txbxContent>
                          <w:p>
                            <w:pPr>
                              <w:pStyle w:val="TextBody"/>
                              <w:spacing w:before="0" w:after="283"/>
                              <w:rPr/>
                            </w:pPr>
                            <w:r>
                              <w:rPr>
                                <w:rStyle w:val="StrongEmphasis"/>
                                <w:rFonts w:ascii="Arial" w:hAnsi="Arial"/>
                                <w:sz w:val="20"/>
                              </w:rPr>
                              <w:t>Important Notice Regarding the Availability of Proxy Materials for the Annual Stockholder Meeting to be Held on June 5, 2023.</w:t>
                            </w:r>
                            <w:r>
                              <w:rPr>
                                <w:rFonts w:ascii="Arial" w:hAnsi="Arial"/>
                                <w:sz w:val="20"/>
                              </w:rPr>
                              <w:t xml:space="preserve"> This proxy statement and our 2022 Annual Report to Stockholders are available at http://www.proxyvote.com </w:t>
                            </w:r>
                          </w:p>
                        </w:txbxContent>
                      </v:textbox>
                      <w10:wrap type="square" side="left"/>
                    </v:rect>
                  </w:pict>
                </mc:Fallback>
              </mc:AlternateConten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1363345" cy="908685"/>
                      <wp:effectExtent l="0" t="0" r="0" b="0"/>
                      <wp:wrapSquare wrapText="largest"/>
                      <wp:docPr id="79" name="Frame5"/>
                      <a:graphic xmlns:a="http://schemas.openxmlformats.org/drawingml/2006/main">
                        <a:graphicData uri="http://schemas.microsoft.com/office/word/2010/wordprocessingShape">
                          <wps:wsp>
                            <wps:cNvSpPr txBox="1"/>
                            <wps:spPr>
                              <a:xfrm>
                                <a:off x="0" y="0"/>
                                <a:ext cx="1363345" cy="908685"/>
                              </a:xfrm>
                              <a:prstGeom prst="rect"/>
                            </wps:spPr>
                            <wps:txbx>
                              <w:txbxContent>
                                <w:p>
                                  <w:pPr>
                                    <w:pStyle w:val="TextBody"/>
                                    <w:spacing w:before="0" w:after="283"/>
                                    <w:rPr/>
                                  </w:pPr>
                                  <w:r>
                                    <w:rPr/>
                                    <w:drawing>
                                      <wp:inline distT="0" distB="0" distL="0" distR="0">
                                        <wp:extent cx="923925" cy="295275"/>
                                        <wp:effectExtent l="0" t="0" r="0" b="0"/>
                                        <wp:docPr id="8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5" descr=""/>
                                                <pic:cNvPicPr>
                                                  <a:picLocks noChangeAspect="1" noChangeArrowheads="1"/>
                                                </pic:cNvPicPr>
                                              </pic:nvPicPr>
                                              <pic:blipFill>
                                                <a:blip r:embed="rId66"/>
                                                <a:srcRect l="-1091" t="-3414" r="-1091" b="-3414"/>
                                                <a:stretch>
                                                  <a:fillRect/>
                                                </a:stretch>
                                              </pic:blipFill>
                                              <pic:spPr bwMode="auto">
                                                <a:xfrm>
                                                  <a:off x="0" y="0"/>
                                                  <a:ext cx="923925" cy="295275"/>
                                                </a:xfrm>
                                                <a:prstGeom prst="rect">
                                                  <a:avLst/>
                                                </a:prstGeom>
                                                <a:ln w="635">
                                                  <a:solidFill>
                                                    <a:srgbClr val="000000"/>
                                                  </a:solidFill>
                                                </a:ln>
                                              </pic:spPr>
                                            </pic:pic>
                                          </a:graphicData>
                                        </a:graphic>
                                      </wp:inline>
                                    </w:drawing>
                                  </w:r>
                                  <w:r>
                                    <w:rPr/>
                                    <w:br/>
                                  </w:r>
                                  <w:r>
                                    <w:rPr>
                                      <w:rStyle w:val="StrongEmphasis"/>
                                      <w:rFonts w:ascii="Arial" w:hAnsi="Arial"/>
                                      <w:sz w:val="20"/>
                                    </w:rPr>
                                    <w:t>Andrew S. Levine</w:t>
                                    <w:br/>
                                  </w:r>
                                  <w:r>
                                    <w:rPr>
                                      <w:rFonts w:ascii="Arial" w:hAnsi="Arial"/>
                                      <w:sz w:val="20"/>
                                    </w:rPr>
                                    <w:t>Secretary</w:t>
                                    <w:br/>
                                    <w:t xml:space="preserve">New York, New York </w:t>
                                    <w:br/>
                                    <w:t>April 21, 2023</w:t>
                                  </w:r>
                                  <w:r>
                                    <w:rPr/>
                                    <w:t xml:space="preserve"> </w:t>
                                  </w:r>
                                </w:p>
                              </w:txbxContent>
                            </wps:txbx>
                            <wps:bodyPr anchor="t" lIns="0" tIns="0" rIns="0" bIns="0">
                              <a:noAutofit/>
                            </wps:bodyPr>
                          </wps:wsp>
                        </a:graphicData>
                      </a:graphic>
                      <wp14:sizeRelH relativeFrom="margin">
                        <wp14:pctWidth>40000</wp14:pctWidth>
                      </wp14:sizeRelH>
                    </wp:anchor>
                  </w:drawing>
                </mc:Choice>
                <mc:Fallback>
                  <w:pict>
                    <v:rect style="position:absolute;rotation:0;width:107.35pt;height:7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drawing>
                                <wp:inline distT="0" distB="0" distL="0" distR="0">
                                  <wp:extent cx="923925" cy="295275"/>
                                  <wp:effectExtent l="0" t="0" r="0" b="0"/>
                                  <wp:docPr id="8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5" descr=""/>
                                          <pic:cNvPicPr>
                                            <a:picLocks noChangeAspect="1" noChangeArrowheads="1"/>
                                          </pic:cNvPicPr>
                                        </pic:nvPicPr>
                                        <pic:blipFill>
                                          <a:blip r:embed="rId66"/>
                                          <a:srcRect l="-1091" t="-3414" r="-1091" b="-3414"/>
                                          <a:stretch>
                                            <a:fillRect/>
                                          </a:stretch>
                                        </pic:blipFill>
                                        <pic:spPr bwMode="auto">
                                          <a:xfrm>
                                            <a:off x="0" y="0"/>
                                            <a:ext cx="923925" cy="295275"/>
                                          </a:xfrm>
                                          <a:prstGeom prst="rect">
                                            <a:avLst/>
                                          </a:prstGeom>
                                          <a:ln w="635">
                                            <a:solidFill>
                                              <a:srgbClr val="000000"/>
                                            </a:solidFill>
                                          </a:ln>
                                        </pic:spPr>
                                      </pic:pic>
                                    </a:graphicData>
                                  </a:graphic>
                                </wp:inline>
                              </w:drawing>
                            </w:r>
                            <w:r>
                              <w:rPr/>
                              <w:br/>
                            </w:r>
                            <w:r>
                              <w:rPr>
                                <w:rStyle w:val="StrongEmphasis"/>
                                <w:rFonts w:ascii="Arial" w:hAnsi="Arial"/>
                                <w:sz w:val="20"/>
                              </w:rPr>
                              <w:t>Andrew S. Levine</w:t>
                              <w:br/>
                            </w:r>
                            <w:r>
                              <w:rPr>
                                <w:rFonts w:ascii="Arial" w:hAnsi="Arial"/>
                                <w:sz w:val="20"/>
                              </w:rPr>
                              <w:t>Secretary</w:t>
                              <w:br/>
                              <w:t xml:space="preserve">New York, New York </w:t>
                              <w:br/>
                              <w:t>April 21, 2023</w:t>
                            </w:r>
                            <w:r>
                              <w:rPr/>
                              <w:t xml:space="preserve"> </w:t>
                            </w:r>
                          </w:p>
                        </w:txbxContent>
                      </v:textbox>
                      <w10:wrap type="square" side="right"/>
                    </v:rect>
                  </w:pict>
                </mc:Fallback>
              </mc:AlternateContent>
            </w:r>
          </w:p>
        </w:tc>
        <w:tc>
          <w:tcPr>
            <w:tcW w:w="4837" w:type="dxa"/>
            <w:gridSpan w:val="4"/>
            <w:tcBorders>
              <w:left w:val="single" w:sz="8" w:space="0" w:color="8EAD3C"/>
            </w:tcBorders>
            <w:shd w:fill="auto" w:val="clear"/>
            <w:tcMar>
              <w:left w:w="120" w:type="dxa"/>
            </w:tcMar>
            <w:vAlign w:val="center"/>
          </w:tcPr>
          <w:p>
            <w:pPr>
              <w:pStyle w:val="TableContents"/>
              <w:spacing w:before="0" w:after="0"/>
              <w:jc w:val="left"/>
              <w:rPr/>
            </w:pPr>
            <w:r>
              <w:rPr>
                <w:rStyle w:val="StrongEmphasis"/>
                <w:rFonts w:ascii="Arial" w:hAnsi="Arial"/>
                <w:color w:val="8EAD3C"/>
                <w:sz w:val="22"/>
              </w:rPr>
              <w:t>Voting</w:t>
            </w:r>
          </w:p>
          <w:p>
            <w:pPr>
              <w:pStyle w:val="TableContents"/>
              <w:spacing w:before="0" w:after="283"/>
              <w:jc w:val="left"/>
              <w:rPr>
                <w:rFonts w:ascii="Arial" w:hAnsi="Arial"/>
                <w:sz w:val="20"/>
              </w:rPr>
            </w:pPr>
            <w:r>
              <w:rPr>
                <w:rFonts w:ascii="Arial" w:hAnsi="Arial"/>
                <w:sz w:val="20"/>
              </w:rPr>
              <w:t>Your vote is very important to us. Please vote as soon as possible by one of the methods shown below:</w:t>
            </w:r>
          </w:p>
        </w:tc>
      </w:tr>
      <w:tr>
        <w:trPr/>
        <w:tc>
          <w:tcPr>
            <w:tcW w:w="5368" w:type="dxa"/>
            <w:gridSpan w:val="2"/>
            <w:vMerge w:val="continue"/>
            <w:tcBorders/>
            <w:shd w:fill="auto" w:val="clear"/>
            <w:vAlign w:val="center"/>
          </w:tcPr>
          <w:p>
            <w:pPr>
              <w:pStyle w:val="Normal"/>
              <w:rPr/>
            </w:pPr>
            <w:r>
              <w:rPr/>
            </w:r>
          </w:p>
        </w:tc>
        <w:tc>
          <w:tcPr>
            <w:tcW w:w="710" w:type="dxa"/>
            <w:tcBorders>
              <w:left w:val="single" w:sz="8" w:space="0" w:color="8EAD3C"/>
            </w:tcBorders>
            <w:shd w:fill="auto" w:val="clear"/>
            <w:tcMar>
              <w:left w:w="120" w:type="dxa"/>
            </w:tcMar>
            <w:vAlign w:val="center"/>
          </w:tcPr>
          <w:p>
            <w:pPr>
              <w:pStyle w:val="TableContents"/>
              <w:spacing w:before="0" w:after="283"/>
              <w:jc w:val="left"/>
              <w:rPr/>
            </w:pPr>
            <w:r>
              <w:rPr/>
              <w:drawing>
                <wp:inline distT="0" distB="0" distL="0" distR="0">
                  <wp:extent cx="390525" cy="342900"/>
                  <wp:effectExtent l="0" t="0" r="0" b="0"/>
                  <wp:docPr id="8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6" descr=""/>
                          <pic:cNvPicPr>
                            <a:picLocks noChangeAspect="1" noChangeArrowheads="1"/>
                          </pic:cNvPicPr>
                        </pic:nvPicPr>
                        <pic:blipFill>
                          <a:blip r:embed="rId67"/>
                          <a:srcRect l="-2580" t="-2938" r="-2580" b="-2938"/>
                          <a:stretch>
                            <a:fillRect/>
                          </a:stretch>
                        </pic:blipFill>
                        <pic:spPr bwMode="auto">
                          <a:xfrm>
                            <a:off x="0" y="0"/>
                            <a:ext cx="390525" cy="342900"/>
                          </a:xfrm>
                          <a:prstGeom prst="rect">
                            <a:avLst/>
                          </a:prstGeom>
                          <a:ln w="635">
                            <a:solidFill>
                              <a:srgbClr val="000000"/>
                            </a:solidFill>
                          </a:ln>
                        </pic:spPr>
                      </pic:pic>
                    </a:graphicData>
                  </a:graphic>
                </wp:inline>
              </w:drawing>
            </w:r>
          </w:p>
        </w:tc>
        <w:tc>
          <w:tcPr>
            <w:tcW w:w="2206" w:type="dxa"/>
            <w:tcBorders/>
            <w:shd w:fill="auto" w:val="clear"/>
            <w:vAlign w:val="center"/>
          </w:tcPr>
          <w:p>
            <w:pPr>
              <w:pStyle w:val="TableContents"/>
              <w:spacing w:before="0" w:after="283"/>
              <w:jc w:val="left"/>
              <w:rPr/>
            </w:pPr>
            <w:r>
              <w:rPr>
                <w:rStyle w:val="StrongEmphasis"/>
                <w:rFonts w:ascii="Arial" w:hAnsi="Arial"/>
                <w:color w:val="1A2343"/>
                <w:sz w:val="20"/>
              </w:rPr>
              <w:t>By Internet</w:t>
            </w:r>
            <w:r>
              <w:rPr/>
              <w:br/>
            </w:r>
            <w:r>
              <w:rPr>
                <w:rFonts w:ascii="Arial" w:hAnsi="Arial"/>
                <w:sz w:val="20"/>
              </w:rPr>
              <w:t xml:space="preserve">Visit </w:t>
            </w:r>
            <w:r>
              <w:rPr/>
              <w:br/>
            </w:r>
            <w:r>
              <w:rPr>
                <w:rStyle w:val="StrongEmphasis"/>
                <w:rFonts w:ascii="Arial" w:hAnsi="Arial"/>
                <w:color w:val="1A2343"/>
                <w:sz w:val="20"/>
              </w:rPr>
              <w:t>www.proxyvote.com</w:t>
            </w:r>
          </w:p>
        </w:tc>
        <w:tc>
          <w:tcPr>
            <w:tcW w:w="641" w:type="dxa"/>
            <w:tcBorders/>
            <w:shd w:fill="auto" w:val="clear"/>
            <w:vAlign w:val="center"/>
          </w:tcPr>
          <w:p>
            <w:pPr>
              <w:pStyle w:val="TableContents"/>
              <w:spacing w:before="0" w:after="283"/>
              <w:jc w:val="left"/>
              <w:rPr/>
            </w:pPr>
            <w:r>
              <w:rPr/>
              <w:drawing>
                <wp:inline distT="0" distB="0" distL="0" distR="0">
                  <wp:extent cx="352425" cy="342900"/>
                  <wp:effectExtent l="0" t="0" r="0" b="0"/>
                  <wp:docPr id="8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7" descr=""/>
                          <pic:cNvPicPr>
                            <a:picLocks noChangeAspect="1" noChangeArrowheads="1"/>
                          </pic:cNvPicPr>
                        </pic:nvPicPr>
                        <pic:blipFill>
                          <a:blip r:embed="rId68"/>
                          <a:srcRect l="-2860" t="-2938" r="-2860" b="-2938"/>
                          <a:stretch>
                            <a:fillRect/>
                          </a:stretch>
                        </pic:blipFill>
                        <pic:spPr bwMode="auto">
                          <a:xfrm>
                            <a:off x="0" y="0"/>
                            <a:ext cx="352425" cy="342900"/>
                          </a:xfrm>
                          <a:prstGeom prst="rect">
                            <a:avLst/>
                          </a:prstGeom>
                          <a:ln w="635">
                            <a:solidFill>
                              <a:srgbClr val="000000"/>
                            </a:solidFill>
                          </a:ln>
                        </pic:spPr>
                      </pic:pic>
                    </a:graphicData>
                  </a:graphic>
                </wp:inline>
              </w:drawing>
            </w:r>
          </w:p>
        </w:tc>
        <w:tc>
          <w:tcPr>
            <w:tcW w:w="1280" w:type="dxa"/>
            <w:tcBorders/>
            <w:shd w:fill="auto" w:val="clear"/>
            <w:vAlign w:val="center"/>
          </w:tcPr>
          <w:p>
            <w:pPr>
              <w:pStyle w:val="TableContents"/>
              <w:spacing w:before="0" w:after="283"/>
              <w:jc w:val="left"/>
              <w:rPr/>
            </w:pPr>
            <w:r>
              <w:rPr>
                <w:rStyle w:val="StrongEmphasis"/>
                <w:rFonts w:ascii="Arial" w:hAnsi="Arial"/>
                <w:color w:val="1A2343"/>
                <w:sz w:val="20"/>
              </w:rPr>
              <w:t>By Telephone</w:t>
            </w:r>
            <w:r>
              <w:rPr/>
              <w:br/>
            </w:r>
            <w:r>
              <w:rPr>
                <w:rStyle w:val="StrongEmphasis"/>
                <w:rFonts w:ascii="Arial" w:hAnsi="Arial"/>
                <w:color w:val="1A2343"/>
                <w:sz w:val="20"/>
              </w:rPr>
              <w:t>Call 1-800-454-8683</w:t>
            </w:r>
          </w:p>
        </w:tc>
      </w:tr>
      <w:tr>
        <w:trPr/>
        <w:tc>
          <w:tcPr>
            <w:tcW w:w="5368" w:type="dxa"/>
            <w:gridSpan w:val="2"/>
            <w:vMerge w:val="continue"/>
            <w:tcBorders/>
            <w:shd w:fill="auto" w:val="clear"/>
            <w:vAlign w:val="center"/>
          </w:tcPr>
          <w:p>
            <w:pPr>
              <w:pStyle w:val="Normal"/>
              <w:rPr/>
            </w:pPr>
            <w:r>
              <w:rPr/>
            </w:r>
          </w:p>
        </w:tc>
        <w:tc>
          <w:tcPr>
            <w:tcW w:w="710" w:type="dxa"/>
            <w:tcBorders>
              <w:left w:val="single" w:sz="8" w:space="0" w:color="8EAD3C"/>
            </w:tcBorders>
            <w:shd w:fill="auto" w:val="clear"/>
            <w:tcMar>
              <w:left w:w="120" w:type="dxa"/>
            </w:tcMar>
            <w:vAlign w:val="center"/>
          </w:tcPr>
          <w:p>
            <w:pPr>
              <w:pStyle w:val="TableContents"/>
              <w:spacing w:before="0" w:after="283"/>
              <w:jc w:val="left"/>
              <w:rPr/>
            </w:pPr>
            <w:r>
              <w:rPr/>
              <w:drawing>
                <wp:inline distT="0" distB="0" distL="0" distR="0">
                  <wp:extent cx="352425" cy="361950"/>
                  <wp:effectExtent l="0" t="0" r="0" b="0"/>
                  <wp:docPr id="8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8" descr=""/>
                          <pic:cNvPicPr>
                            <a:picLocks noChangeAspect="1" noChangeArrowheads="1"/>
                          </pic:cNvPicPr>
                        </pic:nvPicPr>
                        <pic:blipFill>
                          <a:blip r:embed="rId69"/>
                          <a:srcRect l="-2860" t="-2786" r="-2860" b="-2786"/>
                          <a:stretch>
                            <a:fillRect/>
                          </a:stretch>
                        </pic:blipFill>
                        <pic:spPr bwMode="auto">
                          <a:xfrm>
                            <a:off x="0" y="0"/>
                            <a:ext cx="352425" cy="361950"/>
                          </a:xfrm>
                          <a:prstGeom prst="rect">
                            <a:avLst/>
                          </a:prstGeom>
                          <a:ln w="635">
                            <a:solidFill>
                              <a:srgbClr val="000000"/>
                            </a:solidFill>
                          </a:ln>
                        </pic:spPr>
                      </pic:pic>
                    </a:graphicData>
                  </a:graphic>
                </wp:inline>
              </w:drawing>
            </w:r>
          </w:p>
        </w:tc>
        <w:tc>
          <w:tcPr>
            <w:tcW w:w="4127" w:type="dxa"/>
            <w:gridSpan w:val="3"/>
            <w:tcBorders/>
            <w:shd w:fill="auto" w:val="clear"/>
            <w:vAlign w:val="center"/>
          </w:tcPr>
          <w:p>
            <w:pPr>
              <w:pStyle w:val="TableContents"/>
              <w:spacing w:before="0" w:after="283"/>
              <w:jc w:val="left"/>
              <w:rPr/>
            </w:pPr>
            <w:r>
              <w:rPr>
                <w:rStyle w:val="StrongEmphasis"/>
                <w:rFonts w:ascii="Arial" w:hAnsi="Arial"/>
                <w:color w:val="1A2343"/>
                <w:sz w:val="20"/>
              </w:rPr>
              <w:t>By Tablet or Smartphone</w:t>
            </w:r>
            <w:r>
              <w:rPr/>
              <w:br/>
            </w:r>
            <w:r>
              <w:rPr>
                <w:rFonts w:ascii="Arial" w:hAnsi="Arial"/>
                <w:sz w:val="20"/>
              </w:rPr>
              <w:t>Scan this QR code to vote with your mobile device</w:t>
            </w:r>
          </w:p>
        </w:tc>
      </w:tr>
      <w:tr>
        <w:trPr/>
        <w:tc>
          <w:tcPr>
            <w:tcW w:w="5368" w:type="dxa"/>
            <w:gridSpan w:val="2"/>
            <w:vMerge w:val="continue"/>
            <w:tcBorders/>
            <w:shd w:fill="auto" w:val="clear"/>
            <w:vAlign w:val="center"/>
          </w:tcPr>
          <w:p>
            <w:pPr>
              <w:pStyle w:val="Normal"/>
              <w:rPr/>
            </w:pPr>
            <w:r>
              <w:rPr/>
            </w:r>
          </w:p>
        </w:tc>
        <w:tc>
          <w:tcPr>
            <w:tcW w:w="4837" w:type="dxa"/>
            <w:gridSpan w:val="4"/>
            <w:tcBorders>
              <w:left w:val="single" w:sz="8" w:space="0" w:color="8EAD3C"/>
            </w:tcBorders>
            <w:shd w:fill="auto" w:val="clear"/>
            <w:tcMar>
              <w:left w:w="120" w:type="dxa"/>
            </w:tcMar>
            <w:vAlign w:val="center"/>
          </w:tcPr>
          <w:p>
            <w:pPr>
              <w:pStyle w:val="TableContents"/>
              <w:spacing w:before="0" w:after="283"/>
              <w:jc w:val="left"/>
              <w:rPr>
                <w:rFonts w:ascii="Arial" w:hAnsi="Arial"/>
                <w:sz w:val="15"/>
              </w:rPr>
            </w:pPr>
            <w:r>
              <w:rPr>
                <w:rFonts w:ascii="Arial" w:hAnsi="Arial"/>
                <w:sz w:val="15"/>
              </w:rPr>
              <w:t>Whether or not you plan to attend the annual meeting, please carefully read the proxy statement and other proxy materials and complete a proxy for your shares as soon as possible. You may authorize your proxy via the Internet or by telephone by following the instructions on the website indicated in the Notice of Internet Availability of Proxy Materials that you received in the mail. You also may request a paper or an e-mail copy of our proxy materials and a paper proxy card at any time. If you attend the annual meeting, you may vote during the annual meeting if you wish, even if you previously have signed and returned your proxy card. You may be asked to present valid picture identification, such as a driver’s license or passport, before being admitted to the annual meeting. To be admitted to the annual meeting, you will be required to present a recent brokerage statement or other evidence of your ownership of our stock as of the record date of the annual meeting. Please note that if your shares are held of record by a bank, broker or other nominee, please follow the instructions you receive from your bank, broker or other nominee to have your shares voted.</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15" w:type="dxa"/>
        <w:jc w:val="left"/>
        <w:tblInd w:w="0" w:type="dxa"/>
        <w:tblCellMar>
          <w:top w:w="0" w:type="dxa"/>
          <w:left w:w="0" w:type="dxa"/>
          <w:bottom w:w="0" w:type="dxa"/>
          <w:right w:w="0" w:type="dxa"/>
        </w:tblCellMar>
      </w:tblPr>
      <w:tblGrid>
        <w:gridCol w:w="155"/>
        <w:gridCol w:w="60"/>
      </w:tblGrid>
      <w:tr>
        <w:trPr/>
        <w:tc>
          <w:tcPr>
            <w:tcW w:w="155"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8</w:t>
            </w:r>
          </w:p>
        </w:tc>
        <w:tc>
          <w:tcPr>
            <w:tcW w:w="60" w:type="dxa"/>
            <w:tcBorders/>
            <w:shd w:fill="auto" w:val="clear"/>
            <w:vAlign w:val="center"/>
          </w:tcPr>
          <w:p>
            <w:pPr>
              <w:pStyle w:val="TableContents"/>
              <w:spacing w:before="0" w:after="283"/>
              <w:jc w:val="left"/>
              <w:rPr/>
            </w:pPr>
            <w:r>
              <w:rPr/>
              <w:t> </w:t>
            </w:r>
          </w:p>
        </w:tc>
      </w:tr>
    </w:tbl>
    <w:p>
      <w:pPr>
        <w:pStyle w:val="TextBody"/>
        <w:spacing w:before="240" w:after="283"/>
        <w:jc w:val="left"/>
        <w:rPr>
          <w:rFonts w:ascii="Arial" w:hAnsi="Arial"/>
          <w:b/>
          <w:color w:val="1A2343"/>
          <w:sz w:val="42"/>
        </w:rPr>
      </w:pPr>
      <w:bookmarkStart w:id="7" w:name="toc"/>
      <w:bookmarkEnd w:id="7"/>
      <w:r>
        <w:rPr>
          <w:rFonts w:ascii="Arial" w:hAnsi="Arial"/>
          <w:b/>
          <w:color w:val="1A2343"/>
          <w:sz w:val="42"/>
        </w:rPr>
        <w:t>TABLE OF CONTENTS</w:t>
      </w: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3110230" cy="9928225"/>
                <wp:effectExtent l="0" t="0" r="0" b="0"/>
                <wp:wrapSquare wrapText="largest"/>
                <wp:docPr id="85" name="Frame7"/>
                <a:graphic xmlns:a="http://schemas.openxmlformats.org/drawingml/2006/main">
                  <a:graphicData uri="http://schemas.microsoft.com/office/word/2010/wordprocessingShape">
                    <wps:wsp>
                      <wps:cNvSpPr txBox="1"/>
                      <wps:spPr>
                        <a:xfrm>
                          <a:off x="0" y="0"/>
                          <a:ext cx="3110230" cy="9928225"/>
                        </a:xfrm>
                        <a:prstGeom prst="rect"/>
                      </wps:spPr>
                      <wps:txbx>
                        <w:txbxContent>
                          <w:tbl>
                            <w:tblPr>
                              <w:tblW w:w="9130" w:type="dxa"/>
                              <w:jc w:val="left"/>
                              <w:tblInd w:w="0" w:type="dxa"/>
                              <w:tblCellMar>
                                <w:top w:w="0" w:type="dxa"/>
                                <w:left w:w="0" w:type="dxa"/>
                                <w:bottom w:w="40" w:type="dxa"/>
                                <w:right w:w="0" w:type="dxa"/>
                              </w:tblCellMar>
                            </w:tblPr>
                            <w:tblGrid>
                              <w:gridCol w:w="8480"/>
                              <w:gridCol w:w="360"/>
                              <w:gridCol w:w="290"/>
                            </w:tblGrid>
                            <w:tr>
                              <w:trPr/>
                              <w:tc>
                                <w:tcPr>
                                  <w:tcW w:w="8840" w:type="dxa"/>
                                  <w:gridSpan w:val="2"/>
                                  <w:tcBorders>
                                    <w:bottom w:val="single" w:sz="8" w:space="0" w:color="8EAD3C"/>
                                  </w:tcBorders>
                                  <w:shd w:fill="auto" w:val="clear"/>
                                  <w:vAlign w:val="center"/>
                                </w:tcPr>
                                <w:p>
                                  <w:pPr>
                                    <w:pStyle w:val="TableContents"/>
                                    <w:spacing w:before="0" w:after="283"/>
                                    <w:jc w:val="left"/>
                                    <w:rPr/>
                                  </w:pPr>
                                  <w:hyperlink w:anchor="LETTERTOSTOCKHOLDERS">
                                    <w:r>
                                      <w:rPr>
                                        <w:rStyle w:val="InternetLink"/>
                                        <w:rFonts w:ascii="Arial" w:hAnsi="Arial"/>
                                        <w:b/>
                                        <w:strike w:val="false"/>
                                        <w:dstrike w:val="false"/>
                                        <w:color w:val="8BA73B"/>
                                        <w:sz w:val="24"/>
                                        <w:u w:val="none"/>
                                        <w:effect w:val="none"/>
                                      </w:rPr>
                                      <w:t>LETTER TO STOCKHOLDERS</w:t>
                                    </w:r>
                                  </w:hyperlink>
                                </w:p>
                              </w:tc>
                              <w:tc>
                                <w:tcPr>
                                  <w:tcW w:w="290" w:type="dxa"/>
                                  <w:tcBorders>
                                    <w:bottom w:val="single" w:sz="8" w:space="0" w:color="8EAD3C"/>
                                  </w:tcBorders>
                                  <w:shd w:fill="auto" w:val="clear"/>
                                  <w:vAlign w:val="center"/>
                                </w:tcPr>
                                <w:p>
                                  <w:pPr>
                                    <w:pStyle w:val="TableContents"/>
                                    <w:spacing w:before="0" w:after="283"/>
                                    <w:rPr>
                                      <w:sz w:val="4"/>
                                      <w:szCs w:val="4"/>
                                    </w:rPr>
                                  </w:pPr>
                                  <w:r>
                                    <w:rPr>
                                      <w:sz w:val="4"/>
                                      <w:szCs w:val="4"/>
                                    </w:rPr>
                                  </w:r>
                                </w:p>
                              </w:tc>
                            </w:tr>
                            <w:tr>
                              <w:trPr/>
                              <w:tc>
                                <w:tcPr>
                                  <w:tcW w:w="8840" w:type="dxa"/>
                                  <w:gridSpan w:val="2"/>
                                  <w:tcBorders/>
                                  <w:shd w:fill="auto" w:val="clear"/>
                                  <w:tcMar>
                                    <w:bottom w:w="0" w:type="dxa"/>
                                  </w:tcMar>
                                  <w:vAlign w:val="center"/>
                                </w:tcPr>
                                <w:p>
                                  <w:pPr>
                                    <w:pStyle w:val="TableContents"/>
                                    <w:spacing w:before="0" w:after="283"/>
                                    <w:jc w:val="left"/>
                                    <w:rPr/>
                                  </w:pPr>
                                  <w:r>
                                    <w:rPr/>
                                    <w:t> </w:t>
                                  </w:r>
                                </w:p>
                              </w:tc>
                              <w:tc>
                                <w:tcPr>
                                  <w:tcW w:w="29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8840" w:type="dxa"/>
                                  <w:gridSpan w:val="2"/>
                                  <w:tcBorders>
                                    <w:bottom w:val="single" w:sz="8" w:space="0" w:color="8EAD3C"/>
                                  </w:tcBorders>
                                  <w:shd w:fill="auto" w:val="clear"/>
                                  <w:vAlign w:val="center"/>
                                </w:tcPr>
                                <w:p>
                                  <w:pPr>
                                    <w:pStyle w:val="TableContents"/>
                                    <w:spacing w:before="0" w:after="283"/>
                                    <w:jc w:val="left"/>
                                    <w:rPr/>
                                  </w:pPr>
                                  <w:hyperlink w:anchor="pg2023PROXYSTATEMENTHIGHLIGHTS">
                                    <w:r>
                                      <w:rPr>
                                        <w:rStyle w:val="InternetLink"/>
                                        <w:rFonts w:ascii="Arial" w:hAnsi="Arial"/>
                                        <w:b/>
                                        <w:strike w:val="false"/>
                                        <w:dstrike w:val="false"/>
                                        <w:color w:val="8BA73B"/>
                                        <w:sz w:val="24"/>
                                        <w:u w:val="none"/>
                                        <w:effect w:val="none"/>
                                      </w:rPr>
                                      <w:t>2023 PROXY STATEMENT HIGHLIGHTS</w:t>
                                    </w:r>
                                  </w:hyperlink>
                                </w:p>
                              </w:tc>
                              <w:tc>
                                <w:tcPr>
                                  <w:tcW w:w="290" w:type="dxa"/>
                                  <w:tcBorders>
                                    <w:bottom w:val="single" w:sz="8" w:space="0" w:color="8EAD3C"/>
                                  </w:tcBorders>
                                  <w:shd w:fill="auto" w:val="clear"/>
                                  <w:vAlign w:val="center"/>
                                </w:tcPr>
                                <w:p>
                                  <w:pPr>
                                    <w:pStyle w:val="TableContents"/>
                                    <w:spacing w:before="0" w:after="283"/>
                                    <w:jc w:val="right"/>
                                    <w:rPr/>
                                  </w:pPr>
                                  <w:hyperlink w:anchor="pg2023PROXYSTATEMENTHIGHLIGHTS">
                                    <w:r>
                                      <w:rPr>
                                        <w:rStyle w:val="InternetLink"/>
                                        <w:rFonts w:ascii="Arial" w:hAnsi="Arial"/>
                                        <w:b/>
                                        <w:strike w:val="false"/>
                                        <w:dstrike w:val="false"/>
                                        <w:color w:val="8BA73B"/>
                                        <w:sz w:val="24"/>
                                        <w:u w:val="none"/>
                                        <w:effect w:val="none"/>
                                      </w:rPr>
                                      <w:t>2</w:t>
                                    </w:r>
                                  </w:hyperlink>
                                </w:p>
                              </w:tc>
                            </w:tr>
                            <w:tr>
                              <w:trPr/>
                              <w:tc>
                                <w:tcPr>
                                  <w:tcW w:w="8840" w:type="dxa"/>
                                  <w:gridSpan w:val="2"/>
                                  <w:tcBorders/>
                                  <w:shd w:fill="auto" w:val="clear"/>
                                  <w:tcMar>
                                    <w:bottom w:w="0" w:type="dxa"/>
                                  </w:tcMar>
                                  <w:vAlign w:val="center"/>
                                </w:tcPr>
                                <w:p>
                                  <w:pPr>
                                    <w:pStyle w:val="TableContents"/>
                                    <w:spacing w:before="0" w:after="283"/>
                                    <w:jc w:val="left"/>
                                    <w:rPr/>
                                  </w:pPr>
                                  <w:r>
                                    <w:rPr/>
                                    <w:t> </w:t>
                                  </w:r>
                                </w:p>
                              </w:tc>
                              <w:tc>
                                <w:tcPr>
                                  <w:tcW w:w="29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8840" w:type="dxa"/>
                                  <w:gridSpan w:val="2"/>
                                  <w:tcBorders>
                                    <w:bottom w:val="single" w:sz="8" w:space="0" w:color="8EAD3C"/>
                                  </w:tcBorders>
                                  <w:shd w:fill="auto" w:val="clear"/>
                                  <w:vAlign w:val="center"/>
                                </w:tcPr>
                                <w:p>
                                  <w:pPr>
                                    <w:pStyle w:val="TableContents"/>
                                    <w:spacing w:before="0" w:after="283"/>
                                    <w:jc w:val="left"/>
                                    <w:rPr/>
                                  </w:pPr>
                                  <w:hyperlink w:anchor="pg_NOTICEOFANNUALMEETINGOFSTOCKHOLDERS">
                                    <w:r>
                                      <w:rPr>
                                        <w:rStyle w:val="InternetLink"/>
                                        <w:rFonts w:ascii="Arial" w:hAnsi="Arial"/>
                                        <w:b/>
                                        <w:strike w:val="false"/>
                                        <w:dstrike w:val="false"/>
                                        <w:color w:val="8BA73B"/>
                                        <w:sz w:val="24"/>
                                        <w:u w:val="none"/>
                                        <w:effect w:val="none"/>
                                      </w:rPr>
                                      <w:t>NOTICE OF ANNUAL MEETING OF STOCKHOLDERS</w:t>
                                    </w:r>
                                  </w:hyperlink>
                                </w:p>
                              </w:tc>
                              <w:tc>
                                <w:tcPr>
                                  <w:tcW w:w="290" w:type="dxa"/>
                                  <w:tcBorders>
                                    <w:bottom w:val="single" w:sz="8" w:space="0" w:color="8EAD3C"/>
                                  </w:tcBorders>
                                  <w:shd w:fill="auto" w:val="clear"/>
                                  <w:vAlign w:val="center"/>
                                </w:tcPr>
                                <w:p>
                                  <w:pPr>
                                    <w:pStyle w:val="TableContents"/>
                                    <w:spacing w:before="0" w:after="283"/>
                                    <w:jc w:val="right"/>
                                    <w:rPr/>
                                  </w:pPr>
                                  <w:hyperlink w:anchor="pg_NOTICEOFANNUALMEETINGOFSTOCKHOLDERS">
                                    <w:r>
                                      <w:rPr>
                                        <w:rStyle w:val="InternetLink"/>
                                        <w:rFonts w:ascii="Arial" w:hAnsi="Arial"/>
                                        <w:b/>
                                        <w:strike w:val="false"/>
                                        <w:dstrike w:val="false"/>
                                        <w:color w:val="8BA73B"/>
                                        <w:sz w:val="24"/>
                                        <w:u w:val="none"/>
                                        <w:effect w:val="none"/>
                                      </w:rPr>
                                      <w:t>7</w:t>
                                    </w:r>
                                  </w:hyperlink>
                                </w:p>
                              </w:tc>
                            </w:tr>
                            <w:tr>
                              <w:trPr/>
                              <w:tc>
                                <w:tcPr>
                                  <w:tcW w:w="8840" w:type="dxa"/>
                                  <w:gridSpan w:val="2"/>
                                  <w:tcBorders/>
                                  <w:shd w:fill="auto" w:val="clear"/>
                                  <w:tcMar>
                                    <w:bottom w:w="0" w:type="dxa"/>
                                  </w:tcMar>
                                  <w:vAlign w:val="center"/>
                                </w:tcPr>
                                <w:p>
                                  <w:pPr>
                                    <w:pStyle w:val="TableContents"/>
                                    <w:spacing w:before="0" w:after="283"/>
                                    <w:jc w:val="left"/>
                                    <w:rPr/>
                                  </w:pPr>
                                  <w:r>
                                    <w:rPr/>
                                    <w:t> </w:t>
                                  </w:r>
                                </w:p>
                              </w:tc>
                              <w:tc>
                                <w:tcPr>
                                  <w:tcW w:w="29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8840" w:type="dxa"/>
                                  <w:gridSpan w:val="2"/>
                                  <w:tcBorders>
                                    <w:bottom w:val="single" w:sz="8" w:space="0" w:color="8EAD3C"/>
                                  </w:tcBorders>
                                  <w:shd w:fill="auto" w:val="clear"/>
                                  <w:vAlign w:val="center"/>
                                </w:tcPr>
                                <w:p>
                                  <w:pPr>
                                    <w:pStyle w:val="TableContents"/>
                                    <w:spacing w:before="0" w:after="283"/>
                                    <w:jc w:val="left"/>
                                    <w:rPr/>
                                  </w:pPr>
                                  <w:hyperlink w:anchor="pg_OURBOARDOFDIRECTORSANDCORPORATEGOVERNANCE">
                                    <w:r>
                                      <w:rPr>
                                        <w:rStyle w:val="InternetLink"/>
                                        <w:rFonts w:ascii="Arial" w:hAnsi="Arial"/>
                                        <w:b/>
                                        <w:strike w:val="false"/>
                                        <w:dstrike w:val="false"/>
                                        <w:color w:val="8BA73B"/>
                                        <w:sz w:val="24"/>
                                        <w:u w:val="none"/>
                                        <w:effect w:val="none"/>
                                      </w:rPr>
                                      <w:t>OUR BOARD OF DIRECTORS AND CORPORATE GOVERNANCE</w:t>
                                    </w:r>
                                  </w:hyperlink>
                                </w:p>
                              </w:tc>
                              <w:tc>
                                <w:tcPr>
                                  <w:tcW w:w="290" w:type="dxa"/>
                                  <w:tcBorders>
                                    <w:bottom w:val="single" w:sz="8" w:space="0" w:color="8EAD3C"/>
                                  </w:tcBorders>
                                  <w:shd w:fill="auto" w:val="clear"/>
                                  <w:vAlign w:val="center"/>
                                </w:tcPr>
                                <w:p>
                                  <w:pPr>
                                    <w:pStyle w:val="TableContents"/>
                                    <w:spacing w:before="0" w:after="283"/>
                                    <w:jc w:val="right"/>
                                    <w:rPr/>
                                  </w:pPr>
                                  <w:hyperlink w:anchor="pg_OURBOARDOFDIRECTORSANDCORPORATEGOVERNANCE">
                                    <w:r>
                                      <w:rPr>
                                        <w:rStyle w:val="InternetLink"/>
                                        <w:rFonts w:ascii="Arial" w:hAnsi="Arial"/>
                                        <w:b/>
                                        <w:strike w:val="false"/>
                                        <w:dstrike w:val="false"/>
                                        <w:color w:val="8BA73B"/>
                                        <w:sz w:val="24"/>
                                        <w:u w:val="none"/>
                                        <w:effect w:val="none"/>
                                      </w:rPr>
                                      <w:t>9</w:t>
                                    </w:r>
                                  </w:hyperlink>
                                </w:p>
                              </w:tc>
                            </w:tr>
                            <w:tr>
                              <w:trPr/>
                              <w:tc>
                                <w:tcPr>
                                  <w:tcW w:w="8480" w:type="dxa"/>
                                  <w:tcBorders/>
                                  <w:shd w:fill="F1F5E6" w:val="clear"/>
                                  <w:tcMar>
                                    <w:bottom w:w="0" w:type="dxa"/>
                                  </w:tcMar>
                                  <w:vAlign w:val="center"/>
                                </w:tcPr>
                                <w:p>
                                  <w:pPr>
                                    <w:pStyle w:val="TableContents"/>
                                    <w:spacing w:before="0" w:after="283"/>
                                    <w:jc w:val="left"/>
                                    <w:rPr/>
                                  </w:pPr>
                                  <w:hyperlink w:anchor="pg_Proposal1ElectionofDirectors">
                                    <w:r>
                                      <w:rPr>
                                        <w:rStyle w:val="InternetLink"/>
                                        <w:rFonts w:ascii="Arial" w:hAnsi="Arial"/>
                                        <w:b/>
                                        <w:strike w:val="false"/>
                                        <w:dstrike w:val="false"/>
                                        <w:color w:val="1A2343"/>
                                        <w:sz w:val="20"/>
                                        <w:u w:val="none"/>
                                        <w:effect w:val="none"/>
                                      </w:rPr>
                                      <w:t>Proposal 1: Election of Directors</w:t>
                                    </w:r>
                                  </w:hyperlink>
                                </w:p>
                              </w:tc>
                              <w:tc>
                                <w:tcPr>
                                  <w:tcW w:w="360" w:type="dxa"/>
                                  <w:tcBorders/>
                                  <w:shd w:fill="F1F5E6" w:val="clear"/>
                                  <w:tcMar>
                                    <w:bottom w:w="0" w:type="dxa"/>
                                  </w:tcMar>
                                  <w:vAlign w:val="center"/>
                                </w:tcPr>
                                <w:p>
                                  <w:pPr>
                                    <w:pStyle w:val="TableContents"/>
                                    <w:spacing w:before="0" w:after="283"/>
                                    <w:jc w:val="left"/>
                                    <w:rPr/>
                                  </w:pPr>
                                  <w:r>
                                    <w:rPr/>
                                    <w:drawing>
                                      <wp:inline distT="0" distB="0" distL="0" distR="0">
                                        <wp:extent cx="228600" cy="228600"/>
                                        <wp:effectExtent l="0" t="0" r="0" b="0"/>
                                        <wp:docPr id="8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9" descr=""/>
                                                <pic:cNvPicPr>
                                                  <a:picLocks noChangeAspect="1" noChangeArrowheads="1"/>
                                                </pic:cNvPicPr>
                                              </pic:nvPicPr>
                                              <pic:blipFill>
                                                <a:blip r:embed="rId70"/>
                                                <a:srcRect l="-4409" t="-4409" r="-4409" b="-4409"/>
                                                <a:stretch>
                                                  <a:fillRect/>
                                                </a:stretch>
                                              </pic:blipFill>
                                              <pic:spPr bwMode="auto">
                                                <a:xfrm>
                                                  <a:off x="0" y="0"/>
                                                  <a:ext cx="228600" cy="228600"/>
                                                </a:xfrm>
                                                <a:prstGeom prst="rect">
                                                  <a:avLst/>
                                                </a:prstGeom>
                                                <a:ln w="635">
                                                  <a:solidFill>
                                                    <a:srgbClr val="000000"/>
                                                  </a:solidFill>
                                                </a:ln>
                                              </pic:spPr>
                                            </pic:pic>
                                          </a:graphicData>
                                        </a:graphic>
                                      </wp:inline>
                                    </w:drawing>
                                  </w:r>
                                </w:p>
                              </w:tc>
                              <w:tc>
                                <w:tcPr>
                                  <w:tcW w:w="290" w:type="dxa"/>
                                  <w:tcBorders/>
                                  <w:shd w:fill="F1F5E6" w:val="clear"/>
                                  <w:tcMar>
                                    <w:bottom w:w="0" w:type="dxa"/>
                                  </w:tcMar>
                                  <w:vAlign w:val="center"/>
                                </w:tcPr>
                                <w:p>
                                  <w:pPr>
                                    <w:pStyle w:val="TableContents"/>
                                    <w:spacing w:before="0" w:after="283"/>
                                    <w:jc w:val="right"/>
                                    <w:rPr/>
                                  </w:pPr>
                                  <w:hyperlink w:anchor="pg_Proposal1ElectionofDirectors">
                                    <w:r>
                                      <w:rPr>
                                        <w:rStyle w:val="InternetLink"/>
                                        <w:rFonts w:ascii="Arial" w:hAnsi="Arial"/>
                                        <w:b/>
                                        <w:strike w:val="false"/>
                                        <w:dstrike w:val="false"/>
                                        <w:color w:val="1A2343"/>
                                        <w:sz w:val="20"/>
                                        <w:u w:val="none"/>
                                        <w:effect w:val="none"/>
                                      </w:rPr>
                                      <w:t>9</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InformationRegardingtheDirectorNominees">
                                    <w:r>
                                      <w:rPr>
                                        <w:rStyle w:val="InternetLink"/>
                                        <w:rFonts w:ascii="Arial" w:hAnsi="Arial"/>
                                        <w:b/>
                                        <w:strike w:val="false"/>
                                        <w:dstrike w:val="false"/>
                                        <w:color w:val="1A2343"/>
                                        <w:sz w:val="20"/>
                                        <w:u w:val="none"/>
                                        <w:effect w:val="none"/>
                                      </w:rPr>
                                      <w:t>Information Regarding the Director Nominees</w:t>
                                    </w:r>
                                  </w:hyperlink>
                                </w:p>
                              </w:tc>
                              <w:tc>
                                <w:tcPr>
                                  <w:tcW w:w="290" w:type="dxa"/>
                                  <w:tcBorders/>
                                  <w:shd w:fill="auto" w:val="clear"/>
                                  <w:tcMar>
                                    <w:bottom w:w="0" w:type="dxa"/>
                                  </w:tcMar>
                                  <w:vAlign w:val="center"/>
                                </w:tcPr>
                                <w:p>
                                  <w:pPr>
                                    <w:pStyle w:val="TableContents"/>
                                    <w:spacing w:before="0" w:after="283"/>
                                    <w:jc w:val="right"/>
                                    <w:rPr/>
                                  </w:pPr>
                                  <w:hyperlink w:anchor="pg_InformationRegardingtheDirectorNominees">
                                    <w:r>
                                      <w:rPr>
                                        <w:rStyle w:val="InternetLink"/>
                                        <w:rFonts w:ascii="Arial" w:hAnsi="Arial"/>
                                        <w:b/>
                                        <w:strike w:val="false"/>
                                        <w:dstrike w:val="false"/>
                                        <w:color w:val="1A2343"/>
                                        <w:sz w:val="20"/>
                                        <w:u w:val="none"/>
                                        <w:effect w:val="none"/>
                                      </w:rPr>
                                      <w:t>10</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BoardStructureandIndependence">
                                    <w:r>
                                      <w:rPr>
                                        <w:rStyle w:val="InternetLink"/>
                                        <w:rFonts w:ascii="Arial" w:hAnsi="Arial"/>
                                        <w:b/>
                                        <w:strike w:val="false"/>
                                        <w:dstrike w:val="false"/>
                                        <w:color w:val="1A2343"/>
                                        <w:sz w:val="20"/>
                                        <w:u w:val="none"/>
                                        <w:effect w:val="none"/>
                                      </w:rPr>
                                      <w:t>Board Structure and Independence</w:t>
                                    </w:r>
                                  </w:hyperlink>
                                </w:p>
                              </w:tc>
                              <w:tc>
                                <w:tcPr>
                                  <w:tcW w:w="290" w:type="dxa"/>
                                  <w:tcBorders/>
                                  <w:shd w:fill="auto" w:val="clear"/>
                                  <w:tcMar>
                                    <w:bottom w:w="0" w:type="dxa"/>
                                  </w:tcMar>
                                  <w:vAlign w:val="center"/>
                                </w:tcPr>
                                <w:p>
                                  <w:pPr>
                                    <w:pStyle w:val="TableContents"/>
                                    <w:spacing w:before="0" w:after="283"/>
                                    <w:jc w:val="right"/>
                                    <w:rPr/>
                                  </w:pPr>
                                  <w:hyperlink w:anchor="pg_BoardStructureandIndependence">
                                    <w:r>
                                      <w:rPr>
                                        <w:rStyle w:val="InternetLink"/>
                                        <w:rFonts w:ascii="Arial" w:hAnsi="Arial"/>
                                        <w:b/>
                                        <w:strike w:val="false"/>
                                        <w:dstrike w:val="false"/>
                                        <w:color w:val="1A2343"/>
                                        <w:sz w:val="20"/>
                                        <w:u w:val="none"/>
                                        <w:effect w:val="none"/>
                                      </w:rPr>
                                      <w:t>23</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BoardCommittees">
                                    <w:r>
                                      <w:rPr>
                                        <w:rStyle w:val="InternetLink"/>
                                        <w:rFonts w:ascii="Arial" w:hAnsi="Arial"/>
                                        <w:b/>
                                        <w:strike w:val="false"/>
                                        <w:dstrike w:val="false"/>
                                        <w:color w:val="1A2343"/>
                                        <w:sz w:val="20"/>
                                        <w:u w:val="none"/>
                                        <w:effect w:val="none"/>
                                      </w:rPr>
                                      <w:t>Board Committees</w:t>
                                    </w:r>
                                  </w:hyperlink>
                                </w:p>
                              </w:tc>
                              <w:tc>
                                <w:tcPr>
                                  <w:tcW w:w="290" w:type="dxa"/>
                                  <w:tcBorders/>
                                  <w:shd w:fill="auto" w:val="clear"/>
                                  <w:tcMar>
                                    <w:bottom w:w="0" w:type="dxa"/>
                                  </w:tcMar>
                                  <w:vAlign w:val="center"/>
                                </w:tcPr>
                                <w:p>
                                  <w:pPr>
                                    <w:pStyle w:val="TableContents"/>
                                    <w:spacing w:before="0" w:after="283"/>
                                    <w:jc w:val="right"/>
                                    <w:rPr/>
                                  </w:pPr>
                                  <w:hyperlink w:anchor="pg_BoardCommittees">
                                    <w:r>
                                      <w:rPr>
                                        <w:rStyle w:val="InternetLink"/>
                                        <w:rFonts w:ascii="Arial" w:hAnsi="Arial"/>
                                        <w:b/>
                                        <w:strike w:val="false"/>
                                        <w:dstrike w:val="false"/>
                                        <w:color w:val="1A2343"/>
                                        <w:sz w:val="20"/>
                                        <w:u w:val="none"/>
                                        <w:effect w:val="none"/>
                                      </w:rPr>
                                      <w:t>25</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CorporateGovernance">
                                    <w:r>
                                      <w:rPr>
                                        <w:rStyle w:val="InternetLink"/>
                                        <w:rFonts w:ascii="Arial" w:hAnsi="Arial"/>
                                        <w:b/>
                                        <w:strike w:val="false"/>
                                        <w:dstrike w:val="false"/>
                                        <w:color w:val="1A2343"/>
                                        <w:sz w:val="20"/>
                                        <w:u w:val="none"/>
                                        <w:effect w:val="none"/>
                                      </w:rPr>
                                      <w:t>Corporate Governance</w:t>
                                    </w:r>
                                  </w:hyperlink>
                                </w:p>
                              </w:tc>
                              <w:tc>
                                <w:tcPr>
                                  <w:tcW w:w="290" w:type="dxa"/>
                                  <w:tcBorders/>
                                  <w:shd w:fill="auto" w:val="clear"/>
                                  <w:tcMar>
                                    <w:bottom w:w="0" w:type="dxa"/>
                                  </w:tcMar>
                                  <w:vAlign w:val="center"/>
                                </w:tcPr>
                                <w:p>
                                  <w:pPr>
                                    <w:pStyle w:val="TableContents"/>
                                    <w:spacing w:before="0" w:after="283"/>
                                    <w:jc w:val="right"/>
                                    <w:rPr/>
                                  </w:pPr>
                                  <w:hyperlink w:anchor="pg_CorporateGovernance">
                                    <w:r>
                                      <w:rPr>
                                        <w:rStyle w:val="InternetLink"/>
                                        <w:rFonts w:ascii="Arial" w:hAnsi="Arial"/>
                                        <w:b/>
                                        <w:strike w:val="false"/>
                                        <w:dstrike w:val="false"/>
                                        <w:color w:val="1A2343"/>
                                        <w:sz w:val="20"/>
                                        <w:u w:val="none"/>
                                        <w:effect w:val="none"/>
                                      </w:rPr>
                                      <w:t>29</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DirectorCompensation">
                                    <w:r>
                                      <w:rPr>
                                        <w:rStyle w:val="InternetLink"/>
                                        <w:rFonts w:ascii="Arial" w:hAnsi="Arial"/>
                                        <w:b/>
                                        <w:strike w:val="false"/>
                                        <w:dstrike w:val="false"/>
                                        <w:color w:val="1A2343"/>
                                        <w:sz w:val="20"/>
                                        <w:u w:val="none"/>
                                        <w:effect w:val="none"/>
                                      </w:rPr>
                                      <w:t>Director Compensation</w:t>
                                    </w:r>
                                  </w:hyperlink>
                                </w:p>
                              </w:tc>
                              <w:tc>
                                <w:tcPr>
                                  <w:tcW w:w="290" w:type="dxa"/>
                                  <w:tcBorders/>
                                  <w:shd w:fill="auto" w:val="clear"/>
                                  <w:tcMar>
                                    <w:bottom w:w="0" w:type="dxa"/>
                                  </w:tcMar>
                                  <w:vAlign w:val="center"/>
                                </w:tcPr>
                                <w:p>
                                  <w:pPr>
                                    <w:pStyle w:val="TableContents"/>
                                    <w:spacing w:before="0" w:after="283"/>
                                    <w:jc w:val="right"/>
                                    <w:rPr/>
                                  </w:pPr>
                                  <w:hyperlink w:anchor="pg_DirectorCompensation">
                                    <w:r>
                                      <w:rPr>
                                        <w:rStyle w:val="InternetLink"/>
                                        <w:rFonts w:ascii="Arial" w:hAnsi="Arial"/>
                                        <w:b/>
                                        <w:strike w:val="false"/>
                                        <w:dstrike w:val="false"/>
                                        <w:color w:val="1A2343"/>
                                        <w:sz w:val="20"/>
                                        <w:u w:val="none"/>
                                        <w:effect w:val="none"/>
                                      </w:rPr>
                                      <w:t>38</w:t>
                                    </w:r>
                                  </w:hyperlink>
                                </w:p>
                              </w:tc>
                            </w:tr>
                            <w:tr>
                              <w:trPr/>
                              <w:tc>
                                <w:tcPr>
                                  <w:tcW w:w="8840" w:type="dxa"/>
                                  <w:gridSpan w:val="2"/>
                                  <w:tcBorders/>
                                  <w:shd w:fill="auto" w:val="clear"/>
                                  <w:tcMar>
                                    <w:bottom w:w="0" w:type="dxa"/>
                                  </w:tcMar>
                                  <w:vAlign w:val="center"/>
                                </w:tcPr>
                                <w:p>
                                  <w:pPr>
                                    <w:pStyle w:val="TableContents"/>
                                    <w:spacing w:before="0" w:after="283"/>
                                    <w:jc w:val="left"/>
                                    <w:rPr/>
                                  </w:pPr>
                                  <w:r>
                                    <w:rPr/>
                                    <w:t> </w:t>
                                  </w:r>
                                </w:p>
                              </w:tc>
                              <w:tc>
                                <w:tcPr>
                                  <w:tcW w:w="29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8840" w:type="dxa"/>
                                  <w:gridSpan w:val="2"/>
                                  <w:tcBorders>
                                    <w:bottom w:val="single" w:sz="8" w:space="0" w:color="8EAD3C"/>
                                  </w:tcBorders>
                                  <w:shd w:fill="auto" w:val="clear"/>
                                  <w:vAlign w:val="center"/>
                                </w:tcPr>
                                <w:p>
                                  <w:pPr>
                                    <w:pStyle w:val="TableContents"/>
                                    <w:spacing w:before="0" w:after="283"/>
                                    <w:jc w:val="left"/>
                                    <w:rPr/>
                                  </w:pPr>
                                  <w:hyperlink w:anchor="pg_EXECUTIVEOFFICERS">
                                    <w:r>
                                      <w:rPr>
                                        <w:rStyle w:val="InternetLink"/>
                                        <w:rFonts w:ascii="Arial" w:hAnsi="Arial"/>
                                        <w:b/>
                                        <w:strike w:val="false"/>
                                        <w:dstrike w:val="false"/>
                                        <w:color w:val="8BA73B"/>
                                        <w:sz w:val="24"/>
                                        <w:u w:val="none"/>
                                        <w:effect w:val="none"/>
                                      </w:rPr>
                                      <w:t>EXECUTIVE OFFICERS</w:t>
                                    </w:r>
                                  </w:hyperlink>
                                </w:p>
                              </w:tc>
                              <w:tc>
                                <w:tcPr>
                                  <w:tcW w:w="290" w:type="dxa"/>
                                  <w:tcBorders>
                                    <w:bottom w:val="single" w:sz="8" w:space="0" w:color="8EAD3C"/>
                                  </w:tcBorders>
                                  <w:shd w:fill="auto" w:val="clear"/>
                                  <w:vAlign w:val="center"/>
                                </w:tcPr>
                                <w:p>
                                  <w:pPr>
                                    <w:pStyle w:val="TableContents"/>
                                    <w:spacing w:before="0" w:after="283"/>
                                    <w:jc w:val="right"/>
                                    <w:rPr/>
                                  </w:pPr>
                                  <w:hyperlink w:anchor="pg_EXECUTIVEOFFICERS">
                                    <w:r>
                                      <w:rPr>
                                        <w:rStyle w:val="InternetLink"/>
                                        <w:rFonts w:ascii="Arial" w:hAnsi="Arial"/>
                                        <w:b/>
                                        <w:strike w:val="false"/>
                                        <w:dstrike w:val="false"/>
                                        <w:color w:val="8BA73B"/>
                                        <w:sz w:val="24"/>
                                        <w:u w:val="none"/>
                                        <w:effect w:val="none"/>
                                      </w:rPr>
                                      <w:t>40</w:t>
                                    </w:r>
                                  </w:hyperlink>
                                </w:p>
                              </w:tc>
                            </w:tr>
                            <w:tr>
                              <w:trPr/>
                              <w:tc>
                                <w:tcPr>
                                  <w:tcW w:w="8840" w:type="dxa"/>
                                  <w:gridSpan w:val="2"/>
                                  <w:tcBorders/>
                                  <w:shd w:fill="auto" w:val="clear"/>
                                  <w:tcMar>
                                    <w:bottom w:w="0" w:type="dxa"/>
                                  </w:tcMar>
                                  <w:vAlign w:val="center"/>
                                </w:tcPr>
                                <w:p>
                                  <w:pPr>
                                    <w:pStyle w:val="TableContents"/>
                                    <w:spacing w:before="0" w:after="283"/>
                                    <w:jc w:val="left"/>
                                    <w:rPr/>
                                  </w:pPr>
                                  <w:r>
                                    <w:rPr/>
                                    <w:t> </w:t>
                                  </w:r>
                                </w:p>
                              </w:tc>
                              <w:tc>
                                <w:tcPr>
                                  <w:tcW w:w="29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8840" w:type="dxa"/>
                                  <w:gridSpan w:val="2"/>
                                  <w:tcBorders>
                                    <w:bottom w:val="single" w:sz="8" w:space="0" w:color="8EAD3C"/>
                                  </w:tcBorders>
                                  <w:shd w:fill="auto" w:val="clear"/>
                                  <w:vAlign w:val="center"/>
                                </w:tcPr>
                                <w:p>
                                  <w:pPr>
                                    <w:pStyle w:val="TableContents"/>
                                    <w:spacing w:before="0" w:after="283"/>
                                    <w:jc w:val="left"/>
                                    <w:rPr/>
                                  </w:pPr>
                                  <w:hyperlink w:anchor="pg_EXECUTIVECOMPENSATION">
                                    <w:r>
                                      <w:rPr>
                                        <w:rStyle w:val="InternetLink"/>
                                        <w:rFonts w:ascii="Arial" w:hAnsi="Arial"/>
                                        <w:b/>
                                        <w:strike w:val="false"/>
                                        <w:dstrike w:val="false"/>
                                        <w:color w:val="8BA73B"/>
                                        <w:sz w:val="24"/>
                                        <w:u w:val="none"/>
                                        <w:effect w:val="none"/>
                                      </w:rPr>
                                      <w:t>EXECUTIVE COMPENSATION</w:t>
                                    </w:r>
                                  </w:hyperlink>
                                </w:p>
                              </w:tc>
                              <w:tc>
                                <w:tcPr>
                                  <w:tcW w:w="290" w:type="dxa"/>
                                  <w:tcBorders>
                                    <w:bottom w:val="single" w:sz="8" w:space="0" w:color="8EAD3C"/>
                                  </w:tcBorders>
                                  <w:shd w:fill="auto" w:val="clear"/>
                                  <w:vAlign w:val="center"/>
                                </w:tcPr>
                                <w:p>
                                  <w:pPr>
                                    <w:pStyle w:val="TableContents"/>
                                    <w:spacing w:before="0" w:after="283"/>
                                    <w:jc w:val="right"/>
                                    <w:rPr/>
                                  </w:pPr>
                                  <w:hyperlink w:anchor="pg_EXECUTIVECOMPENSATION">
                                    <w:r>
                                      <w:rPr>
                                        <w:rStyle w:val="InternetLink"/>
                                        <w:rFonts w:ascii="Arial" w:hAnsi="Arial"/>
                                        <w:b/>
                                        <w:strike w:val="false"/>
                                        <w:dstrike w:val="false"/>
                                        <w:color w:val="8BA73B"/>
                                        <w:sz w:val="24"/>
                                        <w:u w:val="none"/>
                                        <w:effect w:val="none"/>
                                      </w:rPr>
                                      <w:t>41</w:t>
                                    </w:r>
                                  </w:hyperlink>
                                </w:p>
                              </w:tc>
                            </w:tr>
                            <w:tr>
                              <w:trPr/>
                              <w:tc>
                                <w:tcPr>
                                  <w:tcW w:w="8480" w:type="dxa"/>
                                  <w:tcBorders/>
                                  <w:shd w:fill="F1F5E6" w:val="clear"/>
                                  <w:tcMar>
                                    <w:bottom w:w="0" w:type="dxa"/>
                                  </w:tcMar>
                                  <w:vAlign w:val="center"/>
                                </w:tcPr>
                                <w:p>
                                  <w:pPr>
                                    <w:pStyle w:val="TableContents"/>
                                    <w:spacing w:before="0" w:after="283"/>
                                    <w:jc w:val="left"/>
                                    <w:rPr/>
                                  </w:pPr>
                                  <w:hyperlink w:anchor="pg_Proposal2AdvisoryVoteontheCompensationofourNamedExecutiveOfficers">
                                    <w:r>
                                      <w:rPr>
                                        <w:rStyle w:val="InternetLink"/>
                                        <w:rFonts w:ascii="Arial" w:hAnsi="Arial"/>
                                        <w:b/>
                                        <w:strike w:val="false"/>
                                        <w:dstrike w:val="false"/>
                                        <w:color w:val="1A2343"/>
                                        <w:sz w:val="20"/>
                                        <w:u w:val="none"/>
                                        <w:effect w:val="none"/>
                                      </w:rPr>
                                      <w:t>Proposal 2: Advisory Vote on the Compensation of our Named Executive Officers</w:t>
                                    </w:r>
                                  </w:hyperlink>
                                </w:p>
                              </w:tc>
                              <w:tc>
                                <w:tcPr>
                                  <w:tcW w:w="360" w:type="dxa"/>
                                  <w:tcBorders/>
                                  <w:shd w:fill="F1F5E6" w:val="clear"/>
                                  <w:tcMar>
                                    <w:bottom w:w="0" w:type="dxa"/>
                                  </w:tcMar>
                                  <w:vAlign w:val="center"/>
                                </w:tcPr>
                                <w:p>
                                  <w:pPr>
                                    <w:pStyle w:val="TableContents"/>
                                    <w:spacing w:before="0" w:after="283"/>
                                    <w:jc w:val="left"/>
                                    <w:rPr/>
                                  </w:pPr>
                                  <w:r>
                                    <w:rPr/>
                                    <w:drawing>
                                      <wp:inline distT="0" distB="0" distL="0" distR="0">
                                        <wp:extent cx="228600" cy="228600"/>
                                        <wp:effectExtent l="0" t="0" r="0" b="0"/>
                                        <wp:docPr id="8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0" descr=""/>
                                                <pic:cNvPicPr>
                                                  <a:picLocks noChangeAspect="1" noChangeArrowheads="1"/>
                                                </pic:cNvPicPr>
                                              </pic:nvPicPr>
                                              <pic:blipFill>
                                                <a:blip r:embed="rId71"/>
                                                <a:srcRect l="-4409" t="-4409" r="-4409" b="-4409"/>
                                                <a:stretch>
                                                  <a:fillRect/>
                                                </a:stretch>
                                              </pic:blipFill>
                                              <pic:spPr bwMode="auto">
                                                <a:xfrm>
                                                  <a:off x="0" y="0"/>
                                                  <a:ext cx="228600" cy="228600"/>
                                                </a:xfrm>
                                                <a:prstGeom prst="rect">
                                                  <a:avLst/>
                                                </a:prstGeom>
                                                <a:ln w="635">
                                                  <a:solidFill>
                                                    <a:srgbClr val="000000"/>
                                                  </a:solidFill>
                                                </a:ln>
                                              </pic:spPr>
                                            </pic:pic>
                                          </a:graphicData>
                                        </a:graphic>
                                      </wp:inline>
                                    </w:drawing>
                                  </w:r>
                                </w:p>
                              </w:tc>
                              <w:tc>
                                <w:tcPr>
                                  <w:tcW w:w="290" w:type="dxa"/>
                                  <w:tcBorders/>
                                  <w:shd w:fill="F1F5E6" w:val="clear"/>
                                  <w:tcMar>
                                    <w:bottom w:w="0" w:type="dxa"/>
                                  </w:tcMar>
                                  <w:vAlign w:val="center"/>
                                </w:tcPr>
                                <w:p>
                                  <w:pPr>
                                    <w:pStyle w:val="TableContents"/>
                                    <w:spacing w:before="0" w:after="283"/>
                                    <w:jc w:val="right"/>
                                    <w:rPr/>
                                  </w:pPr>
                                  <w:hyperlink w:anchor="pg_Proposal2AdvisoryVoteontheCompensationofourNamedExecutiveOfficers">
                                    <w:r>
                                      <w:rPr>
                                        <w:rStyle w:val="InternetLink"/>
                                        <w:rFonts w:ascii="Arial" w:hAnsi="Arial"/>
                                        <w:b/>
                                        <w:strike w:val="false"/>
                                        <w:dstrike w:val="false"/>
                                        <w:color w:val="1A2343"/>
                                        <w:sz w:val="20"/>
                                        <w:u w:val="none"/>
                                        <w:effect w:val="none"/>
                                      </w:rPr>
                                      <w:t>41</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CompensationDiscussionandAnalysis">
                                    <w:r>
                                      <w:rPr>
                                        <w:rStyle w:val="InternetLink"/>
                                        <w:rFonts w:ascii="Arial" w:hAnsi="Arial"/>
                                        <w:b/>
                                        <w:strike w:val="false"/>
                                        <w:dstrike w:val="false"/>
                                        <w:color w:val="1A2343"/>
                                        <w:sz w:val="20"/>
                                        <w:u w:val="none"/>
                                        <w:effect w:val="none"/>
                                      </w:rPr>
                                      <w:t>Compensation Discussion and Analysis</w:t>
                                    </w:r>
                                  </w:hyperlink>
                                </w:p>
                              </w:tc>
                              <w:tc>
                                <w:tcPr>
                                  <w:tcW w:w="290" w:type="dxa"/>
                                  <w:tcBorders/>
                                  <w:shd w:fill="auto" w:val="clear"/>
                                  <w:tcMar>
                                    <w:bottom w:w="0" w:type="dxa"/>
                                  </w:tcMar>
                                  <w:vAlign w:val="center"/>
                                </w:tcPr>
                                <w:p>
                                  <w:pPr>
                                    <w:pStyle w:val="TableContents"/>
                                    <w:spacing w:before="0" w:after="283"/>
                                    <w:jc w:val="right"/>
                                    <w:rPr/>
                                  </w:pPr>
                                  <w:hyperlink w:anchor="pg_CompensationDiscussionandAnalysis">
                                    <w:r>
                                      <w:rPr>
                                        <w:rStyle w:val="InternetLink"/>
                                        <w:rFonts w:ascii="Arial" w:hAnsi="Arial"/>
                                        <w:b/>
                                        <w:strike w:val="false"/>
                                        <w:dstrike w:val="false"/>
                                        <w:color w:val="1A2343"/>
                                        <w:sz w:val="20"/>
                                        <w:u w:val="none"/>
                                        <w:effect w:val="none"/>
                                      </w:rPr>
                                      <w:t>42</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CompensationCommitteeReport">
                                    <w:r>
                                      <w:rPr>
                                        <w:rStyle w:val="InternetLink"/>
                                        <w:rFonts w:ascii="Arial" w:hAnsi="Arial"/>
                                        <w:b/>
                                        <w:strike w:val="false"/>
                                        <w:dstrike w:val="false"/>
                                        <w:color w:val="1A2343"/>
                                        <w:sz w:val="20"/>
                                        <w:u w:val="none"/>
                                        <w:effect w:val="none"/>
                                      </w:rPr>
                                      <w:t>Compensation Committee Report</w:t>
                                    </w:r>
                                  </w:hyperlink>
                                </w:p>
                              </w:tc>
                              <w:tc>
                                <w:tcPr>
                                  <w:tcW w:w="290" w:type="dxa"/>
                                  <w:tcBorders/>
                                  <w:shd w:fill="auto" w:val="clear"/>
                                  <w:tcMar>
                                    <w:bottom w:w="0" w:type="dxa"/>
                                  </w:tcMar>
                                  <w:vAlign w:val="center"/>
                                </w:tcPr>
                                <w:p>
                                  <w:pPr>
                                    <w:pStyle w:val="TableContents"/>
                                    <w:spacing w:before="0" w:after="283"/>
                                    <w:jc w:val="right"/>
                                    <w:rPr/>
                                  </w:pPr>
                                  <w:hyperlink w:anchor="pg_CompensationCommitteeReport">
                                    <w:r>
                                      <w:rPr>
                                        <w:rStyle w:val="InternetLink"/>
                                        <w:rFonts w:ascii="Arial" w:hAnsi="Arial"/>
                                        <w:b/>
                                        <w:strike w:val="false"/>
                                        <w:dstrike w:val="false"/>
                                        <w:color w:val="1A2343"/>
                                        <w:sz w:val="20"/>
                                        <w:u w:val="none"/>
                                        <w:effect w:val="none"/>
                                      </w:rPr>
                                      <w:t>65</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ExecutiveCompensationTables">
                                    <w:r>
                                      <w:rPr>
                                        <w:rStyle w:val="InternetLink"/>
                                        <w:rFonts w:ascii="Arial" w:hAnsi="Arial"/>
                                        <w:b/>
                                        <w:strike w:val="false"/>
                                        <w:dstrike w:val="false"/>
                                        <w:color w:val="1A2343"/>
                                        <w:sz w:val="20"/>
                                        <w:u w:val="none"/>
                                        <w:effect w:val="none"/>
                                      </w:rPr>
                                      <w:t>Executive Compensation Tables</w:t>
                                    </w:r>
                                  </w:hyperlink>
                                </w:p>
                              </w:tc>
                              <w:tc>
                                <w:tcPr>
                                  <w:tcW w:w="290" w:type="dxa"/>
                                  <w:tcBorders/>
                                  <w:shd w:fill="auto" w:val="clear"/>
                                  <w:tcMar>
                                    <w:bottom w:w="0" w:type="dxa"/>
                                  </w:tcMar>
                                  <w:vAlign w:val="center"/>
                                </w:tcPr>
                                <w:p>
                                  <w:pPr>
                                    <w:pStyle w:val="TableContents"/>
                                    <w:spacing w:before="0" w:after="283"/>
                                    <w:jc w:val="right"/>
                                    <w:rPr/>
                                  </w:pPr>
                                  <w:hyperlink w:anchor="pg_ExecutiveCompensationTables">
                                    <w:r>
                                      <w:rPr>
                                        <w:rStyle w:val="InternetLink"/>
                                        <w:rFonts w:ascii="Arial" w:hAnsi="Arial"/>
                                        <w:b/>
                                        <w:strike w:val="false"/>
                                        <w:dstrike w:val="false"/>
                                        <w:color w:val="1A2343"/>
                                        <w:sz w:val="20"/>
                                        <w:u w:val="none"/>
                                        <w:effect w:val="none"/>
                                      </w:rPr>
                                      <w:t>66</w:t>
                                    </w:r>
                                  </w:hyperlink>
                                </w:p>
                              </w:tc>
                            </w:tr>
                            <w:tr>
                              <w:trPr/>
                              <w:tc>
                                <w:tcPr>
                                  <w:tcW w:w="8840"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290" w:type="dxa"/>
                                  <w:tcBorders/>
                                  <w:shd w:fill="auto" w:val="clear"/>
                                  <w:tcMar>
                                    <w:bottom w:w="0" w:type="dxa"/>
                                  </w:tcMar>
                                  <w:vAlign w:val="center"/>
                                </w:tcPr>
                                <w:p>
                                  <w:pPr>
                                    <w:pStyle w:val="TableContents"/>
                                    <w:spacing w:before="0" w:after="283"/>
                                    <w:jc w:val="right"/>
                                    <w:rPr/>
                                  </w:pPr>
                                  <w:r>
                                    <w:rPr/>
                                    <w:t> </w:t>
                                  </w:r>
                                </w:p>
                              </w:tc>
                            </w:tr>
                            <w:tr>
                              <w:trPr/>
                              <w:tc>
                                <w:tcPr>
                                  <w:tcW w:w="8840" w:type="dxa"/>
                                  <w:gridSpan w:val="2"/>
                                  <w:tcBorders>
                                    <w:bottom w:val="single" w:sz="8" w:space="0" w:color="8EAD3C"/>
                                  </w:tcBorders>
                                  <w:shd w:fill="auto" w:val="clear"/>
                                  <w:vAlign w:val="center"/>
                                </w:tcPr>
                                <w:p>
                                  <w:pPr>
                                    <w:pStyle w:val="TableContents"/>
                                    <w:spacing w:before="0" w:after="283"/>
                                    <w:jc w:val="left"/>
                                    <w:rPr/>
                                  </w:pPr>
                                  <w:hyperlink w:anchor="pg_AUDITCOMMITTEEMATTERS">
                                    <w:r>
                                      <w:rPr>
                                        <w:rStyle w:val="InternetLink"/>
                                        <w:rFonts w:ascii="Arial" w:hAnsi="Arial"/>
                                        <w:b/>
                                        <w:strike w:val="false"/>
                                        <w:dstrike w:val="false"/>
                                        <w:color w:val="8BA73B"/>
                                        <w:sz w:val="24"/>
                                        <w:u w:val="none"/>
                                        <w:effect w:val="none"/>
                                      </w:rPr>
                                      <w:t>AUDIT COMMITTEE MATTERS</w:t>
                                    </w:r>
                                  </w:hyperlink>
                                </w:p>
                              </w:tc>
                              <w:tc>
                                <w:tcPr>
                                  <w:tcW w:w="290" w:type="dxa"/>
                                  <w:tcBorders>
                                    <w:bottom w:val="single" w:sz="8" w:space="0" w:color="8EAD3C"/>
                                  </w:tcBorders>
                                  <w:shd w:fill="auto" w:val="clear"/>
                                  <w:vAlign w:val="center"/>
                                </w:tcPr>
                                <w:p>
                                  <w:pPr>
                                    <w:pStyle w:val="TableContents"/>
                                    <w:spacing w:before="0" w:after="283"/>
                                    <w:jc w:val="right"/>
                                    <w:rPr/>
                                  </w:pPr>
                                  <w:hyperlink w:anchor="pg_AUDITCOMMITTEEMATTERS">
                                    <w:r>
                                      <w:rPr>
                                        <w:rStyle w:val="InternetLink"/>
                                        <w:rFonts w:ascii="Arial" w:hAnsi="Arial"/>
                                        <w:b/>
                                        <w:strike w:val="false"/>
                                        <w:dstrike w:val="false"/>
                                        <w:color w:val="8BA73B"/>
                                        <w:sz w:val="24"/>
                                        <w:u w:val="none"/>
                                        <w:effect w:val="none"/>
                                      </w:rPr>
                                      <w:t>80</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AuditCommitteeReport">
                                    <w:r>
                                      <w:rPr>
                                        <w:rStyle w:val="InternetLink"/>
                                        <w:rFonts w:ascii="Arial" w:hAnsi="Arial"/>
                                        <w:b/>
                                        <w:strike w:val="false"/>
                                        <w:dstrike w:val="false"/>
                                        <w:color w:val="1A2343"/>
                                        <w:sz w:val="20"/>
                                        <w:u w:val="none"/>
                                        <w:effect w:val="none"/>
                                      </w:rPr>
                                      <w:t>Audit Committee Report</w:t>
                                    </w:r>
                                  </w:hyperlink>
                                </w:p>
                              </w:tc>
                              <w:tc>
                                <w:tcPr>
                                  <w:tcW w:w="290" w:type="dxa"/>
                                  <w:tcBorders/>
                                  <w:shd w:fill="auto" w:val="clear"/>
                                  <w:tcMar>
                                    <w:bottom w:w="0" w:type="dxa"/>
                                  </w:tcMar>
                                  <w:vAlign w:val="center"/>
                                </w:tcPr>
                                <w:p>
                                  <w:pPr>
                                    <w:pStyle w:val="TableContents"/>
                                    <w:spacing w:before="0" w:after="283"/>
                                    <w:jc w:val="right"/>
                                    <w:rPr/>
                                  </w:pPr>
                                  <w:hyperlink w:anchor="pg_AuditCommitteeReport">
                                    <w:r>
                                      <w:rPr>
                                        <w:rStyle w:val="InternetLink"/>
                                        <w:rFonts w:ascii="Arial" w:hAnsi="Arial"/>
                                        <w:b/>
                                        <w:strike w:val="false"/>
                                        <w:dstrike w:val="false"/>
                                        <w:color w:val="1A2343"/>
                                        <w:sz w:val="20"/>
                                        <w:u w:val="none"/>
                                        <w:effect w:val="none"/>
                                      </w:rPr>
                                      <w:t>80</w:t>
                                    </w:r>
                                  </w:hyperlink>
                                </w:p>
                              </w:tc>
                            </w:tr>
                            <w:tr>
                              <w:trPr/>
                              <w:tc>
                                <w:tcPr>
                                  <w:tcW w:w="8480" w:type="dxa"/>
                                  <w:tcBorders/>
                                  <w:shd w:fill="F1F5E6" w:val="clear"/>
                                  <w:tcMar>
                                    <w:bottom w:w="0" w:type="dxa"/>
                                  </w:tcMar>
                                  <w:vAlign w:val="center"/>
                                </w:tcPr>
                                <w:p>
                                  <w:pPr>
                                    <w:pStyle w:val="TableContents"/>
                                    <w:spacing w:before="0" w:after="283"/>
                                    <w:jc w:val="left"/>
                                    <w:rPr/>
                                  </w:pPr>
                                  <w:hyperlink w:anchor="pg_Proposal3RatificationofAppointmentofIndependentRegisteredPublicAccountingFirm">
                                    <w:r>
                                      <w:rPr>
                                        <w:rStyle w:val="InternetLink"/>
                                        <w:rFonts w:ascii="Arial" w:hAnsi="Arial"/>
                                        <w:b/>
                                        <w:strike w:val="false"/>
                                        <w:dstrike w:val="false"/>
                                        <w:color w:val="1A2343"/>
                                        <w:sz w:val="20"/>
                                        <w:u w:val="none"/>
                                        <w:effect w:val="none"/>
                                      </w:rPr>
                                      <w:t>Proposal 3: Ratification of Appointment of Independent Registered Public Accounting Firm</w:t>
                                    </w:r>
                                  </w:hyperlink>
                                </w:p>
                              </w:tc>
                              <w:tc>
                                <w:tcPr>
                                  <w:tcW w:w="360" w:type="dxa"/>
                                  <w:tcBorders/>
                                  <w:shd w:fill="F1F5E6" w:val="clear"/>
                                  <w:tcMar>
                                    <w:bottom w:w="0" w:type="dxa"/>
                                  </w:tcMar>
                                  <w:vAlign w:val="center"/>
                                </w:tcPr>
                                <w:p>
                                  <w:pPr>
                                    <w:pStyle w:val="TableContents"/>
                                    <w:spacing w:before="0" w:after="283"/>
                                    <w:jc w:val="left"/>
                                    <w:rPr/>
                                  </w:pPr>
                                  <w:r>
                                    <w:rPr/>
                                    <w:drawing>
                                      <wp:inline distT="0" distB="0" distL="0" distR="0">
                                        <wp:extent cx="228600" cy="228600"/>
                                        <wp:effectExtent l="0" t="0" r="0" b="0"/>
                                        <wp:docPr id="8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1" descr=""/>
                                                <pic:cNvPicPr>
                                                  <a:picLocks noChangeAspect="1" noChangeArrowheads="1"/>
                                                </pic:cNvPicPr>
                                              </pic:nvPicPr>
                                              <pic:blipFill>
                                                <a:blip r:embed="rId72"/>
                                                <a:srcRect l="-4409" t="-4409" r="-4409" b="-4409"/>
                                                <a:stretch>
                                                  <a:fillRect/>
                                                </a:stretch>
                                              </pic:blipFill>
                                              <pic:spPr bwMode="auto">
                                                <a:xfrm>
                                                  <a:off x="0" y="0"/>
                                                  <a:ext cx="228600" cy="228600"/>
                                                </a:xfrm>
                                                <a:prstGeom prst="rect">
                                                  <a:avLst/>
                                                </a:prstGeom>
                                                <a:ln w="635">
                                                  <a:solidFill>
                                                    <a:srgbClr val="000000"/>
                                                  </a:solidFill>
                                                </a:ln>
                                              </pic:spPr>
                                            </pic:pic>
                                          </a:graphicData>
                                        </a:graphic>
                                      </wp:inline>
                                    </w:drawing>
                                  </w:r>
                                </w:p>
                              </w:tc>
                              <w:tc>
                                <w:tcPr>
                                  <w:tcW w:w="290" w:type="dxa"/>
                                  <w:tcBorders/>
                                  <w:shd w:fill="F1F5E6" w:val="clear"/>
                                  <w:tcMar>
                                    <w:bottom w:w="0" w:type="dxa"/>
                                  </w:tcMar>
                                  <w:vAlign w:val="center"/>
                                </w:tcPr>
                                <w:p>
                                  <w:pPr>
                                    <w:pStyle w:val="TableContents"/>
                                    <w:spacing w:before="0" w:after="283"/>
                                    <w:jc w:val="right"/>
                                    <w:rPr/>
                                  </w:pPr>
                                  <w:hyperlink w:anchor="pg_Proposal3RatificationofAppointmentofIndependentRegisteredPublicAccountingFirm">
                                    <w:r>
                                      <w:rPr>
                                        <w:rStyle w:val="InternetLink"/>
                                        <w:rFonts w:ascii="Arial" w:hAnsi="Arial"/>
                                        <w:b/>
                                        <w:strike w:val="false"/>
                                        <w:dstrike w:val="false"/>
                                        <w:color w:val="1A2343"/>
                                        <w:sz w:val="20"/>
                                        <w:u w:val="none"/>
                                        <w:effect w:val="none"/>
                                      </w:rPr>
                                      <w:t>81</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PreApprovalPoliciesandProceduresofourAuditCommittee">
                                    <w:r>
                                      <w:rPr>
                                        <w:rStyle w:val="InternetLink"/>
                                        <w:rFonts w:ascii="Arial" w:hAnsi="Arial"/>
                                        <w:b/>
                                        <w:strike w:val="false"/>
                                        <w:dstrike w:val="false"/>
                                        <w:color w:val="1A2343"/>
                                        <w:sz w:val="20"/>
                                        <w:u w:val="none"/>
                                        <w:effect w:val="none"/>
                                      </w:rPr>
                                      <w:t>Pre-Approval Policies and Procedures of our Audit Committee</w:t>
                                    </w:r>
                                  </w:hyperlink>
                                </w:p>
                              </w:tc>
                              <w:tc>
                                <w:tcPr>
                                  <w:tcW w:w="290" w:type="dxa"/>
                                  <w:tcBorders/>
                                  <w:shd w:fill="auto" w:val="clear"/>
                                  <w:tcMar>
                                    <w:bottom w:w="0" w:type="dxa"/>
                                  </w:tcMar>
                                  <w:vAlign w:val="center"/>
                                </w:tcPr>
                                <w:p>
                                  <w:pPr>
                                    <w:pStyle w:val="TableContents"/>
                                    <w:spacing w:before="0" w:after="283"/>
                                    <w:jc w:val="right"/>
                                    <w:rPr/>
                                  </w:pPr>
                                  <w:hyperlink w:anchor="pg_PreApprovalPoliciesandProceduresofourAuditCommittee">
                                    <w:r>
                                      <w:rPr>
                                        <w:rStyle w:val="InternetLink"/>
                                        <w:rFonts w:ascii="Arial" w:hAnsi="Arial"/>
                                        <w:b/>
                                        <w:strike w:val="false"/>
                                        <w:dstrike w:val="false"/>
                                        <w:color w:val="1A2343"/>
                                        <w:sz w:val="20"/>
                                        <w:u w:val="none"/>
                                        <w:effect w:val="none"/>
                                      </w:rPr>
                                      <w:t>82</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FeeDisclosure">
                                    <w:r>
                                      <w:rPr>
                                        <w:rStyle w:val="InternetLink"/>
                                        <w:rFonts w:ascii="Arial" w:hAnsi="Arial"/>
                                        <w:b/>
                                        <w:strike w:val="false"/>
                                        <w:dstrike w:val="false"/>
                                        <w:color w:val="1A2343"/>
                                        <w:sz w:val="20"/>
                                        <w:u w:val="none"/>
                                        <w:effect w:val="none"/>
                                      </w:rPr>
                                      <w:t>Fee Disclosure</w:t>
                                    </w:r>
                                  </w:hyperlink>
                                </w:p>
                              </w:tc>
                              <w:tc>
                                <w:tcPr>
                                  <w:tcW w:w="290" w:type="dxa"/>
                                  <w:tcBorders/>
                                  <w:shd w:fill="auto" w:val="clear"/>
                                  <w:tcMar>
                                    <w:bottom w:w="0" w:type="dxa"/>
                                  </w:tcMar>
                                  <w:vAlign w:val="center"/>
                                </w:tcPr>
                                <w:p>
                                  <w:pPr>
                                    <w:pStyle w:val="TableContents"/>
                                    <w:spacing w:before="0" w:after="283"/>
                                    <w:jc w:val="right"/>
                                    <w:rPr/>
                                  </w:pPr>
                                  <w:hyperlink w:anchor="pg_FeeDisclosure">
                                    <w:r>
                                      <w:rPr>
                                        <w:rStyle w:val="InternetLink"/>
                                        <w:rFonts w:ascii="Arial" w:hAnsi="Arial"/>
                                        <w:b/>
                                        <w:strike w:val="false"/>
                                        <w:dstrike w:val="false"/>
                                        <w:color w:val="1A2343"/>
                                        <w:sz w:val="20"/>
                                        <w:u w:val="none"/>
                                        <w:effect w:val="none"/>
                                      </w:rPr>
                                      <w:t>82</w:t>
                                    </w:r>
                                  </w:hyperlink>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1.75pt;mso-wrap-distance-left:0pt;mso-wrap-distance-right:0pt;mso-wrap-distance-top:0pt;mso-wrap-distance-bottom:0pt;margin-top:0pt;mso-position-vertical:top;mso-position-vertical-relative:text;margin-left:0pt;mso-position-horizontal:left;mso-position-horizontal-relative:text">
                <v:textbox>
                  <w:txbxContent>
                    <w:tbl>
                      <w:tblPr>
                        <w:tblW w:w="9130" w:type="dxa"/>
                        <w:jc w:val="left"/>
                        <w:tblInd w:w="0" w:type="dxa"/>
                        <w:tblCellMar>
                          <w:top w:w="0" w:type="dxa"/>
                          <w:left w:w="0" w:type="dxa"/>
                          <w:bottom w:w="40" w:type="dxa"/>
                          <w:right w:w="0" w:type="dxa"/>
                        </w:tblCellMar>
                      </w:tblPr>
                      <w:tblGrid>
                        <w:gridCol w:w="8480"/>
                        <w:gridCol w:w="360"/>
                        <w:gridCol w:w="290"/>
                      </w:tblGrid>
                      <w:tr>
                        <w:trPr/>
                        <w:tc>
                          <w:tcPr>
                            <w:tcW w:w="8840" w:type="dxa"/>
                            <w:gridSpan w:val="2"/>
                            <w:tcBorders>
                              <w:bottom w:val="single" w:sz="8" w:space="0" w:color="8EAD3C"/>
                            </w:tcBorders>
                            <w:shd w:fill="auto" w:val="clear"/>
                            <w:vAlign w:val="center"/>
                          </w:tcPr>
                          <w:p>
                            <w:pPr>
                              <w:pStyle w:val="TableContents"/>
                              <w:spacing w:before="0" w:after="283"/>
                              <w:jc w:val="left"/>
                              <w:rPr/>
                            </w:pPr>
                            <w:hyperlink w:anchor="LETTERTOSTOCKHOLDERS">
                              <w:r>
                                <w:rPr>
                                  <w:rStyle w:val="InternetLink"/>
                                  <w:rFonts w:ascii="Arial" w:hAnsi="Arial"/>
                                  <w:b/>
                                  <w:strike w:val="false"/>
                                  <w:dstrike w:val="false"/>
                                  <w:color w:val="8BA73B"/>
                                  <w:sz w:val="24"/>
                                  <w:u w:val="none"/>
                                  <w:effect w:val="none"/>
                                </w:rPr>
                                <w:t>LETTER TO STOCKHOLDERS</w:t>
                              </w:r>
                            </w:hyperlink>
                          </w:p>
                        </w:tc>
                        <w:tc>
                          <w:tcPr>
                            <w:tcW w:w="290" w:type="dxa"/>
                            <w:tcBorders>
                              <w:bottom w:val="single" w:sz="8" w:space="0" w:color="8EAD3C"/>
                            </w:tcBorders>
                            <w:shd w:fill="auto" w:val="clear"/>
                            <w:vAlign w:val="center"/>
                          </w:tcPr>
                          <w:p>
                            <w:pPr>
                              <w:pStyle w:val="TableContents"/>
                              <w:spacing w:before="0" w:after="283"/>
                              <w:rPr>
                                <w:sz w:val="4"/>
                                <w:szCs w:val="4"/>
                              </w:rPr>
                            </w:pPr>
                            <w:r>
                              <w:rPr>
                                <w:sz w:val="4"/>
                                <w:szCs w:val="4"/>
                              </w:rPr>
                            </w:r>
                          </w:p>
                        </w:tc>
                      </w:tr>
                      <w:tr>
                        <w:trPr/>
                        <w:tc>
                          <w:tcPr>
                            <w:tcW w:w="8840" w:type="dxa"/>
                            <w:gridSpan w:val="2"/>
                            <w:tcBorders/>
                            <w:shd w:fill="auto" w:val="clear"/>
                            <w:tcMar>
                              <w:bottom w:w="0" w:type="dxa"/>
                            </w:tcMar>
                            <w:vAlign w:val="center"/>
                          </w:tcPr>
                          <w:p>
                            <w:pPr>
                              <w:pStyle w:val="TableContents"/>
                              <w:spacing w:before="0" w:after="283"/>
                              <w:jc w:val="left"/>
                              <w:rPr/>
                            </w:pPr>
                            <w:r>
                              <w:rPr/>
                              <w:t> </w:t>
                            </w:r>
                          </w:p>
                        </w:tc>
                        <w:tc>
                          <w:tcPr>
                            <w:tcW w:w="29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8840" w:type="dxa"/>
                            <w:gridSpan w:val="2"/>
                            <w:tcBorders>
                              <w:bottom w:val="single" w:sz="8" w:space="0" w:color="8EAD3C"/>
                            </w:tcBorders>
                            <w:shd w:fill="auto" w:val="clear"/>
                            <w:vAlign w:val="center"/>
                          </w:tcPr>
                          <w:p>
                            <w:pPr>
                              <w:pStyle w:val="TableContents"/>
                              <w:spacing w:before="0" w:after="283"/>
                              <w:jc w:val="left"/>
                              <w:rPr/>
                            </w:pPr>
                            <w:hyperlink w:anchor="pg2023PROXYSTATEMENTHIGHLIGHTS">
                              <w:r>
                                <w:rPr>
                                  <w:rStyle w:val="InternetLink"/>
                                  <w:rFonts w:ascii="Arial" w:hAnsi="Arial"/>
                                  <w:b/>
                                  <w:strike w:val="false"/>
                                  <w:dstrike w:val="false"/>
                                  <w:color w:val="8BA73B"/>
                                  <w:sz w:val="24"/>
                                  <w:u w:val="none"/>
                                  <w:effect w:val="none"/>
                                </w:rPr>
                                <w:t>2023 PROXY STATEMENT HIGHLIGHTS</w:t>
                              </w:r>
                            </w:hyperlink>
                          </w:p>
                        </w:tc>
                        <w:tc>
                          <w:tcPr>
                            <w:tcW w:w="290" w:type="dxa"/>
                            <w:tcBorders>
                              <w:bottom w:val="single" w:sz="8" w:space="0" w:color="8EAD3C"/>
                            </w:tcBorders>
                            <w:shd w:fill="auto" w:val="clear"/>
                            <w:vAlign w:val="center"/>
                          </w:tcPr>
                          <w:p>
                            <w:pPr>
                              <w:pStyle w:val="TableContents"/>
                              <w:spacing w:before="0" w:after="283"/>
                              <w:jc w:val="right"/>
                              <w:rPr/>
                            </w:pPr>
                            <w:hyperlink w:anchor="pg2023PROXYSTATEMENTHIGHLIGHTS">
                              <w:r>
                                <w:rPr>
                                  <w:rStyle w:val="InternetLink"/>
                                  <w:rFonts w:ascii="Arial" w:hAnsi="Arial"/>
                                  <w:b/>
                                  <w:strike w:val="false"/>
                                  <w:dstrike w:val="false"/>
                                  <w:color w:val="8BA73B"/>
                                  <w:sz w:val="24"/>
                                  <w:u w:val="none"/>
                                  <w:effect w:val="none"/>
                                </w:rPr>
                                <w:t>2</w:t>
                              </w:r>
                            </w:hyperlink>
                          </w:p>
                        </w:tc>
                      </w:tr>
                      <w:tr>
                        <w:trPr/>
                        <w:tc>
                          <w:tcPr>
                            <w:tcW w:w="8840" w:type="dxa"/>
                            <w:gridSpan w:val="2"/>
                            <w:tcBorders/>
                            <w:shd w:fill="auto" w:val="clear"/>
                            <w:tcMar>
                              <w:bottom w:w="0" w:type="dxa"/>
                            </w:tcMar>
                            <w:vAlign w:val="center"/>
                          </w:tcPr>
                          <w:p>
                            <w:pPr>
                              <w:pStyle w:val="TableContents"/>
                              <w:spacing w:before="0" w:after="283"/>
                              <w:jc w:val="left"/>
                              <w:rPr/>
                            </w:pPr>
                            <w:r>
                              <w:rPr/>
                              <w:t> </w:t>
                            </w:r>
                          </w:p>
                        </w:tc>
                        <w:tc>
                          <w:tcPr>
                            <w:tcW w:w="29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8840" w:type="dxa"/>
                            <w:gridSpan w:val="2"/>
                            <w:tcBorders>
                              <w:bottom w:val="single" w:sz="8" w:space="0" w:color="8EAD3C"/>
                            </w:tcBorders>
                            <w:shd w:fill="auto" w:val="clear"/>
                            <w:vAlign w:val="center"/>
                          </w:tcPr>
                          <w:p>
                            <w:pPr>
                              <w:pStyle w:val="TableContents"/>
                              <w:spacing w:before="0" w:after="283"/>
                              <w:jc w:val="left"/>
                              <w:rPr/>
                            </w:pPr>
                            <w:hyperlink w:anchor="pg_NOTICEOFANNUALMEETINGOFSTOCKHOLDERS">
                              <w:r>
                                <w:rPr>
                                  <w:rStyle w:val="InternetLink"/>
                                  <w:rFonts w:ascii="Arial" w:hAnsi="Arial"/>
                                  <w:b/>
                                  <w:strike w:val="false"/>
                                  <w:dstrike w:val="false"/>
                                  <w:color w:val="8BA73B"/>
                                  <w:sz w:val="24"/>
                                  <w:u w:val="none"/>
                                  <w:effect w:val="none"/>
                                </w:rPr>
                                <w:t>NOTICE OF ANNUAL MEETING OF STOCKHOLDERS</w:t>
                              </w:r>
                            </w:hyperlink>
                          </w:p>
                        </w:tc>
                        <w:tc>
                          <w:tcPr>
                            <w:tcW w:w="290" w:type="dxa"/>
                            <w:tcBorders>
                              <w:bottom w:val="single" w:sz="8" w:space="0" w:color="8EAD3C"/>
                            </w:tcBorders>
                            <w:shd w:fill="auto" w:val="clear"/>
                            <w:vAlign w:val="center"/>
                          </w:tcPr>
                          <w:p>
                            <w:pPr>
                              <w:pStyle w:val="TableContents"/>
                              <w:spacing w:before="0" w:after="283"/>
                              <w:jc w:val="right"/>
                              <w:rPr/>
                            </w:pPr>
                            <w:hyperlink w:anchor="pg_NOTICEOFANNUALMEETINGOFSTOCKHOLDERS">
                              <w:r>
                                <w:rPr>
                                  <w:rStyle w:val="InternetLink"/>
                                  <w:rFonts w:ascii="Arial" w:hAnsi="Arial"/>
                                  <w:b/>
                                  <w:strike w:val="false"/>
                                  <w:dstrike w:val="false"/>
                                  <w:color w:val="8BA73B"/>
                                  <w:sz w:val="24"/>
                                  <w:u w:val="none"/>
                                  <w:effect w:val="none"/>
                                </w:rPr>
                                <w:t>7</w:t>
                              </w:r>
                            </w:hyperlink>
                          </w:p>
                        </w:tc>
                      </w:tr>
                      <w:tr>
                        <w:trPr/>
                        <w:tc>
                          <w:tcPr>
                            <w:tcW w:w="8840" w:type="dxa"/>
                            <w:gridSpan w:val="2"/>
                            <w:tcBorders/>
                            <w:shd w:fill="auto" w:val="clear"/>
                            <w:tcMar>
                              <w:bottom w:w="0" w:type="dxa"/>
                            </w:tcMar>
                            <w:vAlign w:val="center"/>
                          </w:tcPr>
                          <w:p>
                            <w:pPr>
                              <w:pStyle w:val="TableContents"/>
                              <w:spacing w:before="0" w:after="283"/>
                              <w:jc w:val="left"/>
                              <w:rPr/>
                            </w:pPr>
                            <w:r>
                              <w:rPr/>
                              <w:t> </w:t>
                            </w:r>
                          </w:p>
                        </w:tc>
                        <w:tc>
                          <w:tcPr>
                            <w:tcW w:w="29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8840" w:type="dxa"/>
                            <w:gridSpan w:val="2"/>
                            <w:tcBorders>
                              <w:bottom w:val="single" w:sz="8" w:space="0" w:color="8EAD3C"/>
                            </w:tcBorders>
                            <w:shd w:fill="auto" w:val="clear"/>
                            <w:vAlign w:val="center"/>
                          </w:tcPr>
                          <w:p>
                            <w:pPr>
                              <w:pStyle w:val="TableContents"/>
                              <w:spacing w:before="0" w:after="283"/>
                              <w:jc w:val="left"/>
                              <w:rPr/>
                            </w:pPr>
                            <w:hyperlink w:anchor="pg_OURBOARDOFDIRECTORSANDCORPORATEGOVERNANCE">
                              <w:r>
                                <w:rPr>
                                  <w:rStyle w:val="InternetLink"/>
                                  <w:rFonts w:ascii="Arial" w:hAnsi="Arial"/>
                                  <w:b/>
                                  <w:strike w:val="false"/>
                                  <w:dstrike w:val="false"/>
                                  <w:color w:val="8BA73B"/>
                                  <w:sz w:val="24"/>
                                  <w:u w:val="none"/>
                                  <w:effect w:val="none"/>
                                </w:rPr>
                                <w:t>OUR BOARD OF DIRECTORS AND CORPORATE GOVERNANCE</w:t>
                              </w:r>
                            </w:hyperlink>
                          </w:p>
                        </w:tc>
                        <w:tc>
                          <w:tcPr>
                            <w:tcW w:w="290" w:type="dxa"/>
                            <w:tcBorders>
                              <w:bottom w:val="single" w:sz="8" w:space="0" w:color="8EAD3C"/>
                            </w:tcBorders>
                            <w:shd w:fill="auto" w:val="clear"/>
                            <w:vAlign w:val="center"/>
                          </w:tcPr>
                          <w:p>
                            <w:pPr>
                              <w:pStyle w:val="TableContents"/>
                              <w:spacing w:before="0" w:after="283"/>
                              <w:jc w:val="right"/>
                              <w:rPr/>
                            </w:pPr>
                            <w:hyperlink w:anchor="pg_OURBOARDOFDIRECTORSANDCORPORATEGOVERNANCE">
                              <w:r>
                                <w:rPr>
                                  <w:rStyle w:val="InternetLink"/>
                                  <w:rFonts w:ascii="Arial" w:hAnsi="Arial"/>
                                  <w:b/>
                                  <w:strike w:val="false"/>
                                  <w:dstrike w:val="false"/>
                                  <w:color w:val="8BA73B"/>
                                  <w:sz w:val="24"/>
                                  <w:u w:val="none"/>
                                  <w:effect w:val="none"/>
                                </w:rPr>
                                <w:t>9</w:t>
                              </w:r>
                            </w:hyperlink>
                          </w:p>
                        </w:tc>
                      </w:tr>
                      <w:tr>
                        <w:trPr/>
                        <w:tc>
                          <w:tcPr>
                            <w:tcW w:w="8480" w:type="dxa"/>
                            <w:tcBorders/>
                            <w:shd w:fill="F1F5E6" w:val="clear"/>
                            <w:tcMar>
                              <w:bottom w:w="0" w:type="dxa"/>
                            </w:tcMar>
                            <w:vAlign w:val="center"/>
                          </w:tcPr>
                          <w:p>
                            <w:pPr>
                              <w:pStyle w:val="TableContents"/>
                              <w:spacing w:before="0" w:after="283"/>
                              <w:jc w:val="left"/>
                              <w:rPr/>
                            </w:pPr>
                            <w:hyperlink w:anchor="pg_Proposal1ElectionofDirectors">
                              <w:r>
                                <w:rPr>
                                  <w:rStyle w:val="InternetLink"/>
                                  <w:rFonts w:ascii="Arial" w:hAnsi="Arial"/>
                                  <w:b/>
                                  <w:strike w:val="false"/>
                                  <w:dstrike w:val="false"/>
                                  <w:color w:val="1A2343"/>
                                  <w:sz w:val="20"/>
                                  <w:u w:val="none"/>
                                  <w:effect w:val="none"/>
                                </w:rPr>
                                <w:t>Proposal 1: Election of Directors</w:t>
                              </w:r>
                            </w:hyperlink>
                          </w:p>
                        </w:tc>
                        <w:tc>
                          <w:tcPr>
                            <w:tcW w:w="360" w:type="dxa"/>
                            <w:tcBorders/>
                            <w:shd w:fill="F1F5E6" w:val="clear"/>
                            <w:tcMar>
                              <w:bottom w:w="0" w:type="dxa"/>
                            </w:tcMar>
                            <w:vAlign w:val="center"/>
                          </w:tcPr>
                          <w:p>
                            <w:pPr>
                              <w:pStyle w:val="TableContents"/>
                              <w:spacing w:before="0" w:after="283"/>
                              <w:jc w:val="left"/>
                              <w:rPr/>
                            </w:pPr>
                            <w:r>
                              <w:rPr/>
                              <w:drawing>
                                <wp:inline distT="0" distB="0" distL="0" distR="0">
                                  <wp:extent cx="228600" cy="228600"/>
                                  <wp:effectExtent l="0" t="0" r="0" b="0"/>
                                  <wp:docPr id="8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9" descr=""/>
                                          <pic:cNvPicPr>
                                            <a:picLocks noChangeAspect="1" noChangeArrowheads="1"/>
                                          </pic:cNvPicPr>
                                        </pic:nvPicPr>
                                        <pic:blipFill>
                                          <a:blip r:embed="rId70"/>
                                          <a:srcRect l="-4409" t="-4409" r="-4409" b="-4409"/>
                                          <a:stretch>
                                            <a:fillRect/>
                                          </a:stretch>
                                        </pic:blipFill>
                                        <pic:spPr bwMode="auto">
                                          <a:xfrm>
                                            <a:off x="0" y="0"/>
                                            <a:ext cx="228600" cy="228600"/>
                                          </a:xfrm>
                                          <a:prstGeom prst="rect">
                                            <a:avLst/>
                                          </a:prstGeom>
                                          <a:ln w="635">
                                            <a:solidFill>
                                              <a:srgbClr val="000000"/>
                                            </a:solidFill>
                                          </a:ln>
                                        </pic:spPr>
                                      </pic:pic>
                                    </a:graphicData>
                                  </a:graphic>
                                </wp:inline>
                              </w:drawing>
                            </w:r>
                          </w:p>
                        </w:tc>
                        <w:tc>
                          <w:tcPr>
                            <w:tcW w:w="290" w:type="dxa"/>
                            <w:tcBorders/>
                            <w:shd w:fill="F1F5E6" w:val="clear"/>
                            <w:tcMar>
                              <w:bottom w:w="0" w:type="dxa"/>
                            </w:tcMar>
                            <w:vAlign w:val="center"/>
                          </w:tcPr>
                          <w:p>
                            <w:pPr>
                              <w:pStyle w:val="TableContents"/>
                              <w:spacing w:before="0" w:after="283"/>
                              <w:jc w:val="right"/>
                              <w:rPr/>
                            </w:pPr>
                            <w:hyperlink w:anchor="pg_Proposal1ElectionofDirectors">
                              <w:r>
                                <w:rPr>
                                  <w:rStyle w:val="InternetLink"/>
                                  <w:rFonts w:ascii="Arial" w:hAnsi="Arial"/>
                                  <w:b/>
                                  <w:strike w:val="false"/>
                                  <w:dstrike w:val="false"/>
                                  <w:color w:val="1A2343"/>
                                  <w:sz w:val="20"/>
                                  <w:u w:val="none"/>
                                  <w:effect w:val="none"/>
                                </w:rPr>
                                <w:t>9</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InformationRegardingtheDirectorNominees">
                              <w:r>
                                <w:rPr>
                                  <w:rStyle w:val="InternetLink"/>
                                  <w:rFonts w:ascii="Arial" w:hAnsi="Arial"/>
                                  <w:b/>
                                  <w:strike w:val="false"/>
                                  <w:dstrike w:val="false"/>
                                  <w:color w:val="1A2343"/>
                                  <w:sz w:val="20"/>
                                  <w:u w:val="none"/>
                                  <w:effect w:val="none"/>
                                </w:rPr>
                                <w:t>Information Regarding the Director Nominees</w:t>
                              </w:r>
                            </w:hyperlink>
                          </w:p>
                        </w:tc>
                        <w:tc>
                          <w:tcPr>
                            <w:tcW w:w="290" w:type="dxa"/>
                            <w:tcBorders/>
                            <w:shd w:fill="auto" w:val="clear"/>
                            <w:tcMar>
                              <w:bottom w:w="0" w:type="dxa"/>
                            </w:tcMar>
                            <w:vAlign w:val="center"/>
                          </w:tcPr>
                          <w:p>
                            <w:pPr>
                              <w:pStyle w:val="TableContents"/>
                              <w:spacing w:before="0" w:after="283"/>
                              <w:jc w:val="right"/>
                              <w:rPr/>
                            </w:pPr>
                            <w:hyperlink w:anchor="pg_InformationRegardingtheDirectorNominees">
                              <w:r>
                                <w:rPr>
                                  <w:rStyle w:val="InternetLink"/>
                                  <w:rFonts w:ascii="Arial" w:hAnsi="Arial"/>
                                  <w:b/>
                                  <w:strike w:val="false"/>
                                  <w:dstrike w:val="false"/>
                                  <w:color w:val="1A2343"/>
                                  <w:sz w:val="20"/>
                                  <w:u w:val="none"/>
                                  <w:effect w:val="none"/>
                                </w:rPr>
                                <w:t>10</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BoardStructureandIndependence">
                              <w:r>
                                <w:rPr>
                                  <w:rStyle w:val="InternetLink"/>
                                  <w:rFonts w:ascii="Arial" w:hAnsi="Arial"/>
                                  <w:b/>
                                  <w:strike w:val="false"/>
                                  <w:dstrike w:val="false"/>
                                  <w:color w:val="1A2343"/>
                                  <w:sz w:val="20"/>
                                  <w:u w:val="none"/>
                                  <w:effect w:val="none"/>
                                </w:rPr>
                                <w:t>Board Structure and Independence</w:t>
                              </w:r>
                            </w:hyperlink>
                          </w:p>
                        </w:tc>
                        <w:tc>
                          <w:tcPr>
                            <w:tcW w:w="290" w:type="dxa"/>
                            <w:tcBorders/>
                            <w:shd w:fill="auto" w:val="clear"/>
                            <w:tcMar>
                              <w:bottom w:w="0" w:type="dxa"/>
                            </w:tcMar>
                            <w:vAlign w:val="center"/>
                          </w:tcPr>
                          <w:p>
                            <w:pPr>
                              <w:pStyle w:val="TableContents"/>
                              <w:spacing w:before="0" w:after="283"/>
                              <w:jc w:val="right"/>
                              <w:rPr/>
                            </w:pPr>
                            <w:hyperlink w:anchor="pg_BoardStructureandIndependence">
                              <w:r>
                                <w:rPr>
                                  <w:rStyle w:val="InternetLink"/>
                                  <w:rFonts w:ascii="Arial" w:hAnsi="Arial"/>
                                  <w:b/>
                                  <w:strike w:val="false"/>
                                  <w:dstrike w:val="false"/>
                                  <w:color w:val="1A2343"/>
                                  <w:sz w:val="20"/>
                                  <w:u w:val="none"/>
                                  <w:effect w:val="none"/>
                                </w:rPr>
                                <w:t>23</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BoardCommittees">
                              <w:r>
                                <w:rPr>
                                  <w:rStyle w:val="InternetLink"/>
                                  <w:rFonts w:ascii="Arial" w:hAnsi="Arial"/>
                                  <w:b/>
                                  <w:strike w:val="false"/>
                                  <w:dstrike w:val="false"/>
                                  <w:color w:val="1A2343"/>
                                  <w:sz w:val="20"/>
                                  <w:u w:val="none"/>
                                  <w:effect w:val="none"/>
                                </w:rPr>
                                <w:t>Board Committees</w:t>
                              </w:r>
                            </w:hyperlink>
                          </w:p>
                        </w:tc>
                        <w:tc>
                          <w:tcPr>
                            <w:tcW w:w="290" w:type="dxa"/>
                            <w:tcBorders/>
                            <w:shd w:fill="auto" w:val="clear"/>
                            <w:tcMar>
                              <w:bottom w:w="0" w:type="dxa"/>
                            </w:tcMar>
                            <w:vAlign w:val="center"/>
                          </w:tcPr>
                          <w:p>
                            <w:pPr>
                              <w:pStyle w:val="TableContents"/>
                              <w:spacing w:before="0" w:after="283"/>
                              <w:jc w:val="right"/>
                              <w:rPr/>
                            </w:pPr>
                            <w:hyperlink w:anchor="pg_BoardCommittees">
                              <w:r>
                                <w:rPr>
                                  <w:rStyle w:val="InternetLink"/>
                                  <w:rFonts w:ascii="Arial" w:hAnsi="Arial"/>
                                  <w:b/>
                                  <w:strike w:val="false"/>
                                  <w:dstrike w:val="false"/>
                                  <w:color w:val="1A2343"/>
                                  <w:sz w:val="20"/>
                                  <w:u w:val="none"/>
                                  <w:effect w:val="none"/>
                                </w:rPr>
                                <w:t>25</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CorporateGovernance">
                              <w:r>
                                <w:rPr>
                                  <w:rStyle w:val="InternetLink"/>
                                  <w:rFonts w:ascii="Arial" w:hAnsi="Arial"/>
                                  <w:b/>
                                  <w:strike w:val="false"/>
                                  <w:dstrike w:val="false"/>
                                  <w:color w:val="1A2343"/>
                                  <w:sz w:val="20"/>
                                  <w:u w:val="none"/>
                                  <w:effect w:val="none"/>
                                </w:rPr>
                                <w:t>Corporate Governance</w:t>
                              </w:r>
                            </w:hyperlink>
                          </w:p>
                        </w:tc>
                        <w:tc>
                          <w:tcPr>
                            <w:tcW w:w="290" w:type="dxa"/>
                            <w:tcBorders/>
                            <w:shd w:fill="auto" w:val="clear"/>
                            <w:tcMar>
                              <w:bottom w:w="0" w:type="dxa"/>
                            </w:tcMar>
                            <w:vAlign w:val="center"/>
                          </w:tcPr>
                          <w:p>
                            <w:pPr>
                              <w:pStyle w:val="TableContents"/>
                              <w:spacing w:before="0" w:after="283"/>
                              <w:jc w:val="right"/>
                              <w:rPr/>
                            </w:pPr>
                            <w:hyperlink w:anchor="pg_CorporateGovernance">
                              <w:r>
                                <w:rPr>
                                  <w:rStyle w:val="InternetLink"/>
                                  <w:rFonts w:ascii="Arial" w:hAnsi="Arial"/>
                                  <w:b/>
                                  <w:strike w:val="false"/>
                                  <w:dstrike w:val="false"/>
                                  <w:color w:val="1A2343"/>
                                  <w:sz w:val="20"/>
                                  <w:u w:val="none"/>
                                  <w:effect w:val="none"/>
                                </w:rPr>
                                <w:t>29</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DirectorCompensation">
                              <w:r>
                                <w:rPr>
                                  <w:rStyle w:val="InternetLink"/>
                                  <w:rFonts w:ascii="Arial" w:hAnsi="Arial"/>
                                  <w:b/>
                                  <w:strike w:val="false"/>
                                  <w:dstrike w:val="false"/>
                                  <w:color w:val="1A2343"/>
                                  <w:sz w:val="20"/>
                                  <w:u w:val="none"/>
                                  <w:effect w:val="none"/>
                                </w:rPr>
                                <w:t>Director Compensation</w:t>
                              </w:r>
                            </w:hyperlink>
                          </w:p>
                        </w:tc>
                        <w:tc>
                          <w:tcPr>
                            <w:tcW w:w="290" w:type="dxa"/>
                            <w:tcBorders/>
                            <w:shd w:fill="auto" w:val="clear"/>
                            <w:tcMar>
                              <w:bottom w:w="0" w:type="dxa"/>
                            </w:tcMar>
                            <w:vAlign w:val="center"/>
                          </w:tcPr>
                          <w:p>
                            <w:pPr>
                              <w:pStyle w:val="TableContents"/>
                              <w:spacing w:before="0" w:after="283"/>
                              <w:jc w:val="right"/>
                              <w:rPr/>
                            </w:pPr>
                            <w:hyperlink w:anchor="pg_DirectorCompensation">
                              <w:r>
                                <w:rPr>
                                  <w:rStyle w:val="InternetLink"/>
                                  <w:rFonts w:ascii="Arial" w:hAnsi="Arial"/>
                                  <w:b/>
                                  <w:strike w:val="false"/>
                                  <w:dstrike w:val="false"/>
                                  <w:color w:val="1A2343"/>
                                  <w:sz w:val="20"/>
                                  <w:u w:val="none"/>
                                  <w:effect w:val="none"/>
                                </w:rPr>
                                <w:t>38</w:t>
                              </w:r>
                            </w:hyperlink>
                          </w:p>
                        </w:tc>
                      </w:tr>
                      <w:tr>
                        <w:trPr/>
                        <w:tc>
                          <w:tcPr>
                            <w:tcW w:w="8840" w:type="dxa"/>
                            <w:gridSpan w:val="2"/>
                            <w:tcBorders/>
                            <w:shd w:fill="auto" w:val="clear"/>
                            <w:tcMar>
                              <w:bottom w:w="0" w:type="dxa"/>
                            </w:tcMar>
                            <w:vAlign w:val="center"/>
                          </w:tcPr>
                          <w:p>
                            <w:pPr>
                              <w:pStyle w:val="TableContents"/>
                              <w:spacing w:before="0" w:after="283"/>
                              <w:jc w:val="left"/>
                              <w:rPr/>
                            </w:pPr>
                            <w:r>
                              <w:rPr/>
                              <w:t> </w:t>
                            </w:r>
                          </w:p>
                        </w:tc>
                        <w:tc>
                          <w:tcPr>
                            <w:tcW w:w="29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8840" w:type="dxa"/>
                            <w:gridSpan w:val="2"/>
                            <w:tcBorders>
                              <w:bottom w:val="single" w:sz="8" w:space="0" w:color="8EAD3C"/>
                            </w:tcBorders>
                            <w:shd w:fill="auto" w:val="clear"/>
                            <w:vAlign w:val="center"/>
                          </w:tcPr>
                          <w:p>
                            <w:pPr>
                              <w:pStyle w:val="TableContents"/>
                              <w:spacing w:before="0" w:after="283"/>
                              <w:jc w:val="left"/>
                              <w:rPr/>
                            </w:pPr>
                            <w:hyperlink w:anchor="pg_EXECUTIVEOFFICERS">
                              <w:r>
                                <w:rPr>
                                  <w:rStyle w:val="InternetLink"/>
                                  <w:rFonts w:ascii="Arial" w:hAnsi="Arial"/>
                                  <w:b/>
                                  <w:strike w:val="false"/>
                                  <w:dstrike w:val="false"/>
                                  <w:color w:val="8BA73B"/>
                                  <w:sz w:val="24"/>
                                  <w:u w:val="none"/>
                                  <w:effect w:val="none"/>
                                </w:rPr>
                                <w:t>EXECUTIVE OFFICERS</w:t>
                              </w:r>
                            </w:hyperlink>
                          </w:p>
                        </w:tc>
                        <w:tc>
                          <w:tcPr>
                            <w:tcW w:w="290" w:type="dxa"/>
                            <w:tcBorders>
                              <w:bottom w:val="single" w:sz="8" w:space="0" w:color="8EAD3C"/>
                            </w:tcBorders>
                            <w:shd w:fill="auto" w:val="clear"/>
                            <w:vAlign w:val="center"/>
                          </w:tcPr>
                          <w:p>
                            <w:pPr>
                              <w:pStyle w:val="TableContents"/>
                              <w:spacing w:before="0" w:after="283"/>
                              <w:jc w:val="right"/>
                              <w:rPr/>
                            </w:pPr>
                            <w:hyperlink w:anchor="pg_EXECUTIVEOFFICERS">
                              <w:r>
                                <w:rPr>
                                  <w:rStyle w:val="InternetLink"/>
                                  <w:rFonts w:ascii="Arial" w:hAnsi="Arial"/>
                                  <w:b/>
                                  <w:strike w:val="false"/>
                                  <w:dstrike w:val="false"/>
                                  <w:color w:val="8BA73B"/>
                                  <w:sz w:val="24"/>
                                  <w:u w:val="none"/>
                                  <w:effect w:val="none"/>
                                </w:rPr>
                                <w:t>40</w:t>
                              </w:r>
                            </w:hyperlink>
                          </w:p>
                        </w:tc>
                      </w:tr>
                      <w:tr>
                        <w:trPr/>
                        <w:tc>
                          <w:tcPr>
                            <w:tcW w:w="8840" w:type="dxa"/>
                            <w:gridSpan w:val="2"/>
                            <w:tcBorders/>
                            <w:shd w:fill="auto" w:val="clear"/>
                            <w:tcMar>
                              <w:bottom w:w="0" w:type="dxa"/>
                            </w:tcMar>
                            <w:vAlign w:val="center"/>
                          </w:tcPr>
                          <w:p>
                            <w:pPr>
                              <w:pStyle w:val="TableContents"/>
                              <w:spacing w:before="0" w:after="283"/>
                              <w:jc w:val="left"/>
                              <w:rPr/>
                            </w:pPr>
                            <w:r>
                              <w:rPr/>
                              <w:t> </w:t>
                            </w:r>
                          </w:p>
                        </w:tc>
                        <w:tc>
                          <w:tcPr>
                            <w:tcW w:w="29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8840" w:type="dxa"/>
                            <w:gridSpan w:val="2"/>
                            <w:tcBorders>
                              <w:bottom w:val="single" w:sz="8" w:space="0" w:color="8EAD3C"/>
                            </w:tcBorders>
                            <w:shd w:fill="auto" w:val="clear"/>
                            <w:vAlign w:val="center"/>
                          </w:tcPr>
                          <w:p>
                            <w:pPr>
                              <w:pStyle w:val="TableContents"/>
                              <w:spacing w:before="0" w:after="283"/>
                              <w:jc w:val="left"/>
                              <w:rPr/>
                            </w:pPr>
                            <w:hyperlink w:anchor="pg_EXECUTIVECOMPENSATION">
                              <w:r>
                                <w:rPr>
                                  <w:rStyle w:val="InternetLink"/>
                                  <w:rFonts w:ascii="Arial" w:hAnsi="Arial"/>
                                  <w:b/>
                                  <w:strike w:val="false"/>
                                  <w:dstrike w:val="false"/>
                                  <w:color w:val="8BA73B"/>
                                  <w:sz w:val="24"/>
                                  <w:u w:val="none"/>
                                  <w:effect w:val="none"/>
                                </w:rPr>
                                <w:t>EXECUTIVE COMPENSATION</w:t>
                              </w:r>
                            </w:hyperlink>
                          </w:p>
                        </w:tc>
                        <w:tc>
                          <w:tcPr>
                            <w:tcW w:w="290" w:type="dxa"/>
                            <w:tcBorders>
                              <w:bottom w:val="single" w:sz="8" w:space="0" w:color="8EAD3C"/>
                            </w:tcBorders>
                            <w:shd w:fill="auto" w:val="clear"/>
                            <w:vAlign w:val="center"/>
                          </w:tcPr>
                          <w:p>
                            <w:pPr>
                              <w:pStyle w:val="TableContents"/>
                              <w:spacing w:before="0" w:after="283"/>
                              <w:jc w:val="right"/>
                              <w:rPr/>
                            </w:pPr>
                            <w:hyperlink w:anchor="pg_EXECUTIVECOMPENSATION">
                              <w:r>
                                <w:rPr>
                                  <w:rStyle w:val="InternetLink"/>
                                  <w:rFonts w:ascii="Arial" w:hAnsi="Arial"/>
                                  <w:b/>
                                  <w:strike w:val="false"/>
                                  <w:dstrike w:val="false"/>
                                  <w:color w:val="8BA73B"/>
                                  <w:sz w:val="24"/>
                                  <w:u w:val="none"/>
                                  <w:effect w:val="none"/>
                                </w:rPr>
                                <w:t>41</w:t>
                              </w:r>
                            </w:hyperlink>
                          </w:p>
                        </w:tc>
                      </w:tr>
                      <w:tr>
                        <w:trPr/>
                        <w:tc>
                          <w:tcPr>
                            <w:tcW w:w="8480" w:type="dxa"/>
                            <w:tcBorders/>
                            <w:shd w:fill="F1F5E6" w:val="clear"/>
                            <w:tcMar>
                              <w:bottom w:w="0" w:type="dxa"/>
                            </w:tcMar>
                            <w:vAlign w:val="center"/>
                          </w:tcPr>
                          <w:p>
                            <w:pPr>
                              <w:pStyle w:val="TableContents"/>
                              <w:spacing w:before="0" w:after="283"/>
                              <w:jc w:val="left"/>
                              <w:rPr/>
                            </w:pPr>
                            <w:hyperlink w:anchor="pg_Proposal2AdvisoryVoteontheCompensationofourNamedExecutiveOfficers">
                              <w:r>
                                <w:rPr>
                                  <w:rStyle w:val="InternetLink"/>
                                  <w:rFonts w:ascii="Arial" w:hAnsi="Arial"/>
                                  <w:b/>
                                  <w:strike w:val="false"/>
                                  <w:dstrike w:val="false"/>
                                  <w:color w:val="1A2343"/>
                                  <w:sz w:val="20"/>
                                  <w:u w:val="none"/>
                                  <w:effect w:val="none"/>
                                </w:rPr>
                                <w:t>Proposal 2: Advisory Vote on the Compensation of our Named Executive Officers</w:t>
                              </w:r>
                            </w:hyperlink>
                          </w:p>
                        </w:tc>
                        <w:tc>
                          <w:tcPr>
                            <w:tcW w:w="360" w:type="dxa"/>
                            <w:tcBorders/>
                            <w:shd w:fill="F1F5E6" w:val="clear"/>
                            <w:tcMar>
                              <w:bottom w:w="0" w:type="dxa"/>
                            </w:tcMar>
                            <w:vAlign w:val="center"/>
                          </w:tcPr>
                          <w:p>
                            <w:pPr>
                              <w:pStyle w:val="TableContents"/>
                              <w:spacing w:before="0" w:after="283"/>
                              <w:jc w:val="left"/>
                              <w:rPr/>
                            </w:pPr>
                            <w:r>
                              <w:rPr/>
                              <w:drawing>
                                <wp:inline distT="0" distB="0" distL="0" distR="0">
                                  <wp:extent cx="228600" cy="228600"/>
                                  <wp:effectExtent l="0" t="0" r="0" b="0"/>
                                  <wp:docPr id="9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0" descr=""/>
                                          <pic:cNvPicPr>
                                            <a:picLocks noChangeAspect="1" noChangeArrowheads="1"/>
                                          </pic:cNvPicPr>
                                        </pic:nvPicPr>
                                        <pic:blipFill>
                                          <a:blip r:embed="rId71"/>
                                          <a:srcRect l="-4409" t="-4409" r="-4409" b="-4409"/>
                                          <a:stretch>
                                            <a:fillRect/>
                                          </a:stretch>
                                        </pic:blipFill>
                                        <pic:spPr bwMode="auto">
                                          <a:xfrm>
                                            <a:off x="0" y="0"/>
                                            <a:ext cx="228600" cy="228600"/>
                                          </a:xfrm>
                                          <a:prstGeom prst="rect">
                                            <a:avLst/>
                                          </a:prstGeom>
                                          <a:ln w="635">
                                            <a:solidFill>
                                              <a:srgbClr val="000000"/>
                                            </a:solidFill>
                                          </a:ln>
                                        </pic:spPr>
                                      </pic:pic>
                                    </a:graphicData>
                                  </a:graphic>
                                </wp:inline>
                              </w:drawing>
                            </w:r>
                          </w:p>
                        </w:tc>
                        <w:tc>
                          <w:tcPr>
                            <w:tcW w:w="290" w:type="dxa"/>
                            <w:tcBorders/>
                            <w:shd w:fill="F1F5E6" w:val="clear"/>
                            <w:tcMar>
                              <w:bottom w:w="0" w:type="dxa"/>
                            </w:tcMar>
                            <w:vAlign w:val="center"/>
                          </w:tcPr>
                          <w:p>
                            <w:pPr>
                              <w:pStyle w:val="TableContents"/>
                              <w:spacing w:before="0" w:after="283"/>
                              <w:jc w:val="right"/>
                              <w:rPr/>
                            </w:pPr>
                            <w:hyperlink w:anchor="pg_Proposal2AdvisoryVoteontheCompensationofourNamedExecutiveOfficers">
                              <w:r>
                                <w:rPr>
                                  <w:rStyle w:val="InternetLink"/>
                                  <w:rFonts w:ascii="Arial" w:hAnsi="Arial"/>
                                  <w:b/>
                                  <w:strike w:val="false"/>
                                  <w:dstrike w:val="false"/>
                                  <w:color w:val="1A2343"/>
                                  <w:sz w:val="20"/>
                                  <w:u w:val="none"/>
                                  <w:effect w:val="none"/>
                                </w:rPr>
                                <w:t>41</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CompensationDiscussionandAnalysis">
                              <w:r>
                                <w:rPr>
                                  <w:rStyle w:val="InternetLink"/>
                                  <w:rFonts w:ascii="Arial" w:hAnsi="Arial"/>
                                  <w:b/>
                                  <w:strike w:val="false"/>
                                  <w:dstrike w:val="false"/>
                                  <w:color w:val="1A2343"/>
                                  <w:sz w:val="20"/>
                                  <w:u w:val="none"/>
                                  <w:effect w:val="none"/>
                                </w:rPr>
                                <w:t>Compensation Discussion and Analysis</w:t>
                              </w:r>
                            </w:hyperlink>
                          </w:p>
                        </w:tc>
                        <w:tc>
                          <w:tcPr>
                            <w:tcW w:w="290" w:type="dxa"/>
                            <w:tcBorders/>
                            <w:shd w:fill="auto" w:val="clear"/>
                            <w:tcMar>
                              <w:bottom w:w="0" w:type="dxa"/>
                            </w:tcMar>
                            <w:vAlign w:val="center"/>
                          </w:tcPr>
                          <w:p>
                            <w:pPr>
                              <w:pStyle w:val="TableContents"/>
                              <w:spacing w:before="0" w:after="283"/>
                              <w:jc w:val="right"/>
                              <w:rPr/>
                            </w:pPr>
                            <w:hyperlink w:anchor="pg_CompensationDiscussionandAnalysis">
                              <w:r>
                                <w:rPr>
                                  <w:rStyle w:val="InternetLink"/>
                                  <w:rFonts w:ascii="Arial" w:hAnsi="Arial"/>
                                  <w:b/>
                                  <w:strike w:val="false"/>
                                  <w:dstrike w:val="false"/>
                                  <w:color w:val="1A2343"/>
                                  <w:sz w:val="20"/>
                                  <w:u w:val="none"/>
                                  <w:effect w:val="none"/>
                                </w:rPr>
                                <w:t>42</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CompensationCommitteeReport">
                              <w:r>
                                <w:rPr>
                                  <w:rStyle w:val="InternetLink"/>
                                  <w:rFonts w:ascii="Arial" w:hAnsi="Arial"/>
                                  <w:b/>
                                  <w:strike w:val="false"/>
                                  <w:dstrike w:val="false"/>
                                  <w:color w:val="1A2343"/>
                                  <w:sz w:val="20"/>
                                  <w:u w:val="none"/>
                                  <w:effect w:val="none"/>
                                </w:rPr>
                                <w:t>Compensation Committee Report</w:t>
                              </w:r>
                            </w:hyperlink>
                          </w:p>
                        </w:tc>
                        <w:tc>
                          <w:tcPr>
                            <w:tcW w:w="290" w:type="dxa"/>
                            <w:tcBorders/>
                            <w:shd w:fill="auto" w:val="clear"/>
                            <w:tcMar>
                              <w:bottom w:w="0" w:type="dxa"/>
                            </w:tcMar>
                            <w:vAlign w:val="center"/>
                          </w:tcPr>
                          <w:p>
                            <w:pPr>
                              <w:pStyle w:val="TableContents"/>
                              <w:spacing w:before="0" w:after="283"/>
                              <w:jc w:val="right"/>
                              <w:rPr/>
                            </w:pPr>
                            <w:hyperlink w:anchor="pg_CompensationCommitteeReport">
                              <w:r>
                                <w:rPr>
                                  <w:rStyle w:val="InternetLink"/>
                                  <w:rFonts w:ascii="Arial" w:hAnsi="Arial"/>
                                  <w:b/>
                                  <w:strike w:val="false"/>
                                  <w:dstrike w:val="false"/>
                                  <w:color w:val="1A2343"/>
                                  <w:sz w:val="20"/>
                                  <w:u w:val="none"/>
                                  <w:effect w:val="none"/>
                                </w:rPr>
                                <w:t>65</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ExecutiveCompensationTables">
                              <w:r>
                                <w:rPr>
                                  <w:rStyle w:val="InternetLink"/>
                                  <w:rFonts w:ascii="Arial" w:hAnsi="Arial"/>
                                  <w:b/>
                                  <w:strike w:val="false"/>
                                  <w:dstrike w:val="false"/>
                                  <w:color w:val="1A2343"/>
                                  <w:sz w:val="20"/>
                                  <w:u w:val="none"/>
                                  <w:effect w:val="none"/>
                                </w:rPr>
                                <w:t>Executive Compensation Tables</w:t>
                              </w:r>
                            </w:hyperlink>
                          </w:p>
                        </w:tc>
                        <w:tc>
                          <w:tcPr>
                            <w:tcW w:w="290" w:type="dxa"/>
                            <w:tcBorders/>
                            <w:shd w:fill="auto" w:val="clear"/>
                            <w:tcMar>
                              <w:bottom w:w="0" w:type="dxa"/>
                            </w:tcMar>
                            <w:vAlign w:val="center"/>
                          </w:tcPr>
                          <w:p>
                            <w:pPr>
                              <w:pStyle w:val="TableContents"/>
                              <w:spacing w:before="0" w:after="283"/>
                              <w:jc w:val="right"/>
                              <w:rPr/>
                            </w:pPr>
                            <w:hyperlink w:anchor="pg_ExecutiveCompensationTables">
                              <w:r>
                                <w:rPr>
                                  <w:rStyle w:val="InternetLink"/>
                                  <w:rFonts w:ascii="Arial" w:hAnsi="Arial"/>
                                  <w:b/>
                                  <w:strike w:val="false"/>
                                  <w:dstrike w:val="false"/>
                                  <w:color w:val="1A2343"/>
                                  <w:sz w:val="20"/>
                                  <w:u w:val="none"/>
                                  <w:effect w:val="none"/>
                                </w:rPr>
                                <w:t>66</w:t>
                              </w:r>
                            </w:hyperlink>
                          </w:p>
                        </w:tc>
                      </w:tr>
                      <w:tr>
                        <w:trPr/>
                        <w:tc>
                          <w:tcPr>
                            <w:tcW w:w="8840" w:type="dxa"/>
                            <w:gridSpan w:val="2"/>
                            <w:tcBorders/>
                            <w:shd w:fill="auto" w:val="clear"/>
                            <w:tcMar>
                              <w:bottom w:w="0" w:type="dxa"/>
                            </w:tcMar>
                            <w:vAlign w:val="center"/>
                          </w:tcPr>
                          <w:p>
                            <w:pPr>
                              <w:pStyle w:val="TableContents"/>
                              <w:spacing w:before="0" w:after="283"/>
                              <w:rPr>
                                <w:sz w:val="4"/>
                                <w:szCs w:val="4"/>
                              </w:rPr>
                            </w:pPr>
                            <w:r>
                              <w:rPr>
                                <w:sz w:val="4"/>
                                <w:szCs w:val="4"/>
                              </w:rPr>
                            </w:r>
                          </w:p>
                        </w:tc>
                        <w:tc>
                          <w:tcPr>
                            <w:tcW w:w="290" w:type="dxa"/>
                            <w:tcBorders/>
                            <w:shd w:fill="auto" w:val="clear"/>
                            <w:tcMar>
                              <w:bottom w:w="0" w:type="dxa"/>
                            </w:tcMar>
                            <w:vAlign w:val="center"/>
                          </w:tcPr>
                          <w:p>
                            <w:pPr>
                              <w:pStyle w:val="TableContents"/>
                              <w:spacing w:before="0" w:after="283"/>
                              <w:jc w:val="right"/>
                              <w:rPr/>
                            </w:pPr>
                            <w:r>
                              <w:rPr/>
                              <w:t> </w:t>
                            </w:r>
                          </w:p>
                        </w:tc>
                      </w:tr>
                      <w:tr>
                        <w:trPr/>
                        <w:tc>
                          <w:tcPr>
                            <w:tcW w:w="8840" w:type="dxa"/>
                            <w:gridSpan w:val="2"/>
                            <w:tcBorders>
                              <w:bottom w:val="single" w:sz="8" w:space="0" w:color="8EAD3C"/>
                            </w:tcBorders>
                            <w:shd w:fill="auto" w:val="clear"/>
                            <w:vAlign w:val="center"/>
                          </w:tcPr>
                          <w:p>
                            <w:pPr>
                              <w:pStyle w:val="TableContents"/>
                              <w:spacing w:before="0" w:after="283"/>
                              <w:jc w:val="left"/>
                              <w:rPr/>
                            </w:pPr>
                            <w:hyperlink w:anchor="pg_AUDITCOMMITTEEMATTERS">
                              <w:r>
                                <w:rPr>
                                  <w:rStyle w:val="InternetLink"/>
                                  <w:rFonts w:ascii="Arial" w:hAnsi="Arial"/>
                                  <w:b/>
                                  <w:strike w:val="false"/>
                                  <w:dstrike w:val="false"/>
                                  <w:color w:val="8BA73B"/>
                                  <w:sz w:val="24"/>
                                  <w:u w:val="none"/>
                                  <w:effect w:val="none"/>
                                </w:rPr>
                                <w:t>AUDIT COMMITTEE MATTERS</w:t>
                              </w:r>
                            </w:hyperlink>
                          </w:p>
                        </w:tc>
                        <w:tc>
                          <w:tcPr>
                            <w:tcW w:w="290" w:type="dxa"/>
                            <w:tcBorders>
                              <w:bottom w:val="single" w:sz="8" w:space="0" w:color="8EAD3C"/>
                            </w:tcBorders>
                            <w:shd w:fill="auto" w:val="clear"/>
                            <w:vAlign w:val="center"/>
                          </w:tcPr>
                          <w:p>
                            <w:pPr>
                              <w:pStyle w:val="TableContents"/>
                              <w:spacing w:before="0" w:after="283"/>
                              <w:jc w:val="right"/>
                              <w:rPr/>
                            </w:pPr>
                            <w:hyperlink w:anchor="pg_AUDITCOMMITTEEMATTERS">
                              <w:r>
                                <w:rPr>
                                  <w:rStyle w:val="InternetLink"/>
                                  <w:rFonts w:ascii="Arial" w:hAnsi="Arial"/>
                                  <w:b/>
                                  <w:strike w:val="false"/>
                                  <w:dstrike w:val="false"/>
                                  <w:color w:val="8BA73B"/>
                                  <w:sz w:val="24"/>
                                  <w:u w:val="none"/>
                                  <w:effect w:val="none"/>
                                </w:rPr>
                                <w:t>80</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AuditCommitteeReport">
                              <w:r>
                                <w:rPr>
                                  <w:rStyle w:val="InternetLink"/>
                                  <w:rFonts w:ascii="Arial" w:hAnsi="Arial"/>
                                  <w:b/>
                                  <w:strike w:val="false"/>
                                  <w:dstrike w:val="false"/>
                                  <w:color w:val="1A2343"/>
                                  <w:sz w:val="20"/>
                                  <w:u w:val="none"/>
                                  <w:effect w:val="none"/>
                                </w:rPr>
                                <w:t>Audit Committee Report</w:t>
                              </w:r>
                            </w:hyperlink>
                          </w:p>
                        </w:tc>
                        <w:tc>
                          <w:tcPr>
                            <w:tcW w:w="290" w:type="dxa"/>
                            <w:tcBorders/>
                            <w:shd w:fill="auto" w:val="clear"/>
                            <w:tcMar>
                              <w:bottom w:w="0" w:type="dxa"/>
                            </w:tcMar>
                            <w:vAlign w:val="center"/>
                          </w:tcPr>
                          <w:p>
                            <w:pPr>
                              <w:pStyle w:val="TableContents"/>
                              <w:spacing w:before="0" w:after="283"/>
                              <w:jc w:val="right"/>
                              <w:rPr/>
                            </w:pPr>
                            <w:hyperlink w:anchor="pg_AuditCommitteeReport">
                              <w:r>
                                <w:rPr>
                                  <w:rStyle w:val="InternetLink"/>
                                  <w:rFonts w:ascii="Arial" w:hAnsi="Arial"/>
                                  <w:b/>
                                  <w:strike w:val="false"/>
                                  <w:dstrike w:val="false"/>
                                  <w:color w:val="1A2343"/>
                                  <w:sz w:val="20"/>
                                  <w:u w:val="none"/>
                                  <w:effect w:val="none"/>
                                </w:rPr>
                                <w:t>80</w:t>
                              </w:r>
                            </w:hyperlink>
                          </w:p>
                        </w:tc>
                      </w:tr>
                      <w:tr>
                        <w:trPr/>
                        <w:tc>
                          <w:tcPr>
                            <w:tcW w:w="8480" w:type="dxa"/>
                            <w:tcBorders/>
                            <w:shd w:fill="F1F5E6" w:val="clear"/>
                            <w:tcMar>
                              <w:bottom w:w="0" w:type="dxa"/>
                            </w:tcMar>
                            <w:vAlign w:val="center"/>
                          </w:tcPr>
                          <w:p>
                            <w:pPr>
                              <w:pStyle w:val="TableContents"/>
                              <w:spacing w:before="0" w:after="283"/>
                              <w:jc w:val="left"/>
                              <w:rPr/>
                            </w:pPr>
                            <w:hyperlink w:anchor="pg_Proposal3RatificationofAppointmentofIndependentRegisteredPublicAccountingFirm">
                              <w:r>
                                <w:rPr>
                                  <w:rStyle w:val="InternetLink"/>
                                  <w:rFonts w:ascii="Arial" w:hAnsi="Arial"/>
                                  <w:b/>
                                  <w:strike w:val="false"/>
                                  <w:dstrike w:val="false"/>
                                  <w:color w:val="1A2343"/>
                                  <w:sz w:val="20"/>
                                  <w:u w:val="none"/>
                                  <w:effect w:val="none"/>
                                </w:rPr>
                                <w:t>Proposal 3: Ratification of Appointment of Independent Registered Public Accounting Firm</w:t>
                              </w:r>
                            </w:hyperlink>
                          </w:p>
                        </w:tc>
                        <w:tc>
                          <w:tcPr>
                            <w:tcW w:w="360" w:type="dxa"/>
                            <w:tcBorders/>
                            <w:shd w:fill="F1F5E6" w:val="clear"/>
                            <w:tcMar>
                              <w:bottom w:w="0" w:type="dxa"/>
                            </w:tcMar>
                            <w:vAlign w:val="center"/>
                          </w:tcPr>
                          <w:p>
                            <w:pPr>
                              <w:pStyle w:val="TableContents"/>
                              <w:spacing w:before="0" w:after="283"/>
                              <w:jc w:val="left"/>
                              <w:rPr/>
                            </w:pPr>
                            <w:r>
                              <w:rPr/>
                              <w:drawing>
                                <wp:inline distT="0" distB="0" distL="0" distR="0">
                                  <wp:extent cx="228600" cy="228600"/>
                                  <wp:effectExtent l="0" t="0" r="0" b="0"/>
                                  <wp:docPr id="9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1" descr=""/>
                                          <pic:cNvPicPr>
                                            <a:picLocks noChangeAspect="1" noChangeArrowheads="1"/>
                                          </pic:cNvPicPr>
                                        </pic:nvPicPr>
                                        <pic:blipFill>
                                          <a:blip r:embed="rId72"/>
                                          <a:srcRect l="-4409" t="-4409" r="-4409" b="-4409"/>
                                          <a:stretch>
                                            <a:fillRect/>
                                          </a:stretch>
                                        </pic:blipFill>
                                        <pic:spPr bwMode="auto">
                                          <a:xfrm>
                                            <a:off x="0" y="0"/>
                                            <a:ext cx="228600" cy="228600"/>
                                          </a:xfrm>
                                          <a:prstGeom prst="rect">
                                            <a:avLst/>
                                          </a:prstGeom>
                                          <a:ln w="635">
                                            <a:solidFill>
                                              <a:srgbClr val="000000"/>
                                            </a:solidFill>
                                          </a:ln>
                                        </pic:spPr>
                                      </pic:pic>
                                    </a:graphicData>
                                  </a:graphic>
                                </wp:inline>
                              </w:drawing>
                            </w:r>
                          </w:p>
                        </w:tc>
                        <w:tc>
                          <w:tcPr>
                            <w:tcW w:w="290" w:type="dxa"/>
                            <w:tcBorders/>
                            <w:shd w:fill="F1F5E6" w:val="clear"/>
                            <w:tcMar>
                              <w:bottom w:w="0" w:type="dxa"/>
                            </w:tcMar>
                            <w:vAlign w:val="center"/>
                          </w:tcPr>
                          <w:p>
                            <w:pPr>
                              <w:pStyle w:val="TableContents"/>
                              <w:spacing w:before="0" w:after="283"/>
                              <w:jc w:val="right"/>
                              <w:rPr/>
                            </w:pPr>
                            <w:hyperlink w:anchor="pg_Proposal3RatificationofAppointmentofIndependentRegisteredPublicAccountingFirm">
                              <w:r>
                                <w:rPr>
                                  <w:rStyle w:val="InternetLink"/>
                                  <w:rFonts w:ascii="Arial" w:hAnsi="Arial"/>
                                  <w:b/>
                                  <w:strike w:val="false"/>
                                  <w:dstrike w:val="false"/>
                                  <w:color w:val="1A2343"/>
                                  <w:sz w:val="20"/>
                                  <w:u w:val="none"/>
                                  <w:effect w:val="none"/>
                                </w:rPr>
                                <w:t>81</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PreApprovalPoliciesandProceduresofourAuditCommittee">
                              <w:r>
                                <w:rPr>
                                  <w:rStyle w:val="InternetLink"/>
                                  <w:rFonts w:ascii="Arial" w:hAnsi="Arial"/>
                                  <w:b/>
                                  <w:strike w:val="false"/>
                                  <w:dstrike w:val="false"/>
                                  <w:color w:val="1A2343"/>
                                  <w:sz w:val="20"/>
                                  <w:u w:val="none"/>
                                  <w:effect w:val="none"/>
                                </w:rPr>
                                <w:t>Pre-Approval Policies and Procedures of our Audit Committee</w:t>
                              </w:r>
                            </w:hyperlink>
                          </w:p>
                        </w:tc>
                        <w:tc>
                          <w:tcPr>
                            <w:tcW w:w="290" w:type="dxa"/>
                            <w:tcBorders/>
                            <w:shd w:fill="auto" w:val="clear"/>
                            <w:tcMar>
                              <w:bottom w:w="0" w:type="dxa"/>
                            </w:tcMar>
                            <w:vAlign w:val="center"/>
                          </w:tcPr>
                          <w:p>
                            <w:pPr>
                              <w:pStyle w:val="TableContents"/>
                              <w:spacing w:before="0" w:after="283"/>
                              <w:jc w:val="right"/>
                              <w:rPr/>
                            </w:pPr>
                            <w:hyperlink w:anchor="pg_PreApprovalPoliciesandProceduresofourAuditCommittee">
                              <w:r>
                                <w:rPr>
                                  <w:rStyle w:val="InternetLink"/>
                                  <w:rFonts w:ascii="Arial" w:hAnsi="Arial"/>
                                  <w:b/>
                                  <w:strike w:val="false"/>
                                  <w:dstrike w:val="false"/>
                                  <w:color w:val="1A2343"/>
                                  <w:sz w:val="20"/>
                                  <w:u w:val="none"/>
                                  <w:effect w:val="none"/>
                                </w:rPr>
                                <w:t>82</w:t>
                              </w:r>
                            </w:hyperlink>
                          </w:p>
                        </w:tc>
                      </w:tr>
                      <w:tr>
                        <w:trPr/>
                        <w:tc>
                          <w:tcPr>
                            <w:tcW w:w="8840" w:type="dxa"/>
                            <w:gridSpan w:val="2"/>
                            <w:tcBorders/>
                            <w:shd w:fill="auto" w:val="clear"/>
                            <w:tcMar>
                              <w:bottom w:w="0" w:type="dxa"/>
                            </w:tcMar>
                            <w:vAlign w:val="center"/>
                          </w:tcPr>
                          <w:p>
                            <w:pPr>
                              <w:pStyle w:val="TableContents"/>
                              <w:spacing w:before="0" w:after="283"/>
                              <w:jc w:val="left"/>
                              <w:rPr/>
                            </w:pPr>
                            <w:hyperlink w:anchor="pg_FeeDisclosure">
                              <w:r>
                                <w:rPr>
                                  <w:rStyle w:val="InternetLink"/>
                                  <w:rFonts w:ascii="Arial" w:hAnsi="Arial"/>
                                  <w:b/>
                                  <w:strike w:val="false"/>
                                  <w:dstrike w:val="false"/>
                                  <w:color w:val="1A2343"/>
                                  <w:sz w:val="20"/>
                                  <w:u w:val="none"/>
                                  <w:effect w:val="none"/>
                                </w:rPr>
                                <w:t>Fee Disclosure</w:t>
                              </w:r>
                            </w:hyperlink>
                          </w:p>
                        </w:tc>
                        <w:tc>
                          <w:tcPr>
                            <w:tcW w:w="290" w:type="dxa"/>
                            <w:tcBorders/>
                            <w:shd w:fill="auto" w:val="clear"/>
                            <w:tcMar>
                              <w:bottom w:w="0" w:type="dxa"/>
                            </w:tcMar>
                            <w:vAlign w:val="center"/>
                          </w:tcPr>
                          <w:p>
                            <w:pPr>
                              <w:pStyle w:val="TableContents"/>
                              <w:spacing w:before="0" w:after="283"/>
                              <w:jc w:val="right"/>
                              <w:rPr/>
                            </w:pPr>
                            <w:hyperlink w:anchor="pg_FeeDisclosure">
                              <w:r>
                                <w:rPr>
                                  <w:rStyle w:val="InternetLink"/>
                                  <w:rFonts w:ascii="Arial" w:hAnsi="Arial"/>
                                  <w:b/>
                                  <w:strike w:val="false"/>
                                  <w:dstrike w:val="false"/>
                                  <w:color w:val="1A2343"/>
                                  <w:sz w:val="20"/>
                                  <w:u w:val="none"/>
                                  <w:effect w:val="none"/>
                                </w:rPr>
                                <w:t>82</w:t>
                              </w:r>
                            </w:hyperlink>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3">
                <wp:simplePos x="0" y="0"/>
                <wp:positionH relativeFrom="column">
                  <wp:align>right</wp:align>
                </wp:positionH>
                <wp:positionV relativeFrom="line">
                  <wp:posOffset>635</wp:posOffset>
                </wp:positionV>
                <wp:extent cx="3110230" cy="5510530"/>
                <wp:effectExtent l="0" t="0" r="0" b="0"/>
                <wp:wrapSquare wrapText="largest"/>
                <wp:docPr id="92" name="Frame8"/>
                <a:graphic xmlns:a="http://schemas.openxmlformats.org/drawingml/2006/main">
                  <a:graphicData uri="http://schemas.microsoft.com/office/word/2010/wordprocessingShape">
                    <wps:wsp>
                      <wps:cNvSpPr txBox="1"/>
                      <wps:spPr>
                        <a:xfrm>
                          <a:off x="0" y="0"/>
                          <a:ext cx="3110230" cy="5510530"/>
                        </a:xfrm>
                        <a:prstGeom prst="rect"/>
                      </wps:spPr>
                      <wps:txbx>
                        <w:txbxContent>
                          <w:tbl>
                            <w:tblPr>
                              <w:tblW w:w="10205" w:type="dxa"/>
                              <w:jc w:val="left"/>
                              <w:tblInd w:w="0" w:type="dxa"/>
                              <w:tblCellMar>
                                <w:top w:w="0" w:type="dxa"/>
                                <w:left w:w="0" w:type="dxa"/>
                                <w:bottom w:w="40" w:type="dxa"/>
                                <w:right w:w="0" w:type="dxa"/>
                              </w:tblCellMar>
                            </w:tblPr>
                            <w:tblGrid>
                              <w:gridCol w:w="9475"/>
                              <w:gridCol w:w="360"/>
                              <w:gridCol w:w="370"/>
                            </w:tblGrid>
                            <w:tr>
                              <w:trPr/>
                              <w:tc>
                                <w:tcPr>
                                  <w:tcW w:w="9835" w:type="dxa"/>
                                  <w:gridSpan w:val="2"/>
                                  <w:tcBorders>
                                    <w:bottom w:val="single" w:sz="8" w:space="0" w:color="8EAD3C"/>
                                  </w:tcBorders>
                                  <w:shd w:fill="auto" w:val="clear"/>
                                  <w:vAlign w:val="center"/>
                                </w:tcPr>
                                <w:p>
                                  <w:pPr>
                                    <w:pStyle w:val="TableContents"/>
                                    <w:spacing w:before="0" w:after="283"/>
                                    <w:jc w:val="left"/>
                                    <w:rPr/>
                                  </w:pPr>
                                  <w:hyperlink w:anchor="pg_OTHERPROPOSALS">
                                    <w:r>
                                      <w:rPr>
                                        <w:rStyle w:val="InternetLink"/>
                                        <w:rFonts w:ascii="Arial" w:hAnsi="Arial"/>
                                        <w:b/>
                                        <w:strike w:val="false"/>
                                        <w:dstrike w:val="false"/>
                                        <w:color w:val="8BA73B"/>
                                        <w:sz w:val="24"/>
                                        <w:u w:val="none"/>
                                        <w:effect w:val="none"/>
                                      </w:rPr>
                                      <w:t>OTHER PROPOSALS</w:t>
                                    </w:r>
                                  </w:hyperlink>
                                </w:p>
                              </w:tc>
                              <w:tc>
                                <w:tcPr>
                                  <w:tcW w:w="370" w:type="dxa"/>
                                  <w:tcBorders>
                                    <w:bottom w:val="single" w:sz="8" w:space="0" w:color="8EAD3C"/>
                                  </w:tcBorders>
                                  <w:shd w:fill="auto" w:val="clear"/>
                                  <w:vAlign w:val="center"/>
                                </w:tcPr>
                                <w:p>
                                  <w:pPr>
                                    <w:pStyle w:val="TableContents"/>
                                    <w:spacing w:before="0" w:after="283"/>
                                    <w:jc w:val="right"/>
                                    <w:rPr/>
                                  </w:pPr>
                                  <w:hyperlink w:anchor="pg_OTHERPROPOSALS">
                                    <w:r>
                                      <w:rPr>
                                        <w:rStyle w:val="InternetLink"/>
                                        <w:rFonts w:ascii="Arial" w:hAnsi="Arial"/>
                                        <w:b/>
                                        <w:strike w:val="false"/>
                                        <w:dstrike w:val="false"/>
                                        <w:color w:val="8BA73B"/>
                                        <w:sz w:val="24"/>
                                        <w:u w:val="none"/>
                                        <w:effect w:val="none"/>
                                      </w:rPr>
                                      <w:t>83</w:t>
                                    </w:r>
                                  </w:hyperlink>
                                </w:p>
                              </w:tc>
                            </w:tr>
                            <w:tr>
                              <w:trPr/>
                              <w:tc>
                                <w:tcPr>
                                  <w:tcW w:w="9475" w:type="dxa"/>
                                  <w:tcBorders/>
                                  <w:shd w:fill="F1F5E6" w:val="clear"/>
                                  <w:tcMar>
                                    <w:bottom w:w="0" w:type="dxa"/>
                                  </w:tcMar>
                                  <w:vAlign w:val="center"/>
                                </w:tcPr>
                                <w:p>
                                  <w:pPr>
                                    <w:pStyle w:val="TableContents"/>
                                    <w:spacing w:before="0" w:after="283"/>
                                    <w:jc w:val="left"/>
                                    <w:rPr/>
                                  </w:pPr>
                                  <w:hyperlink w:anchor="pg_Proposal4NonBinding">
                                    <w:r>
                                      <w:rPr>
                                        <w:rStyle w:val="InternetLink"/>
                                        <w:rFonts w:ascii="Arial" w:hAnsi="Arial"/>
                                        <w:b/>
                                        <w:strike w:val="false"/>
                                        <w:dstrike w:val="false"/>
                                        <w:color w:val="1A2343"/>
                                        <w:sz w:val="20"/>
                                        <w:u w:val="none"/>
                                        <w:effect w:val="none"/>
                                      </w:rPr>
                                      <w:t>Proposal 4: Non-Binding, Advisory Vote on the Frequency of Stockholder Advisory Votes on the Compensation of Our Named Executive Officers</w:t>
                                    </w:r>
                                  </w:hyperlink>
                                </w:p>
                              </w:tc>
                              <w:tc>
                                <w:tcPr>
                                  <w:tcW w:w="360" w:type="dxa"/>
                                  <w:tcBorders/>
                                  <w:shd w:fill="F1F5E6" w:val="clear"/>
                                  <w:tcMar>
                                    <w:bottom w:w="0" w:type="dxa"/>
                                  </w:tcMar>
                                  <w:vAlign w:val="center"/>
                                </w:tcPr>
                                <w:p>
                                  <w:pPr>
                                    <w:pStyle w:val="TableContents"/>
                                    <w:spacing w:before="0" w:after="283"/>
                                    <w:jc w:val="left"/>
                                    <w:rPr/>
                                  </w:pPr>
                                  <w:r>
                                    <w:rPr/>
                                    <w:drawing>
                                      <wp:inline distT="0" distB="0" distL="0" distR="0">
                                        <wp:extent cx="228600" cy="228600"/>
                                        <wp:effectExtent l="0" t="0" r="0" b="0"/>
                                        <wp:docPr id="9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2" descr=""/>
                                                <pic:cNvPicPr>
                                                  <a:picLocks noChangeAspect="1" noChangeArrowheads="1"/>
                                                </pic:cNvPicPr>
                                              </pic:nvPicPr>
                                              <pic:blipFill>
                                                <a:blip r:embed="rId73"/>
                                                <a:srcRect l="-4409" t="-4409" r="-4409" b="-4409"/>
                                                <a:stretch>
                                                  <a:fillRect/>
                                                </a:stretch>
                                              </pic:blipFill>
                                              <pic:spPr bwMode="auto">
                                                <a:xfrm>
                                                  <a:off x="0" y="0"/>
                                                  <a:ext cx="228600" cy="228600"/>
                                                </a:xfrm>
                                                <a:prstGeom prst="rect">
                                                  <a:avLst/>
                                                </a:prstGeom>
                                                <a:ln w="635">
                                                  <a:solidFill>
                                                    <a:srgbClr val="000000"/>
                                                  </a:solidFill>
                                                </a:ln>
                                              </pic:spPr>
                                            </pic:pic>
                                          </a:graphicData>
                                        </a:graphic>
                                      </wp:inline>
                                    </w:drawing>
                                  </w:r>
                                </w:p>
                              </w:tc>
                              <w:tc>
                                <w:tcPr>
                                  <w:tcW w:w="370" w:type="dxa"/>
                                  <w:tcBorders/>
                                  <w:shd w:fill="F1F5E6" w:val="clear"/>
                                  <w:tcMar>
                                    <w:bottom w:w="0" w:type="dxa"/>
                                  </w:tcMar>
                                  <w:vAlign w:val="center"/>
                                </w:tcPr>
                                <w:p>
                                  <w:pPr>
                                    <w:pStyle w:val="TableContents"/>
                                    <w:spacing w:before="0" w:after="283"/>
                                    <w:jc w:val="right"/>
                                    <w:rPr/>
                                  </w:pPr>
                                  <w:hyperlink w:anchor="pg_Proposal4NonBinding">
                                    <w:r>
                                      <w:rPr>
                                        <w:rStyle w:val="InternetLink"/>
                                        <w:rFonts w:ascii="Arial" w:hAnsi="Arial"/>
                                        <w:b/>
                                        <w:strike w:val="false"/>
                                        <w:dstrike w:val="false"/>
                                        <w:color w:val="1A2343"/>
                                        <w:sz w:val="20"/>
                                        <w:u w:val="none"/>
                                        <w:effect w:val="none"/>
                                      </w:rPr>
                                      <w:t>83</w:t>
                                    </w:r>
                                  </w:hyperlink>
                                </w:p>
                              </w:tc>
                            </w:tr>
                            <w:tr>
                              <w:trPr/>
                              <w:tc>
                                <w:tcPr>
                                  <w:tcW w:w="9835" w:type="dxa"/>
                                  <w:gridSpan w:val="2"/>
                                  <w:tcBorders/>
                                  <w:shd w:fill="auto" w:val="clear"/>
                                  <w:tcMar>
                                    <w:bottom w:w="0" w:type="dxa"/>
                                  </w:tcMar>
                                  <w:vAlign w:val="center"/>
                                </w:tcPr>
                                <w:p>
                                  <w:pPr>
                                    <w:pStyle w:val="TableContents"/>
                                    <w:spacing w:before="0" w:after="283"/>
                                    <w:jc w:val="left"/>
                                    <w:rPr>
                                      <w:color w:val="8BA73B"/>
                                    </w:rPr>
                                  </w:pPr>
                                  <w:r>
                                    <w:rPr>
                                      <w:color w:val="8BA73B"/>
                                    </w:rPr>
                                    <w:t>  </w:t>
                                  </w:r>
                                </w:p>
                              </w:tc>
                              <w:tc>
                                <w:tcPr>
                                  <w:tcW w:w="37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9835" w:type="dxa"/>
                                  <w:gridSpan w:val="2"/>
                                  <w:tcBorders>
                                    <w:bottom w:val="single" w:sz="8" w:space="0" w:color="8EAD3C"/>
                                  </w:tcBorders>
                                  <w:shd w:fill="auto" w:val="clear"/>
                                  <w:vAlign w:val="center"/>
                                </w:tcPr>
                                <w:p>
                                  <w:pPr>
                                    <w:pStyle w:val="TableContents"/>
                                    <w:spacing w:before="0" w:after="283"/>
                                    <w:jc w:val="left"/>
                                    <w:rPr/>
                                  </w:pPr>
                                  <w:hyperlink w:anchor="pg_STOCKOWNERSHIPINFORMATION">
                                    <w:r>
                                      <w:rPr>
                                        <w:rStyle w:val="InternetLink"/>
                                        <w:rFonts w:ascii="Arial" w:hAnsi="Arial"/>
                                        <w:b/>
                                        <w:strike w:val="false"/>
                                        <w:dstrike w:val="false"/>
                                        <w:color w:val="8BA73B"/>
                                        <w:sz w:val="24"/>
                                        <w:u w:val="none"/>
                                        <w:effect w:val="none"/>
                                      </w:rPr>
                                      <w:t>STOCK OWNERSHIP INFORMATION</w:t>
                                    </w:r>
                                  </w:hyperlink>
                                </w:p>
                              </w:tc>
                              <w:tc>
                                <w:tcPr>
                                  <w:tcW w:w="370" w:type="dxa"/>
                                  <w:tcBorders>
                                    <w:bottom w:val="single" w:sz="8" w:space="0" w:color="8EAD3C"/>
                                  </w:tcBorders>
                                  <w:shd w:fill="auto" w:val="clear"/>
                                  <w:vAlign w:val="center"/>
                                </w:tcPr>
                                <w:p>
                                  <w:pPr>
                                    <w:pStyle w:val="TableContents"/>
                                    <w:spacing w:before="0" w:after="283"/>
                                    <w:jc w:val="right"/>
                                    <w:rPr/>
                                  </w:pPr>
                                  <w:hyperlink w:anchor="pg_STOCKOWNERSHIPINFORMATION">
                                    <w:r>
                                      <w:rPr>
                                        <w:rStyle w:val="InternetLink"/>
                                        <w:rFonts w:ascii="Arial" w:hAnsi="Arial"/>
                                        <w:b/>
                                        <w:strike w:val="false"/>
                                        <w:dstrike w:val="false"/>
                                        <w:color w:val="8BA73B"/>
                                        <w:sz w:val="24"/>
                                        <w:u w:val="none"/>
                                        <w:effect w:val="none"/>
                                      </w:rPr>
                                      <w:t>84</w:t>
                                    </w:r>
                                  </w:hyperlink>
                                </w:p>
                              </w:tc>
                            </w:tr>
                            <w:tr>
                              <w:trPr/>
                              <w:tc>
                                <w:tcPr>
                                  <w:tcW w:w="9835" w:type="dxa"/>
                                  <w:gridSpan w:val="2"/>
                                  <w:tcBorders/>
                                  <w:shd w:fill="auto" w:val="clear"/>
                                  <w:tcMar>
                                    <w:bottom w:w="0" w:type="dxa"/>
                                  </w:tcMar>
                                  <w:vAlign w:val="center"/>
                                </w:tcPr>
                                <w:p>
                                  <w:pPr>
                                    <w:pStyle w:val="TableContents"/>
                                    <w:spacing w:before="0" w:after="283"/>
                                    <w:jc w:val="left"/>
                                    <w:rPr/>
                                  </w:pPr>
                                  <w:hyperlink w:anchor="pg_SecurityOwnershipofCertainBeneficialOwnersandManagement">
                                    <w:r>
                                      <w:rPr>
                                        <w:rStyle w:val="InternetLink"/>
                                        <w:rFonts w:ascii="Arial" w:hAnsi="Arial"/>
                                        <w:b/>
                                        <w:strike w:val="false"/>
                                        <w:dstrike w:val="false"/>
                                        <w:color w:val="1A2343"/>
                                        <w:sz w:val="20"/>
                                        <w:u w:val="none"/>
                                        <w:effect w:val="none"/>
                                      </w:rPr>
                                      <w:t>Security Ownership of Certain Beneficial Owners and Management</w:t>
                                    </w:r>
                                  </w:hyperlink>
                                </w:p>
                              </w:tc>
                              <w:tc>
                                <w:tcPr>
                                  <w:tcW w:w="370" w:type="dxa"/>
                                  <w:tcBorders/>
                                  <w:shd w:fill="auto" w:val="clear"/>
                                  <w:tcMar>
                                    <w:bottom w:w="0" w:type="dxa"/>
                                  </w:tcMar>
                                  <w:vAlign w:val="center"/>
                                </w:tcPr>
                                <w:p>
                                  <w:pPr>
                                    <w:pStyle w:val="TableContents"/>
                                    <w:spacing w:before="0" w:after="283"/>
                                    <w:jc w:val="right"/>
                                    <w:rPr/>
                                  </w:pPr>
                                  <w:hyperlink w:anchor="pg_SecurityOwnershipofCertainBeneficialOwnersandManagement">
                                    <w:r>
                                      <w:rPr>
                                        <w:rStyle w:val="InternetLink"/>
                                        <w:rFonts w:ascii="Arial" w:hAnsi="Arial"/>
                                        <w:b/>
                                        <w:strike w:val="false"/>
                                        <w:dstrike w:val="false"/>
                                        <w:color w:val="1A2343"/>
                                        <w:sz w:val="20"/>
                                        <w:u w:val="none"/>
                                        <w:effect w:val="none"/>
                                      </w:rPr>
                                      <w:t>84</w:t>
                                    </w:r>
                                  </w:hyperlink>
                                </w:p>
                              </w:tc>
                            </w:tr>
                            <w:tr>
                              <w:trPr/>
                              <w:tc>
                                <w:tcPr>
                                  <w:tcW w:w="9835" w:type="dxa"/>
                                  <w:gridSpan w:val="2"/>
                                  <w:tcBorders/>
                                  <w:shd w:fill="auto" w:val="clear"/>
                                  <w:tcMar>
                                    <w:bottom w:w="0" w:type="dxa"/>
                                  </w:tcMar>
                                  <w:vAlign w:val="center"/>
                                </w:tcPr>
                                <w:p>
                                  <w:pPr>
                                    <w:pStyle w:val="TableContents"/>
                                    <w:spacing w:before="0" w:after="283"/>
                                    <w:jc w:val="left"/>
                                    <w:rPr/>
                                  </w:pPr>
                                  <w:hyperlink w:anchor="delinquet_sec">
                                    <w:r>
                                      <w:rPr>
                                        <w:rStyle w:val="InternetLink"/>
                                        <w:rFonts w:ascii="Arial" w:hAnsi="Arial"/>
                                        <w:b/>
                                        <w:strike w:val="false"/>
                                        <w:dstrike w:val="false"/>
                                        <w:color w:val="1A2343"/>
                                        <w:sz w:val="20"/>
                                        <w:u w:val="none"/>
                                        <w:effect w:val="none"/>
                                      </w:rPr>
                                      <w:t>Delinquent Section 16(a) Reports</w:t>
                                    </w:r>
                                  </w:hyperlink>
                                </w:p>
                              </w:tc>
                              <w:tc>
                                <w:tcPr>
                                  <w:tcW w:w="370" w:type="dxa"/>
                                  <w:tcBorders/>
                                  <w:shd w:fill="auto" w:val="clear"/>
                                  <w:tcMar>
                                    <w:bottom w:w="0" w:type="dxa"/>
                                  </w:tcMar>
                                  <w:vAlign w:val="center"/>
                                </w:tcPr>
                                <w:p>
                                  <w:pPr>
                                    <w:pStyle w:val="TableContents"/>
                                    <w:spacing w:before="0" w:after="283"/>
                                    <w:jc w:val="right"/>
                                    <w:rPr/>
                                  </w:pPr>
                                  <w:hyperlink w:anchor="delinquet_sec">
                                    <w:r>
                                      <w:rPr>
                                        <w:rStyle w:val="InternetLink"/>
                                        <w:rFonts w:ascii="Arial" w:hAnsi="Arial"/>
                                        <w:b/>
                                        <w:strike w:val="false"/>
                                        <w:dstrike w:val="false"/>
                                        <w:color w:val="1A2343"/>
                                        <w:sz w:val="20"/>
                                        <w:u w:val="none"/>
                                        <w:effect w:val="none"/>
                                      </w:rPr>
                                      <w:t>86</w:t>
                                    </w:r>
                                  </w:hyperlink>
                                </w:p>
                              </w:tc>
                            </w:tr>
                            <w:tr>
                              <w:trPr/>
                              <w:tc>
                                <w:tcPr>
                                  <w:tcW w:w="9835" w:type="dxa"/>
                                  <w:gridSpan w:val="2"/>
                                  <w:tcBorders/>
                                  <w:shd w:fill="auto" w:val="clear"/>
                                  <w:tcMar>
                                    <w:bottom w:w="0" w:type="dxa"/>
                                  </w:tcMar>
                                  <w:vAlign w:val="center"/>
                                </w:tcPr>
                                <w:p>
                                  <w:pPr>
                                    <w:pStyle w:val="TableContents"/>
                                    <w:spacing w:before="0" w:after="283"/>
                                    <w:jc w:val="left"/>
                                    <w:rPr/>
                                  </w:pPr>
                                  <w:r>
                                    <w:rPr/>
                                    <w:t> </w:t>
                                  </w:r>
                                </w:p>
                              </w:tc>
                              <w:tc>
                                <w:tcPr>
                                  <w:tcW w:w="370" w:type="dxa"/>
                                  <w:tcBorders/>
                                  <w:shd w:fill="auto" w:val="clear"/>
                                  <w:tcMar>
                                    <w:bottom w:w="0" w:type="dxa"/>
                                  </w:tcMar>
                                  <w:vAlign w:val="center"/>
                                </w:tcPr>
                                <w:p>
                                  <w:pPr>
                                    <w:pStyle w:val="TableContents"/>
                                    <w:spacing w:before="0" w:after="283"/>
                                    <w:jc w:val="right"/>
                                    <w:rPr/>
                                  </w:pPr>
                                  <w:r>
                                    <w:rPr/>
                                    <w:t> </w:t>
                                  </w:r>
                                </w:p>
                              </w:tc>
                            </w:tr>
                            <w:tr>
                              <w:trPr/>
                              <w:tc>
                                <w:tcPr>
                                  <w:tcW w:w="9835" w:type="dxa"/>
                                  <w:gridSpan w:val="2"/>
                                  <w:tcBorders>
                                    <w:bottom w:val="single" w:sz="8" w:space="0" w:color="8EAD3C"/>
                                  </w:tcBorders>
                                  <w:shd w:fill="auto" w:val="clear"/>
                                  <w:vAlign w:val="center"/>
                                </w:tcPr>
                                <w:p>
                                  <w:pPr>
                                    <w:pStyle w:val="TableContents"/>
                                    <w:spacing w:before="0" w:after="283"/>
                                    <w:jc w:val="left"/>
                                    <w:rPr/>
                                  </w:pPr>
                                  <w:hyperlink w:anchor="pg_CERTAINRELATIONSHIPSANDRELATEDPARTYTRANSACTIONS">
                                    <w:r>
                                      <w:rPr>
                                        <w:rStyle w:val="InternetLink"/>
                                        <w:rFonts w:ascii="Arial" w:hAnsi="Arial"/>
                                        <w:b/>
                                        <w:strike w:val="false"/>
                                        <w:dstrike w:val="false"/>
                                        <w:color w:val="8BA73B"/>
                                        <w:sz w:val="24"/>
                                        <w:u w:val="none"/>
                                        <w:effect w:val="none"/>
                                      </w:rPr>
                                      <w:t>CERTAIN RELATIONSHIPS AND RELATED PARTY TRANSACTIONS</w:t>
                                    </w:r>
                                  </w:hyperlink>
                                </w:p>
                              </w:tc>
                              <w:tc>
                                <w:tcPr>
                                  <w:tcW w:w="370" w:type="dxa"/>
                                  <w:tcBorders>
                                    <w:bottom w:val="single" w:sz="8" w:space="0" w:color="8EAD3C"/>
                                  </w:tcBorders>
                                  <w:shd w:fill="auto" w:val="clear"/>
                                  <w:vAlign w:val="center"/>
                                </w:tcPr>
                                <w:p>
                                  <w:pPr>
                                    <w:pStyle w:val="TableContents"/>
                                    <w:spacing w:before="0" w:after="283"/>
                                    <w:jc w:val="right"/>
                                    <w:rPr/>
                                  </w:pPr>
                                  <w:hyperlink w:anchor="pg_CERTAINRELATIONSHIPSANDRELATEDPARTYTRANSACTIONS">
                                    <w:r>
                                      <w:rPr>
                                        <w:rStyle w:val="InternetLink"/>
                                        <w:rFonts w:ascii="Arial" w:hAnsi="Arial"/>
                                        <w:b/>
                                        <w:strike w:val="false"/>
                                        <w:dstrike w:val="false"/>
                                        <w:color w:val="8BA73B"/>
                                        <w:sz w:val="24"/>
                                        <w:u w:val="none"/>
                                        <w:effect w:val="none"/>
                                      </w:rPr>
                                      <w:t>87</w:t>
                                    </w:r>
                                  </w:hyperlink>
                                </w:p>
                              </w:tc>
                            </w:tr>
                            <w:tr>
                              <w:trPr/>
                              <w:tc>
                                <w:tcPr>
                                  <w:tcW w:w="9835" w:type="dxa"/>
                                  <w:gridSpan w:val="2"/>
                                  <w:tcBorders/>
                                  <w:shd w:fill="auto" w:val="clear"/>
                                  <w:tcMar>
                                    <w:bottom w:w="0" w:type="dxa"/>
                                  </w:tcMar>
                                  <w:vAlign w:val="center"/>
                                </w:tcPr>
                                <w:p>
                                  <w:pPr>
                                    <w:pStyle w:val="TableContents"/>
                                    <w:spacing w:before="0" w:after="283"/>
                                    <w:jc w:val="left"/>
                                    <w:rPr/>
                                  </w:pPr>
                                  <w:r>
                                    <w:rPr/>
                                    <w:t> </w:t>
                                  </w:r>
                                </w:p>
                              </w:tc>
                              <w:tc>
                                <w:tcPr>
                                  <w:tcW w:w="37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9835" w:type="dxa"/>
                                  <w:gridSpan w:val="2"/>
                                  <w:tcBorders>
                                    <w:bottom w:val="single" w:sz="8" w:space="0" w:color="8EAD3C"/>
                                  </w:tcBorders>
                                  <w:shd w:fill="auto" w:val="clear"/>
                                  <w:vAlign w:val="center"/>
                                </w:tcPr>
                                <w:p>
                                  <w:pPr>
                                    <w:pStyle w:val="TableContents"/>
                                    <w:spacing w:before="0" w:after="283"/>
                                    <w:jc w:val="left"/>
                                    <w:rPr/>
                                  </w:pPr>
                                  <w:hyperlink w:anchor="pg_OTHERINFORMATION">
                                    <w:r>
                                      <w:rPr>
                                        <w:rStyle w:val="InternetLink"/>
                                        <w:rFonts w:ascii="Arial" w:hAnsi="Arial"/>
                                        <w:b/>
                                        <w:strike w:val="false"/>
                                        <w:dstrike w:val="false"/>
                                        <w:color w:val="8BA73B"/>
                                        <w:sz w:val="24"/>
                                        <w:u w:val="none"/>
                                        <w:effect w:val="none"/>
                                      </w:rPr>
                                      <w:t>OTHER INFORMATION</w:t>
                                    </w:r>
                                  </w:hyperlink>
                                </w:p>
                              </w:tc>
                              <w:tc>
                                <w:tcPr>
                                  <w:tcW w:w="370" w:type="dxa"/>
                                  <w:tcBorders>
                                    <w:bottom w:val="single" w:sz="8" w:space="0" w:color="8EAD3C"/>
                                  </w:tcBorders>
                                  <w:shd w:fill="auto" w:val="clear"/>
                                  <w:vAlign w:val="center"/>
                                </w:tcPr>
                                <w:p>
                                  <w:pPr>
                                    <w:pStyle w:val="TableContents"/>
                                    <w:spacing w:before="0" w:after="283"/>
                                    <w:jc w:val="right"/>
                                    <w:rPr/>
                                  </w:pPr>
                                  <w:hyperlink w:anchor="pg_OTHERINFORMATION">
                                    <w:r>
                                      <w:rPr>
                                        <w:rStyle w:val="InternetLink"/>
                                        <w:rFonts w:ascii="Arial" w:hAnsi="Arial"/>
                                        <w:b/>
                                        <w:strike w:val="false"/>
                                        <w:dstrike w:val="false"/>
                                        <w:color w:val="8BA73B"/>
                                        <w:sz w:val="24"/>
                                        <w:u w:val="none"/>
                                        <w:effect w:val="none"/>
                                      </w:rPr>
                                      <w:t>90</w:t>
                                    </w:r>
                                  </w:hyperlink>
                                </w:p>
                              </w:tc>
                            </w:tr>
                            <w:tr>
                              <w:trPr/>
                              <w:tc>
                                <w:tcPr>
                                  <w:tcW w:w="9835" w:type="dxa"/>
                                  <w:gridSpan w:val="2"/>
                                  <w:tcBorders/>
                                  <w:shd w:fill="auto" w:val="clear"/>
                                  <w:tcMar>
                                    <w:bottom w:w="0" w:type="dxa"/>
                                  </w:tcMar>
                                  <w:vAlign w:val="center"/>
                                </w:tcPr>
                                <w:p>
                                  <w:pPr>
                                    <w:pStyle w:val="TableContents"/>
                                    <w:spacing w:before="0" w:after="283"/>
                                    <w:jc w:val="left"/>
                                    <w:rPr/>
                                  </w:pPr>
                                  <w:hyperlink w:anchor="pg_QuestionsandAnswersabouttheAnnualMeeting">
                                    <w:r>
                                      <w:rPr>
                                        <w:rStyle w:val="InternetLink"/>
                                        <w:rFonts w:ascii="Arial" w:hAnsi="Arial"/>
                                        <w:b/>
                                        <w:strike w:val="false"/>
                                        <w:dstrike w:val="false"/>
                                        <w:color w:val="1A2343"/>
                                        <w:sz w:val="20"/>
                                        <w:u w:val="none"/>
                                        <w:effect w:val="none"/>
                                      </w:rPr>
                                      <w:t>Questions and Answers about the Annual Meeting</w:t>
                                    </w:r>
                                  </w:hyperlink>
                                </w:p>
                              </w:tc>
                              <w:tc>
                                <w:tcPr>
                                  <w:tcW w:w="370" w:type="dxa"/>
                                  <w:tcBorders/>
                                  <w:shd w:fill="auto" w:val="clear"/>
                                  <w:tcMar>
                                    <w:bottom w:w="0" w:type="dxa"/>
                                  </w:tcMar>
                                  <w:vAlign w:val="center"/>
                                </w:tcPr>
                                <w:p>
                                  <w:pPr>
                                    <w:pStyle w:val="TableContents"/>
                                    <w:spacing w:before="0" w:after="283"/>
                                    <w:jc w:val="right"/>
                                    <w:rPr/>
                                  </w:pPr>
                                  <w:hyperlink w:anchor="pg_QuestionsandAnswersabouttheAnnualMeeting">
                                    <w:r>
                                      <w:rPr>
                                        <w:rStyle w:val="InternetLink"/>
                                        <w:rFonts w:ascii="Arial" w:hAnsi="Arial"/>
                                        <w:b/>
                                        <w:strike w:val="false"/>
                                        <w:dstrike w:val="false"/>
                                        <w:color w:val="1A2343"/>
                                        <w:sz w:val="20"/>
                                        <w:u w:val="none"/>
                                        <w:effect w:val="none"/>
                                      </w:rPr>
                                      <w:t>90</w:t>
                                    </w:r>
                                  </w:hyperlink>
                                </w:p>
                              </w:tc>
                            </w:tr>
                            <w:tr>
                              <w:trPr/>
                              <w:tc>
                                <w:tcPr>
                                  <w:tcW w:w="9835" w:type="dxa"/>
                                  <w:gridSpan w:val="2"/>
                                  <w:tcBorders/>
                                  <w:shd w:fill="auto" w:val="clear"/>
                                  <w:tcMar>
                                    <w:bottom w:w="0" w:type="dxa"/>
                                  </w:tcMar>
                                  <w:vAlign w:val="center"/>
                                </w:tcPr>
                                <w:p>
                                  <w:pPr>
                                    <w:pStyle w:val="TableContents"/>
                                    <w:spacing w:before="0" w:after="283"/>
                                    <w:jc w:val="left"/>
                                    <w:rPr/>
                                  </w:pPr>
                                  <w:hyperlink w:anchor="pg_OtherMatters">
                                    <w:r>
                                      <w:rPr>
                                        <w:rStyle w:val="InternetLink"/>
                                        <w:rFonts w:ascii="Arial" w:hAnsi="Arial"/>
                                        <w:b/>
                                        <w:strike w:val="false"/>
                                        <w:dstrike w:val="false"/>
                                        <w:color w:val="1A2343"/>
                                        <w:sz w:val="20"/>
                                        <w:u w:val="none"/>
                                        <w:effect w:val="none"/>
                                      </w:rPr>
                                      <w:t>Other Matters</w:t>
                                    </w:r>
                                  </w:hyperlink>
                                </w:p>
                              </w:tc>
                              <w:tc>
                                <w:tcPr>
                                  <w:tcW w:w="370" w:type="dxa"/>
                                  <w:tcBorders/>
                                  <w:shd w:fill="auto" w:val="clear"/>
                                  <w:tcMar>
                                    <w:bottom w:w="0" w:type="dxa"/>
                                  </w:tcMar>
                                  <w:vAlign w:val="center"/>
                                </w:tcPr>
                                <w:p>
                                  <w:pPr>
                                    <w:pStyle w:val="TableContents"/>
                                    <w:spacing w:before="0" w:after="283"/>
                                    <w:jc w:val="right"/>
                                    <w:rPr/>
                                  </w:pPr>
                                  <w:hyperlink w:anchor="pg_OtherMatters">
                                    <w:r>
                                      <w:rPr>
                                        <w:rStyle w:val="InternetLink"/>
                                        <w:rFonts w:ascii="Arial" w:hAnsi="Arial"/>
                                        <w:b/>
                                        <w:strike w:val="false"/>
                                        <w:dstrike w:val="false"/>
                                        <w:color w:val="1A2343"/>
                                        <w:sz w:val="20"/>
                                        <w:u w:val="none"/>
                                        <w:effect w:val="none"/>
                                      </w:rPr>
                                      <w:t>93</w:t>
                                    </w:r>
                                  </w:hyperlink>
                                </w:p>
                              </w:tc>
                            </w:tr>
                            <w:tr>
                              <w:trPr/>
                              <w:tc>
                                <w:tcPr>
                                  <w:tcW w:w="9835" w:type="dxa"/>
                                  <w:gridSpan w:val="2"/>
                                  <w:tcBorders/>
                                  <w:shd w:fill="auto" w:val="clear"/>
                                  <w:tcMar>
                                    <w:bottom w:w="0" w:type="dxa"/>
                                  </w:tcMar>
                                  <w:vAlign w:val="center"/>
                                </w:tcPr>
                                <w:p>
                                  <w:pPr>
                                    <w:pStyle w:val="TableContents"/>
                                    <w:spacing w:before="0" w:after="283"/>
                                    <w:jc w:val="left"/>
                                    <w:rPr/>
                                  </w:pPr>
                                  <w:r>
                                    <w:rPr/>
                                    <w:t> </w:t>
                                  </w:r>
                                </w:p>
                              </w:tc>
                              <w:tc>
                                <w:tcPr>
                                  <w:tcW w:w="37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9835" w:type="dxa"/>
                                  <w:gridSpan w:val="2"/>
                                  <w:tcBorders>
                                    <w:bottom w:val="single" w:sz="8" w:space="0" w:color="8EAD3C"/>
                                  </w:tcBorders>
                                  <w:shd w:fill="auto" w:val="clear"/>
                                  <w:vAlign w:val="center"/>
                                </w:tcPr>
                                <w:p>
                                  <w:pPr>
                                    <w:pStyle w:val="TableContents"/>
                                    <w:spacing w:before="0" w:after="283"/>
                                    <w:jc w:val="left"/>
                                    <w:rPr/>
                                  </w:pPr>
                                  <w:hyperlink w:anchor="pg_APPENDIXA">
                                    <w:r>
                                      <w:rPr>
                                        <w:rStyle w:val="InternetLink"/>
                                        <w:rFonts w:ascii="Arial" w:hAnsi="Arial"/>
                                        <w:b/>
                                        <w:strike w:val="false"/>
                                        <w:dstrike w:val="false"/>
                                        <w:color w:val="8BA73B"/>
                                        <w:sz w:val="24"/>
                                        <w:u w:val="none"/>
                                        <w:effect w:val="none"/>
                                      </w:rPr>
                                      <w:t>APPENDIX A</w:t>
                                    </w:r>
                                  </w:hyperlink>
                                </w:p>
                              </w:tc>
                              <w:tc>
                                <w:tcPr>
                                  <w:tcW w:w="370" w:type="dxa"/>
                                  <w:tcBorders>
                                    <w:bottom w:val="single" w:sz="8" w:space="0" w:color="8EAD3C"/>
                                  </w:tcBorders>
                                  <w:shd w:fill="auto" w:val="clear"/>
                                  <w:vAlign w:val="center"/>
                                </w:tcPr>
                                <w:p>
                                  <w:pPr>
                                    <w:pStyle w:val="TableContents"/>
                                    <w:spacing w:before="0" w:after="283"/>
                                    <w:jc w:val="right"/>
                                    <w:rPr/>
                                  </w:pPr>
                                  <w:hyperlink w:anchor="pg_APPENDIXA">
                                    <w:r>
                                      <w:rPr>
                                        <w:rStyle w:val="InternetLink"/>
                                        <w:rFonts w:ascii="Arial" w:hAnsi="Arial"/>
                                        <w:b/>
                                        <w:strike w:val="false"/>
                                        <w:dstrike w:val="false"/>
                                        <w:color w:val="8BA73B"/>
                                        <w:sz w:val="24"/>
                                        <w:u w:val="none"/>
                                        <w:effect w:val="none"/>
                                      </w:rPr>
                                      <w:t>A-1</w:t>
                                    </w:r>
                                  </w:hyperlink>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3.9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CellMar>
                          <w:top w:w="0" w:type="dxa"/>
                          <w:left w:w="0" w:type="dxa"/>
                          <w:bottom w:w="40" w:type="dxa"/>
                          <w:right w:w="0" w:type="dxa"/>
                        </w:tblCellMar>
                      </w:tblPr>
                      <w:tblGrid>
                        <w:gridCol w:w="9475"/>
                        <w:gridCol w:w="360"/>
                        <w:gridCol w:w="370"/>
                      </w:tblGrid>
                      <w:tr>
                        <w:trPr/>
                        <w:tc>
                          <w:tcPr>
                            <w:tcW w:w="9835" w:type="dxa"/>
                            <w:gridSpan w:val="2"/>
                            <w:tcBorders>
                              <w:bottom w:val="single" w:sz="8" w:space="0" w:color="8EAD3C"/>
                            </w:tcBorders>
                            <w:shd w:fill="auto" w:val="clear"/>
                            <w:vAlign w:val="center"/>
                          </w:tcPr>
                          <w:p>
                            <w:pPr>
                              <w:pStyle w:val="TableContents"/>
                              <w:spacing w:before="0" w:after="283"/>
                              <w:jc w:val="left"/>
                              <w:rPr/>
                            </w:pPr>
                            <w:hyperlink w:anchor="pg_OTHERPROPOSALS">
                              <w:r>
                                <w:rPr>
                                  <w:rStyle w:val="InternetLink"/>
                                  <w:rFonts w:ascii="Arial" w:hAnsi="Arial"/>
                                  <w:b/>
                                  <w:strike w:val="false"/>
                                  <w:dstrike w:val="false"/>
                                  <w:color w:val="8BA73B"/>
                                  <w:sz w:val="24"/>
                                  <w:u w:val="none"/>
                                  <w:effect w:val="none"/>
                                </w:rPr>
                                <w:t>OTHER PROPOSALS</w:t>
                              </w:r>
                            </w:hyperlink>
                          </w:p>
                        </w:tc>
                        <w:tc>
                          <w:tcPr>
                            <w:tcW w:w="370" w:type="dxa"/>
                            <w:tcBorders>
                              <w:bottom w:val="single" w:sz="8" w:space="0" w:color="8EAD3C"/>
                            </w:tcBorders>
                            <w:shd w:fill="auto" w:val="clear"/>
                            <w:vAlign w:val="center"/>
                          </w:tcPr>
                          <w:p>
                            <w:pPr>
                              <w:pStyle w:val="TableContents"/>
                              <w:spacing w:before="0" w:after="283"/>
                              <w:jc w:val="right"/>
                              <w:rPr/>
                            </w:pPr>
                            <w:hyperlink w:anchor="pg_OTHERPROPOSALS">
                              <w:r>
                                <w:rPr>
                                  <w:rStyle w:val="InternetLink"/>
                                  <w:rFonts w:ascii="Arial" w:hAnsi="Arial"/>
                                  <w:b/>
                                  <w:strike w:val="false"/>
                                  <w:dstrike w:val="false"/>
                                  <w:color w:val="8BA73B"/>
                                  <w:sz w:val="24"/>
                                  <w:u w:val="none"/>
                                  <w:effect w:val="none"/>
                                </w:rPr>
                                <w:t>83</w:t>
                              </w:r>
                            </w:hyperlink>
                          </w:p>
                        </w:tc>
                      </w:tr>
                      <w:tr>
                        <w:trPr/>
                        <w:tc>
                          <w:tcPr>
                            <w:tcW w:w="9475" w:type="dxa"/>
                            <w:tcBorders/>
                            <w:shd w:fill="F1F5E6" w:val="clear"/>
                            <w:tcMar>
                              <w:bottom w:w="0" w:type="dxa"/>
                            </w:tcMar>
                            <w:vAlign w:val="center"/>
                          </w:tcPr>
                          <w:p>
                            <w:pPr>
                              <w:pStyle w:val="TableContents"/>
                              <w:spacing w:before="0" w:after="283"/>
                              <w:jc w:val="left"/>
                              <w:rPr/>
                            </w:pPr>
                            <w:hyperlink w:anchor="pg_Proposal4NonBinding">
                              <w:r>
                                <w:rPr>
                                  <w:rStyle w:val="InternetLink"/>
                                  <w:rFonts w:ascii="Arial" w:hAnsi="Arial"/>
                                  <w:b/>
                                  <w:strike w:val="false"/>
                                  <w:dstrike w:val="false"/>
                                  <w:color w:val="1A2343"/>
                                  <w:sz w:val="20"/>
                                  <w:u w:val="none"/>
                                  <w:effect w:val="none"/>
                                </w:rPr>
                                <w:t>Proposal 4: Non-Binding, Advisory Vote on the Frequency of Stockholder Advisory Votes on the Compensation of Our Named Executive Officers</w:t>
                              </w:r>
                            </w:hyperlink>
                          </w:p>
                        </w:tc>
                        <w:tc>
                          <w:tcPr>
                            <w:tcW w:w="360" w:type="dxa"/>
                            <w:tcBorders/>
                            <w:shd w:fill="F1F5E6" w:val="clear"/>
                            <w:tcMar>
                              <w:bottom w:w="0" w:type="dxa"/>
                            </w:tcMar>
                            <w:vAlign w:val="center"/>
                          </w:tcPr>
                          <w:p>
                            <w:pPr>
                              <w:pStyle w:val="TableContents"/>
                              <w:spacing w:before="0" w:after="283"/>
                              <w:jc w:val="left"/>
                              <w:rPr/>
                            </w:pPr>
                            <w:r>
                              <w:rPr/>
                              <w:drawing>
                                <wp:inline distT="0" distB="0" distL="0" distR="0">
                                  <wp:extent cx="228600" cy="228600"/>
                                  <wp:effectExtent l="0" t="0" r="0" b="0"/>
                                  <wp:docPr id="9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2" descr=""/>
                                          <pic:cNvPicPr>
                                            <a:picLocks noChangeAspect="1" noChangeArrowheads="1"/>
                                          </pic:cNvPicPr>
                                        </pic:nvPicPr>
                                        <pic:blipFill>
                                          <a:blip r:embed="rId73"/>
                                          <a:srcRect l="-4409" t="-4409" r="-4409" b="-4409"/>
                                          <a:stretch>
                                            <a:fillRect/>
                                          </a:stretch>
                                        </pic:blipFill>
                                        <pic:spPr bwMode="auto">
                                          <a:xfrm>
                                            <a:off x="0" y="0"/>
                                            <a:ext cx="228600" cy="228600"/>
                                          </a:xfrm>
                                          <a:prstGeom prst="rect">
                                            <a:avLst/>
                                          </a:prstGeom>
                                          <a:ln w="635">
                                            <a:solidFill>
                                              <a:srgbClr val="000000"/>
                                            </a:solidFill>
                                          </a:ln>
                                        </pic:spPr>
                                      </pic:pic>
                                    </a:graphicData>
                                  </a:graphic>
                                </wp:inline>
                              </w:drawing>
                            </w:r>
                          </w:p>
                        </w:tc>
                        <w:tc>
                          <w:tcPr>
                            <w:tcW w:w="370" w:type="dxa"/>
                            <w:tcBorders/>
                            <w:shd w:fill="F1F5E6" w:val="clear"/>
                            <w:tcMar>
                              <w:bottom w:w="0" w:type="dxa"/>
                            </w:tcMar>
                            <w:vAlign w:val="center"/>
                          </w:tcPr>
                          <w:p>
                            <w:pPr>
                              <w:pStyle w:val="TableContents"/>
                              <w:spacing w:before="0" w:after="283"/>
                              <w:jc w:val="right"/>
                              <w:rPr/>
                            </w:pPr>
                            <w:hyperlink w:anchor="pg_Proposal4NonBinding">
                              <w:r>
                                <w:rPr>
                                  <w:rStyle w:val="InternetLink"/>
                                  <w:rFonts w:ascii="Arial" w:hAnsi="Arial"/>
                                  <w:b/>
                                  <w:strike w:val="false"/>
                                  <w:dstrike w:val="false"/>
                                  <w:color w:val="1A2343"/>
                                  <w:sz w:val="20"/>
                                  <w:u w:val="none"/>
                                  <w:effect w:val="none"/>
                                </w:rPr>
                                <w:t>83</w:t>
                              </w:r>
                            </w:hyperlink>
                          </w:p>
                        </w:tc>
                      </w:tr>
                      <w:tr>
                        <w:trPr/>
                        <w:tc>
                          <w:tcPr>
                            <w:tcW w:w="9835" w:type="dxa"/>
                            <w:gridSpan w:val="2"/>
                            <w:tcBorders/>
                            <w:shd w:fill="auto" w:val="clear"/>
                            <w:tcMar>
                              <w:bottom w:w="0" w:type="dxa"/>
                            </w:tcMar>
                            <w:vAlign w:val="center"/>
                          </w:tcPr>
                          <w:p>
                            <w:pPr>
                              <w:pStyle w:val="TableContents"/>
                              <w:spacing w:before="0" w:after="283"/>
                              <w:jc w:val="left"/>
                              <w:rPr>
                                <w:color w:val="8BA73B"/>
                              </w:rPr>
                            </w:pPr>
                            <w:r>
                              <w:rPr>
                                <w:color w:val="8BA73B"/>
                              </w:rPr>
                              <w:t>  </w:t>
                            </w:r>
                          </w:p>
                        </w:tc>
                        <w:tc>
                          <w:tcPr>
                            <w:tcW w:w="37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9835" w:type="dxa"/>
                            <w:gridSpan w:val="2"/>
                            <w:tcBorders>
                              <w:bottom w:val="single" w:sz="8" w:space="0" w:color="8EAD3C"/>
                            </w:tcBorders>
                            <w:shd w:fill="auto" w:val="clear"/>
                            <w:vAlign w:val="center"/>
                          </w:tcPr>
                          <w:p>
                            <w:pPr>
                              <w:pStyle w:val="TableContents"/>
                              <w:spacing w:before="0" w:after="283"/>
                              <w:jc w:val="left"/>
                              <w:rPr/>
                            </w:pPr>
                            <w:hyperlink w:anchor="pg_STOCKOWNERSHIPINFORMATION">
                              <w:r>
                                <w:rPr>
                                  <w:rStyle w:val="InternetLink"/>
                                  <w:rFonts w:ascii="Arial" w:hAnsi="Arial"/>
                                  <w:b/>
                                  <w:strike w:val="false"/>
                                  <w:dstrike w:val="false"/>
                                  <w:color w:val="8BA73B"/>
                                  <w:sz w:val="24"/>
                                  <w:u w:val="none"/>
                                  <w:effect w:val="none"/>
                                </w:rPr>
                                <w:t>STOCK OWNERSHIP INFORMATION</w:t>
                              </w:r>
                            </w:hyperlink>
                          </w:p>
                        </w:tc>
                        <w:tc>
                          <w:tcPr>
                            <w:tcW w:w="370" w:type="dxa"/>
                            <w:tcBorders>
                              <w:bottom w:val="single" w:sz="8" w:space="0" w:color="8EAD3C"/>
                            </w:tcBorders>
                            <w:shd w:fill="auto" w:val="clear"/>
                            <w:vAlign w:val="center"/>
                          </w:tcPr>
                          <w:p>
                            <w:pPr>
                              <w:pStyle w:val="TableContents"/>
                              <w:spacing w:before="0" w:after="283"/>
                              <w:jc w:val="right"/>
                              <w:rPr/>
                            </w:pPr>
                            <w:hyperlink w:anchor="pg_STOCKOWNERSHIPINFORMATION">
                              <w:r>
                                <w:rPr>
                                  <w:rStyle w:val="InternetLink"/>
                                  <w:rFonts w:ascii="Arial" w:hAnsi="Arial"/>
                                  <w:b/>
                                  <w:strike w:val="false"/>
                                  <w:dstrike w:val="false"/>
                                  <w:color w:val="8BA73B"/>
                                  <w:sz w:val="24"/>
                                  <w:u w:val="none"/>
                                  <w:effect w:val="none"/>
                                </w:rPr>
                                <w:t>84</w:t>
                              </w:r>
                            </w:hyperlink>
                          </w:p>
                        </w:tc>
                      </w:tr>
                      <w:tr>
                        <w:trPr/>
                        <w:tc>
                          <w:tcPr>
                            <w:tcW w:w="9835" w:type="dxa"/>
                            <w:gridSpan w:val="2"/>
                            <w:tcBorders/>
                            <w:shd w:fill="auto" w:val="clear"/>
                            <w:tcMar>
                              <w:bottom w:w="0" w:type="dxa"/>
                            </w:tcMar>
                            <w:vAlign w:val="center"/>
                          </w:tcPr>
                          <w:p>
                            <w:pPr>
                              <w:pStyle w:val="TableContents"/>
                              <w:spacing w:before="0" w:after="283"/>
                              <w:jc w:val="left"/>
                              <w:rPr/>
                            </w:pPr>
                            <w:hyperlink w:anchor="pg_SecurityOwnershipofCertainBeneficialOwnersandManagement">
                              <w:r>
                                <w:rPr>
                                  <w:rStyle w:val="InternetLink"/>
                                  <w:rFonts w:ascii="Arial" w:hAnsi="Arial"/>
                                  <w:b/>
                                  <w:strike w:val="false"/>
                                  <w:dstrike w:val="false"/>
                                  <w:color w:val="1A2343"/>
                                  <w:sz w:val="20"/>
                                  <w:u w:val="none"/>
                                  <w:effect w:val="none"/>
                                </w:rPr>
                                <w:t>Security Ownership of Certain Beneficial Owners and Management</w:t>
                              </w:r>
                            </w:hyperlink>
                          </w:p>
                        </w:tc>
                        <w:tc>
                          <w:tcPr>
                            <w:tcW w:w="370" w:type="dxa"/>
                            <w:tcBorders/>
                            <w:shd w:fill="auto" w:val="clear"/>
                            <w:tcMar>
                              <w:bottom w:w="0" w:type="dxa"/>
                            </w:tcMar>
                            <w:vAlign w:val="center"/>
                          </w:tcPr>
                          <w:p>
                            <w:pPr>
                              <w:pStyle w:val="TableContents"/>
                              <w:spacing w:before="0" w:after="283"/>
                              <w:jc w:val="right"/>
                              <w:rPr/>
                            </w:pPr>
                            <w:hyperlink w:anchor="pg_SecurityOwnershipofCertainBeneficialOwnersandManagement">
                              <w:r>
                                <w:rPr>
                                  <w:rStyle w:val="InternetLink"/>
                                  <w:rFonts w:ascii="Arial" w:hAnsi="Arial"/>
                                  <w:b/>
                                  <w:strike w:val="false"/>
                                  <w:dstrike w:val="false"/>
                                  <w:color w:val="1A2343"/>
                                  <w:sz w:val="20"/>
                                  <w:u w:val="none"/>
                                  <w:effect w:val="none"/>
                                </w:rPr>
                                <w:t>84</w:t>
                              </w:r>
                            </w:hyperlink>
                          </w:p>
                        </w:tc>
                      </w:tr>
                      <w:tr>
                        <w:trPr/>
                        <w:tc>
                          <w:tcPr>
                            <w:tcW w:w="9835" w:type="dxa"/>
                            <w:gridSpan w:val="2"/>
                            <w:tcBorders/>
                            <w:shd w:fill="auto" w:val="clear"/>
                            <w:tcMar>
                              <w:bottom w:w="0" w:type="dxa"/>
                            </w:tcMar>
                            <w:vAlign w:val="center"/>
                          </w:tcPr>
                          <w:p>
                            <w:pPr>
                              <w:pStyle w:val="TableContents"/>
                              <w:spacing w:before="0" w:after="283"/>
                              <w:jc w:val="left"/>
                              <w:rPr/>
                            </w:pPr>
                            <w:hyperlink w:anchor="delinquet_sec">
                              <w:r>
                                <w:rPr>
                                  <w:rStyle w:val="InternetLink"/>
                                  <w:rFonts w:ascii="Arial" w:hAnsi="Arial"/>
                                  <w:b/>
                                  <w:strike w:val="false"/>
                                  <w:dstrike w:val="false"/>
                                  <w:color w:val="1A2343"/>
                                  <w:sz w:val="20"/>
                                  <w:u w:val="none"/>
                                  <w:effect w:val="none"/>
                                </w:rPr>
                                <w:t>Delinquent Section 16(a) Reports</w:t>
                              </w:r>
                            </w:hyperlink>
                          </w:p>
                        </w:tc>
                        <w:tc>
                          <w:tcPr>
                            <w:tcW w:w="370" w:type="dxa"/>
                            <w:tcBorders/>
                            <w:shd w:fill="auto" w:val="clear"/>
                            <w:tcMar>
                              <w:bottom w:w="0" w:type="dxa"/>
                            </w:tcMar>
                            <w:vAlign w:val="center"/>
                          </w:tcPr>
                          <w:p>
                            <w:pPr>
                              <w:pStyle w:val="TableContents"/>
                              <w:spacing w:before="0" w:after="283"/>
                              <w:jc w:val="right"/>
                              <w:rPr/>
                            </w:pPr>
                            <w:hyperlink w:anchor="delinquet_sec">
                              <w:r>
                                <w:rPr>
                                  <w:rStyle w:val="InternetLink"/>
                                  <w:rFonts w:ascii="Arial" w:hAnsi="Arial"/>
                                  <w:b/>
                                  <w:strike w:val="false"/>
                                  <w:dstrike w:val="false"/>
                                  <w:color w:val="1A2343"/>
                                  <w:sz w:val="20"/>
                                  <w:u w:val="none"/>
                                  <w:effect w:val="none"/>
                                </w:rPr>
                                <w:t>86</w:t>
                              </w:r>
                            </w:hyperlink>
                          </w:p>
                        </w:tc>
                      </w:tr>
                      <w:tr>
                        <w:trPr/>
                        <w:tc>
                          <w:tcPr>
                            <w:tcW w:w="9835" w:type="dxa"/>
                            <w:gridSpan w:val="2"/>
                            <w:tcBorders/>
                            <w:shd w:fill="auto" w:val="clear"/>
                            <w:tcMar>
                              <w:bottom w:w="0" w:type="dxa"/>
                            </w:tcMar>
                            <w:vAlign w:val="center"/>
                          </w:tcPr>
                          <w:p>
                            <w:pPr>
                              <w:pStyle w:val="TableContents"/>
                              <w:spacing w:before="0" w:after="283"/>
                              <w:jc w:val="left"/>
                              <w:rPr/>
                            </w:pPr>
                            <w:r>
                              <w:rPr/>
                              <w:t> </w:t>
                            </w:r>
                          </w:p>
                        </w:tc>
                        <w:tc>
                          <w:tcPr>
                            <w:tcW w:w="370" w:type="dxa"/>
                            <w:tcBorders/>
                            <w:shd w:fill="auto" w:val="clear"/>
                            <w:tcMar>
                              <w:bottom w:w="0" w:type="dxa"/>
                            </w:tcMar>
                            <w:vAlign w:val="center"/>
                          </w:tcPr>
                          <w:p>
                            <w:pPr>
                              <w:pStyle w:val="TableContents"/>
                              <w:spacing w:before="0" w:after="283"/>
                              <w:jc w:val="right"/>
                              <w:rPr/>
                            </w:pPr>
                            <w:r>
                              <w:rPr/>
                              <w:t> </w:t>
                            </w:r>
                          </w:p>
                        </w:tc>
                      </w:tr>
                      <w:tr>
                        <w:trPr/>
                        <w:tc>
                          <w:tcPr>
                            <w:tcW w:w="9835" w:type="dxa"/>
                            <w:gridSpan w:val="2"/>
                            <w:tcBorders>
                              <w:bottom w:val="single" w:sz="8" w:space="0" w:color="8EAD3C"/>
                            </w:tcBorders>
                            <w:shd w:fill="auto" w:val="clear"/>
                            <w:vAlign w:val="center"/>
                          </w:tcPr>
                          <w:p>
                            <w:pPr>
                              <w:pStyle w:val="TableContents"/>
                              <w:spacing w:before="0" w:after="283"/>
                              <w:jc w:val="left"/>
                              <w:rPr/>
                            </w:pPr>
                            <w:hyperlink w:anchor="pg_CERTAINRELATIONSHIPSANDRELATEDPARTYTRANSACTIONS">
                              <w:r>
                                <w:rPr>
                                  <w:rStyle w:val="InternetLink"/>
                                  <w:rFonts w:ascii="Arial" w:hAnsi="Arial"/>
                                  <w:b/>
                                  <w:strike w:val="false"/>
                                  <w:dstrike w:val="false"/>
                                  <w:color w:val="8BA73B"/>
                                  <w:sz w:val="24"/>
                                  <w:u w:val="none"/>
                                  <w:effect w:val="none"/>
                                </w:rPr>
                                <w:t>CERTAIN RELATIONSHIPS AND RELATED PARTY TRANSACTIONS</w:t>
                              </w:r>
                            </w:hyperlink>
                          </w:p>
                        </w:tc>
                        <w:tc>
                          <w:tcPr>
                            <w:tcW w:w="370" w:type="dxa"/>
                            <w:tcBorders>
                              <w:bottom w:val="single" w:sz="8" w:space="0" w:color="8EAD3C"/>
                            </w:tcBorders>
                            <w:shd w:fill="auto" w:val="clear"/>
                            <w:vAlign w:val="center"/>
                          </w:tcPr>
                          <w:p>
                            <w:pPr>
                              <w:pStyle w:val="TableContents"/>
                              <w:spacing w:before="0" w:after="283"/>
                              <w:jc w:val="right"/>
                              <w:rPr/>
                            </w:pPr>
                            <w:hyperlink w:anchor="pg_CERTAINRELATIONSHIPSANDRELATEDPARTYTRANSACTIONS">
                              <w:r>
                                <w:rPr>
                                  <w:rStyle w:val="InternetLink"/>
                                  <w:rFonts w:ascii="Arial" w:hAnsi="Arial"/>
                                  <w:b/>
                                  <w:strike w:val="false"/>
                                  <w:dstrike w:val="false"/>
                                  <w:color w:val="8BA73B"/>
                                  <w:sz w:val="24"/>
                                  <w:u w:val="none"/>
                                  <w:effect w:val="none"/>
                                </w:rPr>
                                <w:t>87</w:t>
                              </w:r>
                            </w:hyperlink>
                          </w:p>
                        </w:tc>
                      </w:tr>
                      <w:tr>
                        <w:trPr/>
                        <w:tc>
                          <w:tcPr>
                            <w:tcW w:w="9835" w:type="dxa"/>
                            <w:gridSpan w:val="2"/>
                            <w:tcBorders/>
                            <w:shd w:fill="auto" w:val="clear"/>
                            <w:tcMar>
                              <w:bottom w:w="0" w:type="dxa"/>
                            </w:tcMar>
                            <w:vAlign w:val="center"/>
                          </w:tcPr>
                          <w:p>
                            <w:pPr>
                              <w:pStyle w:val="TableContents"/>
                              <w:spacing w:before="0" w:after="283"/>
                              <w:jc w:val="left"/>
                              <w:rPr/>
                            </w:pPr>
                            <w:r>
                              <w:rPr/>
                              <w:t> </w:t>
                            </w:r>
                          </w:p>
                        </w:tc>
                        <w:tc>
                          <w:tcPr>
                            <w:tcW w:w="37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9835" w:type="dxa"/>
                            <w:gridSpan w:val="2"/>
                            <w:tcBorders>
                              <w:bottom w:val="single" w:sz="8" w:space="0" w:color="8EAD3C"/>
                            </w:tcBorders>
                            <w:shd w:fill="auto" w:val="clear"/>
                            <w:vAlign w:val="center"/>
                          </w:tcPr>
                          <w:p>
                            <w:pPr>
                              <w:pStyle w:val="TableContents"/>
                              <w:spacing w:before="0" w:after="283"/>
                              <w:jc w:val="left"/>
                              <w:rPr/>
                            </w:pPr>
                            <w:hyperlink w:anchor="pg_OTHERINFORMATION">
                              <w:r>
                                <w:rPr>
                                  <w:rStyle w:val="InternetLink"/>
                                  <w:rFonts w:ascii="Arial" w:hAnsi="Arial"/>
                                  <w:b/>
                                  <w:strike w:val="false"/>
                                  <w:dstrike w:val="false"/>
                                  <w:color w:val="8BA73B"/>
                                  <w:sz w:val="24"/>
                                  <w:u w:val="none"/>
                                  <w:effect w:val="none"/>
                                </w:rPr>
                                <w:t>OTHER INFORMATION</w:t>
                              </w:r>
                            </w:hyperlink>
                          </w:p>
                        </w:tc>
                        <w:tc>
                          <w:tcPr>
                            <w:tcW w:w="370" w:type="dxa"/>
                            <w:tcBorders>
                              <w:bottom w:val="single" w:sz="8" w:space="0" w:color="8EAD3C"/>
                            </w:tcBorders>
                            <w:shd w:fill="auto" w:val="clear"/>
                            <w:vAlign w:val="center"/>
                          </w:tcPr>
                          <w:p>
                            <w:pPr>
                              <w:pStyle w:val="TableContents"/>
                              <w:spacing w:before="0" w:after="283"/>
                              <w:jc w:val="right"/>
                              <w:rPr/>
                            </w:pPr>
                            <w:hyperlink w:anchor="pg_OTHERINFORMATION">
                              <w:r>
                                <w:rPr>
                                  <w:rStyle w:val="InternetLink"/>
                                  <w:rFonts w:ascii="Arial" w:hAnsi="Arial"/>
                                  <w:b/>
                                  <w:strike w:val="false"/>
                                  <w:dstrike w:val="false"/>
                                  <w:color w:val="8BA73B"/>
                                  <w:sz w:val="24"/>
                                  <w:u w:val="none"/>
                                  <w:effect w:val="none"/>
                                </w:rPr>
                                <w:t>90</w:t>
                              </w:r>
                            </w:hyperlink>
                          </w:p>
                        </w:tc>
                      </w:tr>
                      <w:tr>
                        <w:trPr/>
                        <w:tc>
                          <w:tcPr>
                            <w:tcW w:w="9835" w:type="dxa"/>
                            <w:gridSpan w:val="2"/>
                            <w:tcBorders/>
                            <w:shd w:fill="auto" w:val="clear"/>
                            <w:tcMar>
                              <w:bottom w:w="0" w:type="dxa"/>
                            </w:tcMar>
                            <w:vAlign w:val="center"/>
                          </w:tcPr>
                          <w:p>
                            <w:pPr>
                              <w:pStyle w:val="TableContents"/>
                              <w:spacing w:before="0" w:after="283"/>
                              <w:jc w:val="left"/>
                              <w:rPr/>
                            </w:pPr>
                            <w:hyperlink w:anchor="pg_QuestionsandAnswersabouttheAnnualMeeting">
                              <w:r>
                                <w:rPr>
                                  <w:rStyle w:val="InternetLink"/>
                                  <w:rFonts w:ascii="Arial" w:hAnsi="Arial"/>
                                  <w:b/>
                                  <w:strike w:val="false"/>
                                  <w:dstrike w:val="false"/>
                                  <w:color w:val="1A2343"/>
                                  <w:sz w:val="20"/>
                                  <w:u w:val="none"/>
                                  <w:effect w:val="none"/>
                                </w:rPr>
                                <w:t>Questions and Answers about the Annual Meeting</w:t>
                              </w:r>
                            </w:hyperlink>
                          </w:p>
                        </w:tc>
                        <w:tc>
                          <w:tcPr>
                            <w:tcW w:w="370" w:type="dxa"/>
                            <w:tcBorders/>
                            <w:shd w:fill="auto" w:val="clear"/>
                            <w:tcMar>
                              <w:bottom w:w="0" w:type="dxa"/>
                            </w:tcMar>
                            <w:vAlign w:val="center"/>
                          </w:tcPr>
                          <w:p>
                            <w:pPr>
                              <w:pStyle w:val="TableContents"/>
                              <w:spacing w:before="0" w:after="283"/>
                              <w:jc w:val="right"/>
                              <w:rPr/>
                            </w:pPr>
                            <w:hyperlink w:anchor="pg_QuestionsandAnswersabouttheAnnualMeeting">
                              <w:r>
                                <w:rPr>
                                  <w:rStyle w:val="InternetLink"/>
                                  <w:rFonts w:ascii="Arial" w:hAnsi="Arial"/>
                                  <w:b/>
                                  <w:strike w:val="false"/>
                                  <w:dstrike w:val="false"/>
                                  <w:color w:val="1A2343"/>
                                  <w:sz w:val="20"/>
                                  <w:u w:val="none"/>
                                  <w:effect w:val="none"/>
                                </w:rPr>
                                <w:t>90</w:t>
                              </w:r>
                            </w:hyperlink>
                          </w:p>
                        </w:tc>
                      </w:tr>
                      <w:tr>
                        <w:trPr/>
                        <w:tc>
                          <w:tcPr>
                            <w:tcW w:w="9835" w:type="dxa"/>
                            <w:gridSpan w:val="2"/>
                            <w:tcBorders/>
                            <w:shd w:fill="auto" w:val="clear"/>
                            <w:tcMar>
                              <w:bottom w:w="0" w:type="dxa"/>
                            </w:tcMar>
                            <w:vAlign w:val="center"/>
                          </w:tcPr>
                          <w:p>
                            <w:pPr>
                              <w:pStyle w:val="TableContents"/>
                              <w:spacing w:before="0" w:after="283"/>
                              <w:jc w:val="left"/>
                              <w:rPr/>
                            </w:pPr>
                            <w:hyperlink w:anchor="pg_OtherMatters">
                              <w:r>
                                <w:rPr>
                                  <w:rStyle w:val="InternetLink"/>
                                  <w:rFonts w:ascii="Arial" w:hAnsi="Arial"/>
                                  <w:b/>
                                  <w:strike w:val="false"/>
                                  <w:dstrike w:val="false"/>
                                  <w:color w:val="1A2343"/>
                                  <w:sz w:val="20"/>
                                  <w:u w:val="none"/>
                                  <w:effect w:val="none"/>
                                </w:rPr>
                                <w:t>Other Matters</w:t>
                              </w:r>
                            </w:hyperlink>
                          </w:p>
                        </w:tc>
                        <w:tc>
                          <w:tcPr>
                            <w:tcW w:w="370" w:type="dxa"/>
                            <w:tcBorders/>
                            <w:shd w:fill="auto" w:val="clear"/>
                            <w:tcMar>
                              <w:bottom w:w="0" w:type="dxa"/>
                            </w:tcMar>
                            <w:vAlign w:val="center"/>
                          </w:tcPr>
                          <w:p>
                            <w:pPr>
                              <w:pStyle w:val="TableContents"/>
                              <w:spacing w:before="0" w:after="283"/>
                              <w:jc w:val="right"/>
                              <w:rPr/>
                            </w:pPr>
                            <w:hyperlink w:anchor="pg_OtherMatters">
                              <w:r>
                                <w:rPr>
                                  <w:rStyle w:val="InternetLink"/>
                                  <w:rFonts w:ascii="Arial" w:hAnsi="Arial"/>
                                  <w:b/>
                                  <w:strike w:val="false"/>
                                  <w:dstrike w:val="false"/>
                                  <w:color w:val="1A2343"/>
                                  <w:sz w:val="20"/>
                                  <w:u w:val="none"/>
                                  <w:effect w:val="none"/>
                                </w:rPr>
                                <w:t>93</w:t>
                              </w:r>
                            </w:hyperlink>
                          </w:p>
                        </w:tc>
                      </w:tr>
                      <w:tr>
                        <w:trPr/>
                        <w:tc>
                          <w:tcPr>
                            <w:tcW w:w="9835" w:type="dxa"/>
                            <w:gridSpan w:val="2"/>
                            <w:tcBorders/>
                            <w:shd w:fill="auto" w:val="clear"/>
                            <w:tcMar>
                              <w:bottom w:w="0" w:type="dxa"/>
                            </w:tcMar>
                            <w:vAlign w:val="center"/>
                          </w:tcPr>
                          <w:p>
                            <w:pPr>
                              <w:pStyle w:val="TableContents"/>
                              <w:spacing w:before="0" w:after="283"/>
                              <w:jc w:val="left"/>
                              <w:rPr/>
                            </w:pPr>
                            <w:r>
                              <w:rPr/>
                              <w:t> </w:t>
                            </w:r>
                          </w:p>
                        </w:tc>
                        <w:tc>
                          <w:tcPr>
                            <w:tcW w:w="37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9835" w:type="dxa"/>
                            <w:gridSpan w:val="2"/>
                            <w:tcBorders>
                              <w:bottom w:val="single" w:sz="8" w:space="0" w:color="8EAD3C"/>
                            </w:tcBorders>
                            <w:shd w:fill="auto" w:val="clear"/>
                            <w:vAlign w:val="center"/>
                          </w:tcPr>
                          <w:p>
                            <w:pPr>
                              <w:pStyle w:val="TableContents"/>
                              <w:spacing w:before="0" w:after="283"/>
                              <w:jc w:val="left"/>
                              <w:rPr/>
                            </w:pPr>
                            <w:hyperlink w:anchor="pg_APPENDIXA">
                              <w:r>
                                <w:rPr>
                                  <w:rStyle w:val="InternetLink"/>
                                  <w:rFonts w:ascii="Arial" w:hAnsi="Arial"/>
                                  <w:b/>
                                  <w:strike w:val="false"/>
                                  <w:dstrike w:val="false"/>
                                  <w:color w:val="8BA73B"/>
                                  <w:sz w:val="24"/>
                                  <w:u w:val="none"/>
                                  <w:effect w:val="none"/>
                                </w:rPr>
                                <w:t>APPENDIX A</w:t>
                              </w:r>
                            </w:hyperlink>
                          </w:p>
                        </w:tc>
                        <w:tc>
                          <w:tcPr>
                            <w:tcW w:w="370" w:type="dxa"/>
                            <w:tcBorders>
                              <w:bottom w:val="single" w:sz="8" w:space="0" w:color="8EAD3C"/>
                            </w:tcBorders>
                            <w:shd w:fill="auto" w:val="clear"/>
                            <w:vAlign w:val="center"/>
                          </w:tcPr>
                          <w:p>
                            <w:pPr>
                              <w:pStyle w:val="TableContents"/>
                              <w:spacing w:before="0" w:after="283"/>
                              <w:jc w:val="right"/>
                              <w:rPr/>
                            </w:pPr>
                            <w:hyperlink w:anchor="pg_APPENDIXA">
                              <w:r>
                                <w:rPr>
                                  <w:rStyle w:val="InternetLink"/>
                                  <w:rFonts w:ascii="Arial" w:hAnsi="Arial"/>
                                  <w:b/>
                                  <w:strike w:val="false"/>
                                  <w:dstrike w:val="false"/>
                                  <w:color w:val="8BA73B"/>
                                  <w:sz w:val="24"/>
                                  <w:u w:val="none"/>
                                  <w:effect w:val="none"/>
                                </w:rPr>
                                <w:t>A-1</w:t>
                              </w:r>
                            </w:hyperlink>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78" w:type="dxa"/>
        <w:jc w:val="left"/>
        <w:tblInd w:w="0" w:type="dxa"/>
        <w:tblCellMar>
          <w:top w:w="0" w:type="dxa"/>
          <w:left w:w="0" w:type="dxa"/>
          <w:bottom w:w="0" w:type="dxa"/>
          <w:right w:w="0" w:type="dxa"/>
        </w:tblCellMar>
      </w:tblPr>
      <w:tblGrid>
        <w:gridCol w:w="23"/>
        <w:gridCol w:w="155"/>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9</w:t>
            </w:r>
          </w:p>
        </w:tc>
      </w:tr>
    </w:tbl>
    <w:p>
      <w:pPr>
        <w:pStyle w:val="TextBody"/>
        <w:spacing w:before="240" w:after="283"/>
        <w:jc w:val="left"/>
        <w:rPr>
          <w:rFonts w:ascii="Arial" w:hAnsi="Arial"/>
          <w:b/>
          <w:color w:val="1A2343"/>
          <w:sz w:val="42"/>
        </w:rPr>
      </w:pPr>
      <w:bookmarkStart w:id="8" w:name="pg_OURBOARDOFDIRECTORSANDCORPORATEGOVERN"/>
      <w:bookmarkEnd w:id="8"/>
      <w:r>
        <w:rPr>
          <w:rFonts w:ascii="Arial" w:hAnsi="Arial"/>
          <w:b/>
          <w:color w:val="1A2343"/>
          <w:sz w:val="42"/>
        </w:rPr>
        <w:t>OUR BOARD OF DIRECTORS AND CORPORATE GOVERNANCE</w:t>
      </w:r>
    </w:p>
    <w:p>
      <w:pPr>
        <w:pStyle w:val="Normal"/>
        <w:spacing w:before="0" w:after="0"/>
        <w:rPr>
          <w:sz w:val="4"/>
          <w:szCs w:val="4"/>
        </w:rPr>
      </w:pPr>
      <w:r>
        <w:rPr>
          <w:sz w:val="4"/>
          <w:szCs w:val="4"/>
        </w:rPr>
      </w:r>
      <w:bookmarkStart w:id="9" w:name="pg_Proposal1ElectionofDirectors"/>
      <w:bookmarkStart w:id="10" w:name="pg_Proposal1ElectionofDirectors"/>
      <w:bookmarkEnd w:id="10"/>
    </w:p>
    <w:tbl>
      <w:tblPr>
        <w:tblW w:w="4730" w:type="dxa"/>
        <w:jc w:val="left"/>
        <w:tblInd w:w="0" w:type="dxa"/>
        <w:tblCellMar>
          <w:top w:w="0" w:type="dxa"/>
          <w:left w:w="0" w:type="dxa"/>
          <w:bottom w:w="0" w:type="dxa"/>
          <w:right w:w="0" w:type="dxa"/>
        </w:tblCellMar>
      </w:tblPr>
      <w:tblGrid>
        <w:gridCol w:w="1730"/>
        <w:gridCol w:w="3000"/>
      </w:tblGrid>
      <w:tr>
        <w:trPr/>
        <w:tc>
          <w:tcPr>
            <w:tcW w:w="1730" w:type="dxa"/>
            <w:vMerge w:val="restart"/>
            <w:tcBorders/>
            <w:shd w:fill="auto" w:val="clear"/>
            <w:vAlign w:val="center"/>
          </w:tcPr>
          <w:p>
            <w:pPr>
              <w:pStyle w:val="TableContents"/>
              <w:spacing w:before="0" w:after="283"/>
              <w:jc w:val="left"/>
              <w:rPr>
                <w:rFonts w:ascii="Arial" w:hAnsi="Arial"/>
                <w:color w:val="8BA73B"/>
                <w:sz w:val="24"/>
              </w:rPr>
            </w:pPr>
            <w:r>
              <w:rPr>
                <w:rFonts w:ascii="Arial" w:hAnsi="Arial"/>
                <w:color w:val="8BA73B"/>
                <w:sz w:val="24"/>
              </w:rPr>
              <w:t>PROPOSAL 1   </w:t>
            </w:r>
          </w:p>
        </w:tc>
        <w:tc>
          <w:tcPr>
            <w:tcW w:w="3000" w:type="dxa"/>
            <w:tcBorders>
              <w:bottom w:val="single" w:sz="8" w:space="0" w:color="8EAD3C"/>
            </w:tcBorders>
            <w:shd w:fill="auto" w:val="clear"/>
            <w:tcMar>
              <w:bottom w:w="28" w:type="dxa"/>
            </w:tcMar>
            <w:vAlign w:val="center"/>
          </w:tcPr>
          <w:p>
            <w:pPr>
              <w:pStyle w:val="TableContents"/>
              <w:spacing w:before="0" w:after="283"/>
              <w:jc w:val="left"/>
              <w:rPr/>
            </w:pPr>
            <w:r>
              <w:rPr/>
              <w:t>                                                  </w:t>
            </w:r>
          </w:p>
        </w:tc>
      </w:tr>
      <w:tr>
        <w:trPr/>
        <w:tc>
          <w:tcPr>
            <w:tcW w:w="1730" w:type="dxa"/>
            <w:vMerge w:val="continue"/>
            <w:tcBorders/>
            <w:shd w:fill="auto" w:val="clear"/>
            <w:vAlign w:val="center"/>
          </w:tcPr>
          <w:p>
            <w:pPr>
              <w:pStyle w:val="Normal"/>
              <w:rPr/>
            </w:pPr>
            <w:r>
              <w:rPr/>
            </w:r>
          </w:p>
        </w:tc>
        <w:tc>
          <w:tcPr>
            <w:tcW w:w="3000" w:type="dxa"/>
            <w:tcBorders/>
            <w:shd w:fill="auto" w:val="clear"/>
            <w:vAlign w:val="center"/>
          </w:tcPr>
          <w:p>
            <w:pPr>
              <w:pStyle w:val="TableContents"/>
              <w:spacing w:before="0" w:after="283"/>
              <w:jc w:val="left"/>
              <w:rPr/>
            </w:pPr>
            <w:r>
              <w:rPr/>
              <w:t> </w:t>
            </w:r>
          </w:p>
        </w:tc>
      </w:tr>
    </w:tbl>
    <w:p>
      <w:pPr>
        <w:pStyle w:val="TextBody"/>
        <w:jc w:val="left"/>
        <w:rPr>
          <w:rFonts w:ascii="Arial" w:hAnsi="Arial"/>
          <w:b/>
          <w:color w:val="1A2343"/>
          <w:sz w:val="36"/>
          <w:highlight w:val="yellow"/>
        </w:rPr>
      </w:pPr>
      <w:r>
        <w:rPr>
          <w:rFonts w:ascii="Arial" w:hAnsi="Arial"/>
          <w:b/>
          <w:color w:val="1A2343"/>
          <w:sz w:val="36"/>
          <w:highlight w:val="yellow"/>
        </w:rPr>
        <w:t>ELECTION OF DIRECTORS</w:t>
      </w:r>
    </w:p>
    <w:p>
      <w:pPr>
        <w:pStyle w:val="TextBody"/>
        <w:jc w:val="left"/>
        <w:rPr>
          <w:rFonts w:ascii="Arial" w:hAnsi="Arial"/>
          <w:sz w:val="20"/>
          <w:highlight w:val="yellow"/>
        </w:rPr>
      </w:pPr>
      <w:r>
        <w:rPr>
          <w:rFonts w:ascii="Arial" w:hAnsi="Arial"/>
          <w:sz w:val="20"/>
          <w:highlight w:val="yellow"/>
        </w:rPr>
        <w:t>The Board, upon the recommendation of the Nominating and Corporate Governance Committee, has nominated nine directors for election to serve until the 2024 annual meeting of stockholders and until their successors are duly elected and qualify.</w:t>
      </w:r>
    </w:p>
    <w:tbl>
      <w:tblPr>
        <w:tblW w:w="5445" w:type="dxa"/>
        <w:jc w:val="left"/>
        <w:tblInd w:w="0" w:type="dxa"/>
        <w:tblCellMar>
          <w:top w:w="0" w:type="dxa"/>
          <w:left w:w="0" w:type="dxa"/>
          <w:bottom w:w="0" w:type="dxa"/>
          <w:right w:w="0" w:type="dxa"/>
        </w:tblCellMar>
      </w:tblPr>
      <w:tblGrid>
        <w:gridCol w:w="1715"/>
        <w:gridCol w:w="1865"/>
        <w:gridCol w:w="1865"/>
      </w:tblGrid>
      <w:tr>
        <w:trPr/>
        <w:tc>
          <w:tcPr>
            <w:tcW w:w="1715" w:type="dxa"/>
            <w:tcBorders/>
            <w:shd w:fill="auto" w:val="clear"/>
            <w:vAlign w:val="center"/>
          </w:tcPr>
          <w:p>
            <w:pPr>
              <w:pStyle w:val="TableContents"/>
              <w:spacing w:before="0" w:after="80"/>
              <w:ind w:left="0" w:right="0" w:hanging="290"/>
              <w:jc w:val="left"/>
              <w:rPr/>
            </w:pPr>
            <w:r>
              <w:rPr/>
              <w:t>●</w:t>
            </w:r>
            <w:r>
              <w:rPr>
                <w:rFonts w:ascii="Arial" w:hAnsi="Arial"/>
                <w:sz w:val="20"/>
              </w:rPr>
              <w:t>John H. Alschuler</w:t>
            </w:r>
          </w:p>
          <w:p>
            <w:pPr>
              <w:pStyle w:val="TableContents"/>
              <w:spacing w:before="0" w:after="80"/>
              <w:ind w:left="0" w:right="0" w:hanging="290"/>
              <w:jc w:val="left"/>
              <w:rPr/>
            </w:pPr>
            <w:r>
              <w:rPr/>
              <w:t>●</w:t>
            </w:r>
            <w:r>
              <w:rPr>
                <w:rFonts w:ascii="Arial" w:hAnsi="Arial"/>
                <w:sz w:val="20"/>
              </w:rPr>
              <w:t>Betsy S. Atkins</w:t>
            </w:r>
          </w:p>
          <w:p>
            <w:pPr>
              <w:pStyle w:val="TableContents"/>
              <w:spacing w:before="0" w:after="0"/>
              <w:ind w:left="0" w:right="0" w:hanging="290"/>
              <w:jc w:val="left"/>
              <w:rPr/>
            </w:pPr>
            <w:r>
              <w:rPr/>
              <w:t>●</w:t>
            </w:r>
            <w:r>
              <w:rPr>
                <w:rFonts w:ascii="Arial" w:hAnsi="Arial"/>
                <w:sz w:val="20"/>
              </w:rPr>
              <w:t>Carol N. Brown</w:t>
            </w:r>
          </w:p>
        </w:tc>
        <w:tc>
          <w:tcPr>
            <w:tcW w:w="1865" w:type="dxa"/>
            <w:tcBorders/>
            <w:shd w:fill="auto" w:val="clear"/>
            <w:vAlign w:val="center"/>
          </w:tcPr>
          <w:p>
            <w:pPr>
              <w:pStyle w:val="TableContents"/>
              <w:spacing w:before="0" w:after="80"/>
              <w:ind w:left="0" w:right="0" w:hanging="290"/>
              <w:jc w:val="left"/>
              <w:rPr/>
            </w:pPr>
            <w:r>
              <w:rPr/>
              <w:t>●</w:t>
            </w:r>
            <w:r>
              <w:rPr>
                <w:rFonts w:ascii="Arial" w:hAnsi="Arial"/>
                <w:sz w:val="20"/>
              </w:rPr>
              <w:t>Edwin T. Burton, III</w:t>
            </w:r>
          </w:p>
          <w:p>
            <w:pPr>
              <w:pStyle w:val="TableContents"/>
              <w:spacing w:before="0" w:after="80"/>
              <w:ind w:left="0" w:right="0" w:hanging="290"/>
              <w:jc w:val="left"/>
              <w:rPr/>
            </w:pPr>
            <w:r>
              <w:rPr/>
              <w:t>●</w:t>
            </w:r>
            <w:r>
              <w:rPr>
                <w:rFonts w:ascii="Arial" w:hAnsi="Arial"/>
                <w:sz w:val="20"/>
              </w:rPr>
              <w:t>Lauren B. Dillard</w:t>
            </w:r>
          </w:p>
          <w:p>
            <w:pPr>
              <w:pStyle w:val="TableContents"/>
              <w:spacing w:before="0" w:after="0"/>
              <w:ind w:left="0" w:right="0" w:hanging="290"/>
              <w:jc w:val="left"/>
              <w:rPr/>
            </w:pPr>
            <w:r>
              <w:rPr/>
              <w:t>●</w:t>
            </w:r>
            <w:r>
              <w:rPr>
                <w:rFonts w:ascii="Arial" w:hAnsi="Arial"/>
                <w:sz w:val="20"/>
              </w:rPr>
              <w:t>Stephen L. Green</w:t>
            </w:r>
          </w:p>
        </w:tc>
        <w:tc>
          <w:tcPr>
            <w:tcW w:w="1865" w:type="dxa"/>
            <w:tcBorders/>
            <w:shd w:fill="auto" w:val="clear"/>
            <w:vAlign w:val="center"/>
          </w:tcPr>
          <w:p>
            <w:pPr>
              <w:pStyle w:val="TableContents"/>
              <w:spacing w:before="0" w:after="80"/>
              <w:ind w:left="0" w:right="0" w:hanging="290"/>
              <w:jc w:val="left"/>
              <w:rPr/>
            </w:pPr>
            <w:r>
              <w:rPr/>
              <w:t>●</w:t>
            </w:r>
            <w:r>
              <w:rPr>
                <w:rFonts w:ascii="Arial" w:hAnsi="Arial"/>
                <w:sz w:val="20"/>
              </w:rPr>
              <w:t>Craig M. Hatkoff</w:t>
            </w:r>
          </w:p>
          <w:p>
            <w:pPr>
              <w:pStyle w:val="TableContents"/>
              <w:spacing w:before="0" w:after="80"/>
              <w:ind w:left="0" w:right="0" w:hanging="290"/>
              <w:jc w:val="left"/>
              <w:rPr/>
            </w:pPr>
            <w:r>
              <w:rPr/>
              <w:t>●</w:t>
            </w:r>
            <w:r>
              <w:rPr>
                <w:rFonts w:ascii="Arial" w:hAnsi="Arial"/>
                <w:sz w:val="20"/>
              </w:rPr>
              <w:t>Marc Holliday</w:t>
            </w:r>
          </w:p>
          <w:p>
            <w:pPr>
              <w:pStyle w:val="TableContents"/>
              <w:spacing w:before="0" w:after="0"/>
              <w:ind w:left="0" w:right="0" w:hanging="290"/>
              <w:jc w:val="left"/>
              <w:rPr/>
            </w:pPr>
            <w:r>
              <w:rPr/>
              <w:t>●</w:t>
            </w:r>
            <w:r>
              <w:rPr>
                <w:rFonts w:ascii="Arial" w:hAnsi="Arial"/>
                <w:sz w:val="20"/>
              </w:rPr>
              <w:t>Andrew W. Mathias</w:t>
            </w:r>
          </w:p>
        </w:tc>
      </w:tr>
    </w:tbl>
    <w:p>
      <w:pPr>
        <w:pStyle w:val="TextBody"/>
        <w:jc w:val="left"/>
        <w:rPr>
          <w:rFonts w:ascii="Arial" w:hAnsi="Arial"/>
          <w:sz w:val="20"/>
          <w:highlight w:val="yellow"/>
        </w:rPr>
      </w:pPr>
      <w:r>
        <w:rPr>
          <w:rFonts w:ascii="Arial" w:hAnsi="Arial"/>
          <w:sz w:val="20"/>
          <w:highlight w:val="yellow"/>
        </w:rPr>
        <w:t>Each of the nominees is currently serving as a director, and has consented to being named in this proxy statement and to serve as a director if elected. However, if any of the nominees is unable to accept election, proxies voted in favor of such nominee will be voted for the election of such other person as the Board nominates or the Board may reduce the size of the Board.</w:t>
      </w:r>
    </w:p>
    <w:p>
      <w:pPr>
        <w:pStyle w:val="TextBody"/>
        <w:jc w:val="left"/>
        <w:rPr/>
      </w:pPr>
      <w:r>
        <w:rPr>
          <w:rStyle w:val="StrongEmphasis"/>
          <w:rFonts w:ascii="Arial" w:hAnsi="Arial"/>
          <w:color w:val="1A2343"/>
          <w:sz w:val="26"/>
          <w:highlight w:val="yellow"/>
        </w:rPr>
        <w:t>Majority Voting Standard</w:t>
      </w:r>
    </w:p>
    <w:p>
      <w:pPr>
        <w:pStyle w:val="TextBody"/>
        <w:jc w:val="left"/>
        <w:rPr>
          <w:rFonts w:ascii="Arial" w:hAnsi="Arial"/>
          <w:sz w:val="20"/>
          <w:highlight w:val="yellow"/>
        </w:rPr>
      </w:pPr>
      <w:r>
        <w:rPr>
          <w:rFonts w:ascii="Arial" w:hAnsi="Arial"/>
          <w:sz w:val="20"/>
          <w:highlight w:val="yellow"/>
        </w:rPr>
        <w:t>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For more information on the operation of our majority voting standard in director elections, see the section entitled “Our Board of Directors and Corporate Governance—Corporate Governance—Majority Voting Standard and Director Resignation Policy.”</w:t>
      </w:r>
    </w:p>
    <w:tbl>
      <w:tblPr>
        <w:tblW w:w="10205" w:type="dxa"/>
        <w:jc w:val="left"/>
        <w:tblInd w:w="0" w:type="dxa"/>
        <w:tblCellMar>
          <w:top w:w="0" w:type="dxa"/>
          <w:left w:w="0" w:type="dxa"/>
          <w:bottom w:w="0" w:type="dxa"/>
          <w:right w:w="0" w:type="dxa"/>
        </w:tblCellMar>
      </w:tblPr>
      <w:tblGrid>
        <w:gridCol w:w="9170"/>
        <w:gridCol w:w="300"/>
        <w:gridCol w:w="735"/>
      </w:tblGrid>
      <w:tr>
        <w:trPr/>
        <w:tc>
          <w:tcPr>
            <w:tcW w:w="9170" w:type="dxa"/>
            <w:tcBorders/>
            <w:shd w:fill="FFFFFF" w:val="clear"/>
            <w:vAlign w:val="center"/>
          </w:tcPr>
          <w:p>
            <w:pPr>
              <w:pStyle w:val="TableContents"/>
              <w:spacing w:before="0" w:after="283"/>
              <w:jc w:val="left"/>
              <w:rPr/>
            </w:pPr>
            <w:r>
              <w:rPr>
                <w:rFonts w:ascii="Arial" w:hAnsi="Arial"/>
                <w:b/>
                <w:color w:val="1A2343"/>
                <w:sz w:val="22"/>
              </w:rPr>
              <w:t>The Board unanimously recommends a vote</w:t>
            </w:r>
            <w:r>
              <w:rPr>
                <w:rFonts w:ascii="Arial" w:hAnsi="Arial"/>
                <w:color w:val="1A2343"/>
                <w:sz w:val="22"/>
              </w:rPr>
              <w:t xml:space="preserve"> </w:t>
            </w:r>
            <w:r>
              <w:rPr>
                <w:color w:val="8BA73B"/>
              </w:rPr>
              <w:t>“</w:t>
            </w:r>
            <w:r>
              <w:rPr>
                <w:rFonts w:ascii="Arial" w:hAnsi="Arial"/>
                <w:b/>
                <w:color w:val="8BA73B"/>
                <w:sz w:val="20"/>
              </w:rPr>
              <w:t xml:space="preserve">FOR” </w:t>
            </w:r>
            <w:r>
              <w:rPr>
                <w:rFonts w:ascii="Arial" w:hAnsi="Arial"/>
                <w:b/>
                <w:color w:val="1A2343"/>
                <w:sz w:val="20"/>
              </w:rPr>
              <w:t>the election of Messrs. Alschuler, Burton, Green, Hatkoff, Holliday and Mathias and Mses. Atkins, Brown and Dillard.</w:t>
            </w:r>
          </w:p>
        </w:tc>
        <w:tc>
          <w:tcPr>
            <w:tcW w:w="300" w:type="dxa"/>
            <w:tcBorders/>
            <w:shd w:fill="FFFFFF" w:val="clear"/>
            <w:vAlign w:val="center"/>
          </w:tcPr>
          <w:p>
            <w:pPr>
              <w:pStyle w:val="TableContents"/>
              <w:spacing w:before="0" w:after="283"/>
              <w:jc w:val="left"/>
              <w:rPr/>
            </w:pPr>
            <w:r>
              <w:rPr/>
              <w:t>     </w:t>
            </w:r>
          </w:p>
        </w:tc>
        <w:tc>
          <w:tcPr>
            <w:tcW w:w="735" w:type="dxa"/>
            <w:tcBorders/>
            <w:shd w:fill="FFFFFF" w:val="clear"/>
            <w:vAlign w:val="center"/>
          </w:tcPr>
          <w:p>
            <w:pPr>
              <w:pStyle w:val="TableContents"/>
              <w:spacing w:before="0" w:after="283"/>
              <w:jc w:val="left"/>
              <w:rPr/>
            </w:pPr>
            <w:r>
              <w:rPr/>
              <w:drawing>
                <wp:inline distT="0" distB="0" distL="0" distR="0">
                  <wp:extent cx="466725" cy="495300"/>
                  <wp:effectExtent l="0" t="0" r="0" b="0"/>
                  <wp:docPr id="9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3" descr=""/>
                          <pic:cNvPicPr>
                            <a:picLocks noChangeAspect="1" noChangeArrowheads="1"/>
                          </pic:cNvPicPr>
                        </pic:nvPicPr>
                        <pic:blipFill>
                          <a:blip r:embed="rId74"/>
                          <a:srcRect l="-2160" t="-2034" r="-2160" b="-2034"/>
                          <a:stretch>
                            <a:fillRect/>
                          </a:stretch>
                        </pic:blipFill>
                        <pic:spPr bwMode="auto">
                          <a:xfrm>
                            <a:off x="0" y="0"/>
                            <a:ext cx="466725" cy="495300"/>
                          </a:xfrm>
                          <a:prstGeom prst="rect">
                            <a:avLst/>
                          </a:prstGeom>
                          <a:ln w="635">
                            <a:solidFill>
                              <a:srgbClr val="000000"/>
                            </a:solidFill>
                          </a:ln>
                        </pic:spPr>
                      </pic:pic>
                    </a:graphicData>
                  </a:graphic>
                </wp:inline>
              </w:drawing>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10</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b/>
          <w:color w:val="8BA73B"/>
          <w:sz w:val="32"/>
        </w:rPr>
      </w:pPr>
      <w:bookmarkStart w:id="11" w:name="pg_InformationRegardingtheDirectorNomine"/>
      <w:bookmarkEnd w:id="11"/>
      <w:r>
        <w:rPr>
          <w:rFonts w:ascii="Arial" w:hAnsi="Arial"/>
          <w:b/>
          <w:color w:val="8BA73B"/>
          <w:sz w:val="32"/>
        </w:rPr>
        <w:t>INFORMATION REGARDING THE DIRECTOR NOMINEES</w:t>
      </w:r>
    </w:p>
    <w:p>
      <w:pPr>
        <w:pStyle w:val="TextBody"/>
        <w:jc w:val="left"/>
        <w:rPr>
          <w:rFonts w:ascii="Arial" w:hAnsi="Arial"/>
          <w:sz w:val="20"/>
        </w:rPr>
      </w:pPr>
      <w:r>
        <w:rPr>
          <w:rFonts w:ascii="Arial" w:hAnsi="Arial"/>
          <w:sz w:val="20"/>
        </w:rPr>
        <w:t>The following table, matrix and biographical descriptions set forth certain information with respect to the nominees for election as directors at the 2023 annual meeting, based upon information furnished by each director.</w:t>
      </w:r>
    </w:p>
    <w:tbl>
      <w:tblPr>
        <w:tblW w:w="10205" w:type="dxa"/>
        <w:jc w:val="left"/>
        <w:tblInd w:w="0" w:type="dxa"/>
        <w:tblCellMar>
          <w:top w:w="0" w:type="dxa"/>
          <w:left w:w="0" w:type="dxa"/>
          <w:bottom w:w="0" w:type="dxa"/>
          <w:right w:w="0" w:type="dxa"/>
        </w:tblCellMar>
      </w:tblPr>
      <w:tblGrid>
        <w:gridCol w:w="735"/>
        <w:gridCol w:w="120"/>
        <w:gridCol w:w="1790"/>
        <w:gridCol w:w="300"/>
        <w:gridCol w:w="2552"/>
        <w:gridCol w:w="120"/>
        <w:gridCol w:w="305"/>
        <w:gridCol w:w="120"/>
        <w:gridCol w:w="920"/>
        <w:gridCol w:w="120"/>
        <w:gridCol w:w="1047"/>
        <w:gridCol w:w="120"/>
        <w:gridCol w:w="500"/>
        <w:gridCol w:w="500"/>
        <w:gridCol w:w="455"/>
        <w:gridCol w:w="501"/>
      </w:tblGrid>
      <w:tr>
        <w:trPr/>
        <w:tc>
          <w:tcPr>
            <w:tcW w:w="7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552" w:type="dxa"/>
            <w:vMerge w:val="restart"/>
            <w:tcBorders>
              <w:bottom w:val="single" w:sz="12" w:space="0" w:color="1A2343"/>
            </w:tcBorders>
            <w:shd w:fill="auto" w:val="clear"/>
            <w:tcMar>
              <w:bottom w:w="40" w:type="dxa"/>
            </w:tcMar>
            <w:vAlign w:val="center"/>
          </w:tcPr>
          <w:p>
            <w:pPr>
              <w:pStyle w:val="TableContents"/>
              <w:spacing w:before="0" w:after="283"/>
              <w:jc w:val="left"/>
              <w:rPr>
                <w:rFonts w:ascii="Arial" w:hAnsi="Arial"/>
                <w:b/>
                <w:color w:val="1A2343"/>
                <w:sz w:val="15"/>
              </w:rPr>
            </w:pPr>
            <w:r>
              <w:rPr>
                <w:rFonts w:ascii="Arial" w:hAnsi="Arial"/>
                <w:b/>
                <w:color w:val="1A2343"/>
                <w:sz w:val="15"/>
              </w:rPr>
              <w:t>Other Current Public Board</w:t>
              <w:br/>
              <w:t>Directorships</w:t>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6" w:type="dxa"/>
            <w:gridSpan w:val="4"/>
            <w:tcBorders>
              <w:bottom w:val="single" w:sz="12" w:space="0" w:color="1A2343"/>
            </w:tcBorders>
            <w:shd w:fill="auto" w:val="clear"/>
            <w:tcMar>
              <w:bottom w:w="40" w:type="dxa"/>
            </w:tcMar>
            <w:vAlign w:val="center"/>
          </w:tcPr>
          <w:p>
            <w:pPr>
              <w:pStyle w:val="TableContents"/>
              <w:spacing w:before="0" w:after="283"/>
              <w:jc w:val="center"/>
              <w:rPr>
                <w:rFonts w:ascii="Arial" w:hAnsi="Arial"/>
                <w:b/>
                <w:color w:val="1A2343"/>
                <w:sz w:val="15"/>
              </w:rPr>
            </w:pPr>
            <w:r>
              <w:rPr>
                <w:rFonts w:ascii="Arial" w:hAnsi="Arial"/>
                <w:b/>
                <w:color w:val="1A2343"/>
                <w:sz w:val="15"/>
              </w:rPr>
              <w:t>Committee Memberships</w:t>
            </w:r>
          </w:p>
        </w:tc>
      </w:tr>
      <w:tr>
        <w:trPr/>
        <w:tc>
          <w:tcPr>
            <w:tcW w:w="735" w:type="dxa"/>
            <w:tcBorders>
              <w:bottom w:val="single" w:sz="12" w:space="0" w:color="1A2343"/>
            </w:tcBorders>
            <w:shd w:fill="auto" w:val="clear"/>
            <w:tcMar>
              <w:bottom w:w="40" w:type="dxa"/>
            </w:tcM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left"/>
              <w:rPr/>
            </w:pPr>
            <w:r>
              <w:rPr/>
              <w:t>  </w:t>
            </w:r>
          </w:p>
        </w:tc>
        <w:tc>
          <w:tcPr>
            <w:tcW w:w="1790" w:type="dxa"/>
            <w:tcBorders>
              <w:bottom w:val="single" w:sz="12" w:space="0" w:color="1A2343"/>
            </w:tcBorders>
            <w:shd w:fill="auto" w:val="clear"/>
            <w:tcMar>
              <w:bottom w:w="40" w:type="dxa"/>
            </w:tcMar>
            <w:vAlign w:val="center"/>
          </w:tcPr>
          <w:p>
            <w:pPr>
              <w:pStyle w:val="TableContents"/>
              <w:spacing w:before="0" w:after="283"/>
              <w:jc w:val="left"/>
              <w:rPr>
                <w:rFonts w:ascii="Arial" w:hAnsi="Arial"/>
                <w:b/>
                <w:color w:val="1A2343"/>
                <w:sz w:val="15"/>
              </w:rPr>
            </w:pPr>
            <w:r>
              <w:rPr>
                <w:rFonts w:ascii="Arial" w:hAnsi="Arial"/>
                <w:b/>
                <w:color w:val="1A2343"/>
                <w:sz w:val="15"/>
              </w:rPr>
              <w:t>Name</w:t>
            </w:r>
          </w:p>
        </w:tc>
        <w:tc>
          <w:tcPr>
            <w:tcW w:w="300" w:type="dxa"/>
            <w:tcBorders>
              <w:bottom w:val="single" w:sz="12" w:space="0" w:color="1A2343"/>
            </w:tcBorders>
            <w:shd w:fill="auto" w:val="clear"/>
            <w:tcMar>
              <w:bottom w:w="40" w:type="dxa"/>
            </w:tcMar>
            <w:vAlign w:val="center"/>
          </w:tcPr>
          <w:p>
            <w:pPr>
              <w:pStyle w:val="TableContents"/>
              <w:spacing w:before="0" w:after="283"/>
              <w:jc w:val="left"/>
              <w:rPr/>
            </w:pPr>
            <w:r>
              <w:rPr/>
              <w:t>     </w:t>
            </w:r>
          </w:p>
        </w:tc>
        <w:tc>
          <w:tcPr>
            <w:tcW w:w="2552" w:type="dxa"/>
            <w:vMerge w:val="continue"/>
            <w:tcBorders>
              <w:bottom w:val="single" w:sz="12" w:space="0" w:color="1A2343"/>
            </w:tcBorders>
            <w:shd w:fill="auto" w:val="clear"/>
            <w:tcMar>
              <w:bottom w:w="40" w:type="dxa"/>
            </w:tcMar>
            <w:vAlign w:val="center"/>
          </w:tcPr>
          <w:p>
            <w:pPr>
              <w:pStyle w:val="Normal"/>
              <w:rPr/>
            </w:pPr>
            <w:r>
              <w:rPr/>
            </w:r>
          </w:p>
        </w:tc>
        <w:tc>
          <w:tcPr>
            <w:tcW w:w="120" w:type="dxa"/>
            <w:tcBorders/>
            <w:shd w:fill="auto" w:val="clear"/>
            <w:vAlign w:val="center"/>
          </w:tcPr>
          <w:p>
            <w:pPr>
              <w:pStyle w:val="TableContents"/>
              <w:spacing w:before="0" w:after="283"/>
              <w:jc w:val="left"/>
              <w:rPr/>
            </w:pPr>
            <w:r>
              <w:rPr/>
              <w:t>  </w:t>
            </w:r>
          </w:p>
        </w:tc>
        <w:tc>
          <w:tcPr>
            <w:tcW w:w="305" w:type="dxa"/>
            <w:tcBorders>
              <w:bottom w:val="single" w:sz="12" w:space="0" w:color="1A2343"/>
            </w:tcBorders>
            <w:shd w:fill="auto" w:val="clear"/>
            <w:tcMar>
              <w:bottom w:w="40" w:type="dxa"/>
            </w:tcMar>
            <w:vAlign w:val="center"/>
          </w:tcPr>
          <w:p>
            <w:pPr>
              <w:pStyle w:val="TableContents"/>
              <w:spacing w:before="0" w:after="283"/>
              <w:jc w:val="center"/>
              <w:rPr>
                <w:rFonts w:ascii="Arial" w:hAnsi="Arial"/>
                <w:b/>
                <w:color w:val="1A2343"/>
                <w:sz w:val="15"/>
              </w:rPr>
            </w:pPr>
            <w:r>
              <w:rPr>
                <w:rFonts w:ascii="Arial" w:hAnsi="Arial"/>
                <w:b/>
                <w:color w:val="1A2343"/>
                <w:sz w:val="15"/>
              </w:rPr>
              <w:t>Age</w:t>
            </w:r>
          </w:p>
        </w:tc>
        <w:tc>
          <w:tcPr>
            <w:tcW w:w="120" w:type="dxa"/>
            <w:tcBorders/>
            <w:shd w:fill="auto" w:val="clear"/>
            <w:vAlign w:val="center"/>
          </w:tcPr>
          <w:p>
            <w:pPr>
              <w:pStyle w:val="TableContents"/>
              <w:spacing w:before="0" w:after="283"/>
              <w:jc w:val="left"/>
              <w:rPr/>
            </w:pPr>
            <w:r>
              <w:rPr/>
              <w:t>  </w:t>
            </w:r>
          </w:p>
        </w:tc>
        <w:tc>
          <w:tcPr>
            <w:tcW w:w="920" w:type="dxa"/>
            <w:tcBorders>
              <w:bottom w:val="single" w:sz="12" w:space="0" w:color="1A2343"/>
            </w:tcBorders>
            <w:shd w:fill="auto" w:val="clear"/>
            <w:tcMar>
              <w:bottom w:w="40" w:type="dxa"/>
            </w:tcMar>
            <w:vAlign w:val="center"/>
          </w:tcPr>
          <w:p>
            <w:pPr>
              <w:pStyle w:val="TableContents"/>
              <w:spacing w:before="0" w:after="283"/>
              <w:jc w:val="center"/>
              <w:rPr>
                <w:rFonts w:ascii="Arial" w:hAnsi="Arial"/>
                <w:b/>
                <w:color w:val="1A2343"/>
                <w:sz w:val="15"/>
              </w:rPr>
            </w:pPr>
            <w:r>
              <w:rPr>
                <w:rFonts w:ascii="Arial" w:hAnsi="Arial"/>
                <w:b/>
                <w:color w:val="1A2343"/>
                <w:sz w:val="15"/>
              </w:rPr>
              <w:t>Independent</w:t>
            </w:r>
          </w:p>
        </w:tc>
        <w:tc>
          <w:tcPr>
            <w:tcW w:w="120" w:type="dxa"/>
            <w:tcBorders/>
            <w:shd w:fill="auto" w:val="clear"/>
            <w:vAlign w:val="center"/>
          </w:tcPr>
          <w:p>
            <w:pPr>
              <w:pStyle w:val="TableContents"/>
              <w:spacing w:before="0" w:after="283"/>
              <w:jc w:val="left"/>
              <w:rPr/>
            </w:pPr>
            <w:r>
              <w:rPr/>
              <w:t>  </w:t>
            </w:r>
          </w:p>
        </w:tc>
        <w:tc>
          <w:tcPr>
            <w:tcW w:w="1047" w:type="dxa"/>
            <w:tcBorders>
              <w:bottom w:val="single" w:sz="12" w:space="0" w:color="1A2343"/>
            </w:tcBorders>
            <w:shd w:fill="auto" w:val="clear"/>
            <w:tcMar>
              <w:bottom w:w="40" w:type="dxa"/>
            </w:tcMar>
            <w:vAlign w:val="center"/>
          </w:tcPr>
          <w:p>
            <w:pPr>
              <w:pStyle w:val="TableContents"/>
              <w:spacing w:before="0" w:after="283"/>
              <w:jc w:val="center"/>
              <w:rPr>
                <w:rFonts w:ascii="Arial" w:hAnsi="Arial"/>
                <w:b/>
                <w:color w:val="1A2343"/>
                <w:sz w:val="15"/>
              </w:rPr>
            </w:pPr>
            <w:r>
              <w:rPr>
                <w:rFonts w:ascii="Arial" w:hAnsi="Arial"/>
                <w:b/>
                <w:color w:val="1A2343"/>
                <w:sz w:val="15"/>
              </w:rPr>
              <w:t>Director Since</w:t>
            </w:r>
          </w:p>
        </w:tc>
        <w:tc>
          <w:tcPr>
            <w:tcW w:w="120" w:type="dxa"/>
            <w:tcBorders/>
            <w:shd w:fill="auto" w:val="clear"/>
            <w:vAlign w:val="center"/>
          </w:tcPr>
          <w:p>
            <w:pPr>
              <w:pStyle w:val="TableContents"/>
              <w:spacing w:before="0" w:after="283"/>
              <w:jc w:val="left"/>
              <w:rPr/>
            </w:pPr>
            <w:r>
              <w:rPr/>
              <w:t>  </w:t>
            </w:r>
          </w:p>
        </w:tc>
        <w:tc>
          <w:tcPr>
            <w:tcW w:w="500" w:type="dxa"/>
            <w:tcBorders>
              <w:bottom w:val="single" w:sz="12" w:space="0" w:color="1A2343"/>
            </w:tcBorders>
            <w:shd w:fill="auto" w:val="clear"/>
            <w:tcMar>
              <w:bottom w:w="40" w:type="dxa"/>
            </w:tcMar>
            <w:vAlign w:val="center"/>
          </w:tcPr>
          <w:p>
            <w:pPr>
              <w:pStyle w:val="TableContents"/>
              <w:spacing w:before="0" w:after="283"/>
              <w:jc w:val="center"/>
              <w:rPr>
                <w:color w:val="1A2343"/>
              </w:rPr>
            </w:pPr>
            <w:r>
              <w:rPr>
                <w:color w:val="1A2343"/>
              </w:rPr>
              <w:t>   </w:t>
            </w:r>
            <w:r>
              <w:rPr>
                <w:rFonts w:ascii="Arial" w:hAnsi="Arial"/>
                <w:b/>
                <w:color w:val="1A2343"/>
                <w:sz w:val="15"/>
              </w:rPr>
              <w:t>AC  </w:t>
            </w:r>
          </w:p>
        </w:tc>
        <w:tc>
          <w:tcPr>
            <w:tcW w:w="500" w:type="dxa"/>
            <w:tcBorders>
              <w:bottom w:val="single" w:sz="12" w:space="0" w:color="1A2343"/>
            </w:tcBorders>
            <w:shd w:fill="auto" w:val="clear"/>
            <w:tcMar>
              <w:bottom w:w="40" w:type="dxa"/>
            </w:tcMar>
            <w:vAlign w:val="center"/>
          </w:tcPr>
          <w:p>
            <w:pPr>
              <w:pStyle w:val="TableContents"/>
              <w:spacing w:before="0" w:after="283"/>
              <w:jc w:val="center"/>
              <w:rPr>
                <w:color w:val="1A2343"/>
              </w:rPr>
            </w:pPr>
            <w:r>
              <w:rPr>
                <w:color w:val="1A2343"/>
              </w:rPr>
              <w:t>   </w:t>
            </w:r>
            <w:r>
              <w:rPr>
                <w:rFonts w:ascii="Arial" w:hAnsi="Arial"/>
                <w:b/>
                <w:color w:val="1A2343"/>
                <w:sz w:val="15"/>
              </w:rPr>
              <w:t>CC  </w:t>
            </w:r>
          </w:p>
        </w:tc>
        <w:tc>
          <w:tcPr>
            <w:tcW w:w="455" w:type="dxa"/>
            <w:tcBorders>
              <w:bottom w:val="single" w:sz="12" w:space="0" w:color="1A2343"/>
            </w:tcBorders>
            <w:shd w:fill="auto" w:val="clear"/>
            <w:tcMar>
              <w:bottom w:w="40" w:type="dxa"/>
            </w:tcMar>
            <w:vAlign w:val="center"/>
          </w:tcPr>
          <w:p>
            <w:pPr>
              <w:pStyle w:val="TableContents"/>
              <w:spacing w:before="0" w:after="283"/>
              <w:jc w:val="center"/>
              <w:rPr>
                <w:rFonts w:ascii="Arial" w:hAnsi="Arial"/>
                <w:b/>
                <w:color w:val="1A2343"/>
                <w:sz w:val="15"/>
              </w:rPr>
            </w:pPr>
            <w:r>
              <w:rPr>
                <w:rFonts w:ascii="Arial" w:hAnsi="Arial"/>
                <w:b/>
                <w:color w:val="1A2343"/>
                <w:sz w:val="15"/>
              </w:rPr>
              <w:t>NCGC</w:t>
            </w:r>
          </w:p>
        </w:tc>
        <w:tc>
          <w:tcPr>
            <w:tcW w:w="501" w:type="dxa"/>
            <w:tcBorders>
              <w:bottom w:val="single" w:sz="12" w:space="0" w:color="1A2343"/>
            </w:tcBorders>
            <w:shd w:fill="auto" w:val="clear"/>
            <w:tcMar>
              <w:bottom w:w="40" w:type="dxa"/>
            </w:tcMar>
            <w:vAlign w:val="center"/>
          </w:tcPr>
          <w:p>
            <w:pPr>
              <w:pStyle w:val="TableContents"/>
              <w:spacing w:before="0" w:after="283"/>
              <w:jc w:val="center"/>
              <w:rPr>
                <w:color w:val="1A2343"/>
              </w:rPr>
            </w:pPr>
            <w:r>
              <w:rPr>
                <w:color w:val="1A2343"/>
              </w:rPr>
              <w:t>   </w:t>
            </w:r>
            <w:r>
              <w:rPr>
                <w:rFonts w:ascii="Arial" w:hAnsi="Arial"/>
                <w:b/>
                <w:color w:val="1A2343"/>
                <w:sz w:val="15"/>
              </w:rPr>
              <w:t>EC  </w:t>
            </w:r>
          </w:p>
        </w:tc>
      </w:tr>
      <w:tr>
        <w:trPr/>
        <w:tc>
          <w:tcPr>
            <w:tcW w:w="735" w:type="dxa"/>
            <w:tcBorders>
              <w:bottom w:val="single" w:sz="8" w:space="0" w:color="5B5975"/>
            </w:tcBorders>
            <w:shd w:fill="auto" w:val="clear"/>
            <w:tcMar>
              <w:bottom w:w="40" w:type="dxa"/>
            </w:tcMar>
            <w:vAlign w:val="center"/>
          </w:tcPr>
          <w:p>
            <w:pPr>
              <w:pStyle w:val="TableContents"/>
              <w:spacing w:before="0" w:after="283"/>
              <w:jc w:val="left"/>
              <w:rPr/>
            </w:pPr>
            <w:r>
              <w:rPr/>
              <w:drawing>
                <wp:inline distT="0" distB="0" distL="0" distR="0">
                  <wp:extent cx="447675" cy="552450"/>
                  <wp:effectExtent l="0" t="0" r="0" b="0"/>
                  <wp:docPr id="9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4" descr=""/>
                          <pic:cNvPicPr>
                            <a:picLocks noChangeAspect="1" noChangeArrowheads="1"/>
                          </pic:cNvPicPr>
                        </pic:nvPicPr>
                        <pic:blipFill>
                          <a:blip r:embed="rId75"/>
                          <a:srcRect l="-2250" t="-1824" r="-2250" b="-1824"/>
                          <a:stretch>
                            <a:fillRect/>
                          </a:stretch>
                        </pic:blipFill>
                        <pic:spPr bwMode="auto">
                          <a:xfrm>
                            <a:off x="0" y="0"/>
                            <a:ext cx="447675" cy="552450"/>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790" w:type="dxa"/>
            <w:tcBorders>
              <w:bottom w:val="single" w:sz="8" w:space="0" w:color="5B5975"/>
            </w:tcBorders>
            <w:shd w:fill="auto" w:val="clear"/>
            <w:tcMar>
              <w:bottom w:w="40" w:type="dxa"/>
            </w:tcMar>
            <w:vAlign w:val="center"/>
          </w:tcPr>
          <w:p>
            <w:pPr>
              <w:pStyle w:val="TableContents"/>
              <w:spacing w:before="0" w:after="283"/>
              <w:jc w:val="left"/>
              <w:rPr>
                <w:rFonts w:ascii="Arial" w:hAnsi="Arial"/>
                <w:b/>
                <w:strike w:val="false"/>
                <w:dstrike w:val="false"/>
                <w:color w:val="1A2343"/>
                <w:sz w:val="20"/>
                <w:u w:val="none"/>
                <w:effect w:val="none"/>
              </w:rPr>
            </w:pPr>
            <w:r>
              <w:rPr>
                <w:rFonts w:ascii="Arial" w:hAnsi="Arial"/>
                <w:b/>
                <w:strike w:val="false"/>
                <w:dstrike w:val="false"/>
                <w:color w:val="1A2343"/>
                <w:sz w:val="20"/>
                <w:u w:val="none"/>
                <w:effect w:val="none"/>
              </w:rPr>
              <w:t>John H. Alschuler</w:t>
            </w:r>
          </w:p>
        </w:tc>
        <w:tc>
          <w:tcPr>
            <w:tcW w:w="30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2552" w:type="dxa"/>
            <w:tcBorders>
              <w:bottom w:val="single" w:sz="8" w:space="0" w:color="5B5975"/>
            </w:tcBorders>
            <w:shd w:fill="auto" w:val="clear"/>
            <w:tcMar>
              <w:bottom w:w="40" w:type="dxa"/>
            </w:tcMar>
            <w:vAlign w:val="center"/>
          </w:tcPr>
          <w:p>
            <w:pPr>
              <w:pStyle w:val="TableContents"/>
              <w:spacing w:before="0" w:after="0"/>
              <w:ind w:left="0" w:right="0" w:hanging="260"/>
              <w:jc w:val="left"/>
              <w:rPr/>
            </w:pPr>
            <w:r>
              <w:rPr/>
              <w:t>●</w:t>
            </w:r>
            <w:r>
              <w:rPr>
                <w:rFonts w:ascii="Arial" w:hAnsi="Arial"/>
                <w:sz w:val="15"/>
              </w:rPr>
              <w:t>Xenia Hotels and Resorts</w:t>
            </w:r>
          </w:p>
          <w:p>
            <w:pPr>
              <w:pStyle w:val="TableContents"/>
              <w:spacing w:before="0" w:after="0"/>
              <w:ind w:left="0" w:right="0" w:hanging="260"/>
              <w:jc w:val="left"/>
              <w:rPr/>
            </w:pPr>
            <w:r>
              <w:rPr/>
              <w:t>●</w:t>
            </w:r>
            <w:r>
              <w:rPr>
                <w:rFonts w:ascii="Arial" w:hAnsi="Arial"/>
                <w:sz w:val="15"/>
              </w:rPr>
              <w:t>The Macerich Company</w:t>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75</w:t>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bottom w:val="single" w:sz="8" w:space="0" w:color="5B5975"/>
            </w:tcBorders>
            <w:shd w:fill="auto" w:val="clear"/>
            <w:tcMar>
              <w:bottom w:w="40" w:type="dxa"/>
            </w:tcMar>
            <w:vAlign w:val="center"/>
          </w:tcPr>
          <w:p>
            <w:pPr>
              <w:pStyle w:val="TableContents"/>
              <w:spacing w:before="0" w:after="283"/>
              <w:jc w:val="center"/>
              <w:rPr/>
            </w:pPr>
            <w:r>
              <w:rPr/>
              <w:drawing>
                <wp:inline distT="0" distB="0" distL="0" distR="0">
                  <wp:extent cx="180975" cy="142875"/>
                  <wp:effectExtent l="0" t="0" r="0" b="0"/>
                  <wp:docPr id="9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5" descr=""/>
                          <pic:cNvPicPr>
                            <a:picLocks noChangeAspect="1" noChangeArrowheads="1"/>
                          </pic:cNvPicPr>
                        </pic:nvPicPr>
                        <pic:blipFill>
                          <a:blip r:embed="rId76"/>
                          <a:srcRect l="-5566" t="-7052" r="-5566" b="-7052"/>
                          <a:stretch>
                            <a:fillRect/>
                          </a:stretch>
                        </pic:blipFill>
                        <pic:spPr bwMode="auto">
                          <a:xfrm>
                            <a:off x="0" y="0"/>
                            <a:ext cx="180975" cy="142875"/>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047" w:type="dxa"/>
            <w:tcBorders>
              <w:bottom w:val="single" w:sz="8"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1997</w:t>
            </w:r>
          </w:p>
        </w:tc>
        <w:tc>
          <w:tcPr>
            <w:tcW w:w="120" w:type="dxa"/>
            <w:tcBorders/>
            <w:shd w:fill="auto" w:val="clear"/>
            <w:vAlign w:val="center"/>
          </w:tcPr>
          <w:p>
            <w:pPr>
              <w:pStyle w:val="TableContents"/>
              <w:spacing w:before="0" w:after="283"/>
              <w:rPr>
                <w:sz w:val="4"/>
                <w:szCs w:val="4"/>
              </w:rPr>
            </w:pPr>
            <w:r>
              <w:rPr>
                <w:sz w:val="4"/>
                <w:szCs w:val="4"/>
              </w:rPr>
            </w:r>
          </w:p>
        </w:tc>
        <w:tc>
          <w:tcPr>
            <w:tcW w:w="500"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rPr>
                <w:sz w:val="4"/>
                <w:szCs w:val="4"/>
              </w:rPr>
            </w:pPr>
            <w:r>
              <w:rPr>
                <w:sz w:val="4"/>
                <w:szCs w:val="4"/>
              </w:rPr>
            </w:r>
          </w:p>
        </w:tc>
        <w:tc>
          <w:tcPr>
            <w:tcW w:w="500"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rPr>
                <w:sz w:val="4"/>
                <w:szCs w:val="4"/>
              </w:rPr>
            </w:pPr>
            <w:r>
              <w:rPr>
                <w:sz w:val="4"/>
                <w:szCs w:val="4"/>
              </w:rPr>
            </w:r>
          </w:p>
        </w:tc>
        <w:tc>
          <w:tcPr>
            <w:tcW w:w="455"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jc w:val="center"/>
              <w:rPr>
                <w:rFonts w:ascii="Arial" w:hAnsi="Arial"/>
                <w:b/>
                <w:color w:val="1A2343"/>
                <w:sz w:val="22"/>
              </w:rPr>
            </w:pPr>
            <w:r>
              <w:rPr>
                <w:rFonts w:ascii="Arial" w:hAnsi="Arial"/>
                <w:b/>
                <w:color w:val="1A2343"/>
                <w:sz w:val="22"/>
              </w:rPr>
              <w:t>M</w:t>
            </w:r>
          </w:p>
        </w:tc>
        <w:tc>
          <w:tcPr>
            <w:tcW w:w="501" w:type="dxa"/>
            <w:tcBorders>
              <w:left w:val="single" w:sz="8" w:space="0" w:color="5B5975"/>
              <w:bottom w:val="single" w:sz="8" w:space="0" w:color="5B5975"/>
              <w:right w:val="single" w:sz="8" w:space="0" w:color="5B5975"/>
            </w:tcBorders>
            <w:shd w:fill="auto" w:val="clear"/>
            <w:tcMar>
              <w:left w:w="80" w:type="dxa"/>
              <w:bottom w:w="40" w:type="dxa"/>
              <w:right w:w="80" w:type="dxa"/>
            </w:tcMar>
            <w:vAlign w:val="center"/>
          </w:tcPr>
          <w:p>
            <w:pPr>
              <w:pStyle w:val="TableContents"/>
              <w:spacing w:before="0" w:after="283"/>
              <w:jc w:val="center"/>
              <w:rPr>
                <w:rFonts w:ascii="Arial" w:hAnsi="Arial"/>
                <w:b/>
                <w:color w:val="1A2343"/>
                <w:sz w:val="22"/>
              </w:rPr>
            </w:pPr>
            <w:r>
              <w:rPr>
                <w:rFonts w:ascii="Arial" w:hAnsi="Arial"/>
                <w:b/>
                <w:color w:val="1A2343"/>
                <w:sz w:val="22"/>
              </w:rPr>
              <w:t>M</w:t>
            </w:r>
          </w:p>
        </w:tc>
      </w:tr>
      <w:tr>
        <w:trPr/>
        <w:tc>
          <w:tcPr>
            <w:tcW w:w="735" w:type="dxa"/>
            <w:tcBorders>
              <w:bottom w:val="single" w:sz="8" w:space="0" w:color="5B5975"/>
            </w:tcBorders>
            <w:shd w:fill="auto" w:val="clear"/>
            <w:tcMar>
              <w:bottom w:w="40" w:type="dxa"/>
            </w:tcMar>
            <w:vAlign w:val="center"/>
          </w:tcPr>
          <w:p>
            <w:pPr>
              <w:pStyle w:val="TableContents"/>
              <w:spacing w:before="0" w:after="283"/>
              <w:jc w:val="left"/>
              <w:rPr/>
            </w:pPr>
            <w:r>
              <w:rPr/>
              <w:drawing>
                <wp:inline distT="0" distB="0" distL="0" distR="0">
                  <wp:extent cx="447675" cy="542925"/>
                  <wp:effectExtent l="0" t="0" r="0" b="0"/>
                  <wp:docPr id="9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6" descr=""/>
                          <pic:cNvPicPr>
                            <a:picLocks noChangeAspect="1" noChangeArrowheads="1"/>
                          </pic:cNvPicPr>
                        </pic:nvPicPr>
                        <pic:blipFill>
                          <a:blip r:embed="rId77"/>
                          <a:srcRect l="-2250" t="-1856" r="-2250" b="-1856"/>
                          <a:stretch>
                            <a:fillRect/>
                          </a:stretch>
                        </pic:blipFill>
                        <pic:spPr bwMode="auto">
                          <a:xfrm>
                            <a:off x="0" y="0"/>
                            <a:ext cx="447675" cy="542925"/>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790" w:type="dxa"/>
            <w:tcBorders>
              <w:bottom w:val="single" w:sz="8" w:space="0" w:color="5B5975"/>
            </w:tcBorders>
            <w:shd w:fill="auto" w:val="clear"/>
            <w:tcMar>
              <w:bottom w:w="40" w:type="dxa"/>
            </w:tcMar>
            <w:vAlign w:val="center"/>
          </w:tcPr>
          <w:p>
            <w:pPr>
              <w:pStyle w:val="TableContents"/>
              <w:spacing w:before="0" w:after="283"/>
              <w:jc w:val="left"/>
              <w:rPr>
                <w:rFonts w:ascii="Arial" w:hAnsi="Arial"/>
                <w:b/>
                <w:strike w:val="false"/>
                <w:dstrike w:val="false"/>
                <w:color w:val="1A2343"/>
                <w:sz w:val="20"/>
                <w:u w:val="none"/>
                <w:effect w:val="none"/>
              </w:rPr>
            </w:pPr>
            <w:r>
              <w:rPr>
                <w:rFonts w:ascii="Arial" w:hAnsi="Arial"/>
                <w:b/>
                <w:strike w:val="false"/>
                <w:dstrike w:val="false"/>
                <w:color w:val="1A2343"/>
                <w:sz w:val="20"/>
                <w:u w:val="none"/>
                <w:effect w:val="none"/>
              </w:rPr>
              <w:t>Betsy S. Atkins</w:t>
            </w:r>
          </w:p>
        </w:tc>
        <w:tc>
          <w:tcPr>
            <w:tcW w:w="30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2552" w:type="dxa"/>
            <w:tcBorders>
              <w:bottom w:val="single" w:sz="8" w:space="0" w:color="5B5975"/>
            </w:tcBorders>
            <w:shd w:fill="auto" w:val="clear"/>
            <w:tcMar>
              <w:bottom w:w="40" w:type="dxa"/>
            </w:tcMar>
            <w:vAlign w:val="center"/>
          </w:tcPr>
          <w:p>
            <w:pPr>
              <w:pStyle w:val="TableContents"/>
              <w:spacing w:before="0" w:after="0"/>
              <w:ind w:left="0" w:right="0" w:hanging="260"/>
              <w:jc w:val="left"/>
              <w:rPr/>
            </w:pPr>
            <w:r>
              <w:rPr/>
              <w:t>●</w:t>
            </w:r>
            <w:r>
              <w:rPr>
                <w:rFonts w:ascii="Arial" w:hAnsi="Arial"/>
                <w:sz w:val="15"/>
              </w:rPr>
              <w:t>Wynn Resorts Ltd.</w:t>
            </w:r>
          </w:p>
          <w:p>
            <w:pPr>
              <w:pStyle w:val="TableContents"/>
              <w:spacing w:before="0" w:after="0"/>
              <w:ind w:left="0" w:right="0" w:hanging="260"/>
              <w:jc w:val="left"/>
              <w:rPr/>
            </w:pPr>
            <w:r>
              <w:rPr/>
              <w:t>●</w:t>
            </w:r>
            <w:r>
              <w:rPr>
                <w:rFonts w:ascii="Arial" w:hAnsi="Arial"/>
                <w:sz w:val="15"/>
              </w:rPr>
              <w:t>Enovix Corporation</w:t>
            </w:r>
          </w:p>
          <w:p>
            <w:pPr>
              <w:pStyle w:val="TableContents"/>
              <w:spacing w:before="0" w:after="0"/>
              <w:ind w:left="0" w:right="0" w:hanging="260"/>
              <w:jc w:val="left"/>
              <w:rPr/>
            </w:pPr>
            <w:r>
              <w:rPr/>
              <w:t>●</w:t>
            </w:r>
            <w:r>
              <w:rPr>
                <w:rFonts w:ascii="Arial" w:hAnsi="Arial"/>
                <w:sz w:val="15"/>
              </w:rPr>
              <w:t>Solaredge Technologies, Inc.</w:t>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69</w:t>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bottom w:val="single" w:sz="8" w:space="0" w:color="5B5975"/>
            </w:tcBorders>
            <w:shd w:fill="auto" w:val="clear"/>
            <w:tcMar>
              <w:bottom w:w="40" w:type="dxa"/>
            </w:tcMar>
            <w:vAlign w:val="center"/>
          </w:tcPr>
          <w:p>
            <w:pPr>
              <w:pStyle w:val="TableContents"/>
              <w:spacing w:before="0" w:after="283"/>
              <w:jc w:val="center"/>
              <w:rPr/>
            </w:pPr>
            <w:r>
              <w:rPr/>
              <w:drawing>
                <wp:inline distT="0" distB="0" distL="0" distR="0">
                  <wp:extent cx="180975" cy="142875"/>
                  <wp:effectExtent l="0" t="0" r="0" b="0"/>
                  <wp:docPr id="9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7" descr=""/>
                          <pic:cNvPicPr>
                            <a:picLocks noChangeAspect="1" noChangeArrowheads="1"/>
                          </pic:cNvPicPr>
                        </pic:nvPicPr>
                        <pic:blipFill>
                          <a:blip r:embed="rId78"/>
                          <a:srcRect l="-5566" t="-7052" r="-5566" b="-7052"/>
                          <a:stretch>
                            <a:fillRect/>
                          </a:stretch>
                        </pic:blipFill>
                        <pic:spPr bwMode="auto">
                          <a:xfrm>
                            <a:off x="0" y="0"/>
                            <a:ext cx="180975" cy="142875"/>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047" w:type="dxa"/>
            <w:tcBorders>
              <w:bottom w:val="single" w:sz="8"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2015</w:t>
            </w:r>
          </w:p>
        </w:tc>
        <w:tc>
          <w:tcPr>
            <w:tcW w:w="120" w:type="dxa"/>
            <w:tcBorders/>
            <w:shd w:fill="auto" w:val="clear"/>
            <w:vAlign w:val="center"/>
          </w:tcPr>
          <w:p>
            <w:pPr>
              <w:pStyle w:val="TableContents"/>
              <w:spacing w:before="0" w:after="283"/>
              <w:rPr>
                <w:sz w:val="4"/>
                <w:szCs w:val="4"/>
              </w:rPr>
            </w:pPr>
            <w:r>
              <w:rPr>
                <w:sz w:val="4"/>
                <w:szCs w:val="4"/>
              </w:rPr>
            </w:r>
          </w:p>
        </w:tc>
        <w:tc>
          <w:tcPr>
            <w:tcW w:w="500"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jc w:val="center"/>
              <w:rPr>
                <w:rFonts w:ascii="Arial" w:hAnsi="Arial"/>
                <w:b/>
                <w:color w:val="1A2343"/>
                <w:sz w:val="22"/>
              </w:rPr>
            </w:pPr>
            <w:r>
              <w:rPr>
                <w:rFonts w:ascii="Arial" w:hAnsi="Arial"/>
                <w:b/>
                <w:color w:val="1A2343"/>
                <w:sz w:val="22"/>
              </w:rPr>
              <w:t>M</w:t>
            </w:r>
          </w:p>
        </w:tc>
        <w:tc>
          <w:tcPr>
            <w:tcW w:w="500"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rPr>
                <w:sz w:val="4"/>
                <w:szCs w:val="4"/>
              </w:rPr>
            </w:pPr>
            <w:r>
              <w:rPr>
                <w:sz w:val="4"/>
                <w:szCs w:val="4"/>
              </w:rPr>
            </w:r>
          </w:p>
        </w:tc>
        <w:tc>
          <w:tcPr>
            <w:tcW w:w="455"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jc w:val="center"/>
              <w:rPr>
                <w:rFonts w:ascii="Arial" w:hAnsi="Arial"/>
                <w:b/>
                <w:color w:val="1A2343"/>
                <w:sz w:val="22"/>
              </w:rPr>
            </w:pPr>
            <w:r>
              <w:rPr>
                <w:rFonts w:ascii="Arial" w:hAnsi="Arial"/>
                <w:b/>
                <w:color w:val="1A2343"/>
                <w:sz w:val="22"/>
              </w:rPr>
              <w:t>M</w:t>
            </w:r>
          </w:p>
        </w:tc>
        <w:tc>
          <w:tcPr>
            <w:tcW w:w="501" w:type="dxa"/>
            <w:tcBorders>
              <w:left w:val="single" w:sz="8" w:space="0" w:color="5B5975"/>
              <w:bottom w:val="single" w:sz="8" w:space="0" w:color="5B5975"/>
              <w:right w:val="single" w:sz="8" w:space="0" w:color="5B5975"/>
            </w:tcBorders>
            <w:shd w:fill="auto" w:val="clear"/>
            <w:tcMar>
              <w:left w:w="80" w:type="dxa"/>
              <w:bottom w:w="40" w:type="dxa"/>
              <w:right w:w="80" w:type="dxa"/>
            </w:tcMar>
            <w:vAlign w:val="center"/>
          </w:tcPr>
          <w:p>
            <w:pPr>
              <w:pStyle w:val="TableContents"/>
              <w:spacing w:before="0" w:after="283"/>
              <w:rPr>
                <w:sz w:val="4"/>
                <w:szCs w:val="4"/>
              </w:rPr>
            </w:pPr>
            <w:r>
              <w:rPr>
                <w:sz w:val="4"/>
                <w:szCs w:val="4"/>
              </w:rPr>
            </w:r>
          </w:p>
        </w:tc>
      </w:tr>
      <w:tr>
        <w:trPr/>
        <w:tc>
          <w:tcPr>
            <w:tcW w:w="735" w:type="dxa"/>
            <w:tcBorders>
              <w:bottom w:val="single" w:sz="8" w:space="0" w:color="5B5975"/>
            </w:tcBorders>
            <w:shd w:fill="auto" w:val="clear"/>
            <w:tcMar>
              <w:bottom w:w="40" w:type="dxa"/>
            </w:tcMar>
            <w:vAlign w:val="center"/>
          </w:tcPr>
          <w:p>
            <w:pPr>
              <w:pStyle w:val="TableContents"/>
              <w:spacing w:before="0" w:after="283"/>
              <w:jc w:val="left"/>
              <w:rPr/>
            </w:pPr>
            <w:r>
              <w:rPr/>
              <w:drawing>
                <wp:inline distT="0" distB="0" distL="0" distR="0">
                  <wp:extent cx="466725" cy="476250"/>
                  <wp:effectExtent l="0" t="0" r="0" b="0"/>
                  <wp:docPr id="10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8" descr=""/>
                          <pic:cNvPicPr>
                            <a:picLocks noChangeAspect="1" noChangeArrowheads="1"/>
                          </pic:cNvPicPr>
                        </pic:nvPicPr>
                        <pic:blipFill>
                          <a:blip r:embed="rId79"/>
                          <a:srcRect l="-2160" t="-2116" r="-2160" b="-2116"/>
                          <a:stretch>
                            <a:fillRect/>
                          </a:stretch>
                        </pic:blipFill>
                        <pic:spPr bwMode="auto">
                          <a:xfrm>
                            <a:off x="0" y="0"/>
                            <a:ext cx="466725" cy="476250"/>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790" w:type="dxa"/>
            <w:tcBorders>
              <w:bottom w:val="single" w:sz="8" w:space="0" w:color="5B5975"/>
            </w:tcBorders>
            <w:shd w:fill="auto" w:val="clear"/>
            <w:tcMar>
              <w:bottom w:w="40" w:type="dxa"/>
            </w:tcMar>
            <w:vAlign w:val="center"/>
          </w:tcPr>
          <w:p>
            <w:pPr>
              <w:pStyle w:val="TableContents"/>
              <w:spacing w:before="0" w:after="283"/>
              <w:jc w:val="left"/>
              <w:rPr>
                <w:rFonts w:ascii="Arial" w:hAnsi="Arial"/>
                <w:b/>
                <w:strike w:val="false"/>
                <w:dstrike w:val="false"/>
                <w:color w:val="1A2343"/>
                <w:sz w:val="20"/>
                <w:u w:val="none"/>
                <w:effect w:val="none"/>
              </w:rPr>
            </w:pPr>
            <w:r>
              <w:rPr>
                <w:rFonts w:ascii="Arial" w:hAnsi="Arial"/>
                <w:b/>
                <w:strike w:val="false"/>
                <w:dstrike w:val="false"/>
                <w:color w:val="1A2343"/>
                <w:sz w:val="20"/>
                <w:u w:val="none"/>
                <w:effect w:val="none"/>
              </w:rPr>
              <w:t>Carol N. Brown</w:t>
            </w:r>
          </w:p>
        </w:tc>
        <w:tc>
          <w:tcPr>
            <w:tcW w:w="30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2552"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53</w:t>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bottom w:val="single" w:sz="8" w:space="0" w:color="5B5975"/>
            </w:tcBorders>
            <w:shd w:fill="auto" w:val="clear"/>
            <w:tcMar>
              <w:bottom w:w="40" w:type="dxa"/>
            </w:tcMar>
            <w:vAlign w:val="center"/>
          </w:tcPr>
          <w:p>
            <w:pPr>
              <w:pStyle w:val="TableContents"/>
              <w:spacing w:before="0" w:after="283"/>
              <w:jc w:val="center"/>
              <w:rPr/>
            </w:pPr>
            <w:r>
              <w:rPr/>
              <w:drawing>
                <wp:inline distT="0" distB="0" distL="0" distR="0">
                  <wp:extent cx="180975" cy="142875"/>
                  <wp:effectExtent l="0" t="0" r="0" b="0"/>
                  <wp:docPr id="10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9" descr=""/>
                          <pic:cNvPicPr>
                            <a:picLocks noChangeAspect="1" noChangeArrowheads="1"/>
                          </pic:cNvPicPr>
                        </pic:nvPicPr>
                        <pic:blipFill>
                          <a:blip r:embed="rId80"/>
                          <a:srcRect l="-5566" t="-7052" r="-5566" b="-7052"/>
                          <a:stretch>
                            <a:fillRect/>
                          </a:stretch>
                        </pic:blipFill>
                        <pic:spPr bwMode="auto">
                          <a:xfrm>
                            <a:off x="0" y="0"/>
                            <a:ext cx="180975" cy="142875"/>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047" w:type="dxa"/>
            <w:tcBorders>
              <w:bottom w:val="single" w:sz="8"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2022</w:t>
            </w:r>
          </w:p>
        </w:tc>
        <w:tc>
          <w:tcPr>
            <w:tcW w:w="120" w:type="dxa"/>
            <w:tcBorders/>
            <w:shd w:fill="auto" w:val="clear"/>
            <w:vAlign w:val="center"/>
          </w:tcPr>
          <w:p>
            <w:pPr>
              <w:pStyle w:val="TableContents"/>
              <w:spacing w:before="0" w:after="283"/>
              <w:rPr>
                <w:sz w:val="4"/>
                <w:szCs w:val="4"/>
              </w:rPr>
            </w:pPr>
            <w:r>
              <w:rPr>
                <w:sz w:val="4"/>
                <w:szCs w:val="4"/>
              </w:rPr>
            </w:r>
          </w:p>
        </w:tc>
        <w:tc>
          <w:tcPr>
            <w:tcW w:w="500"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rPr>
                <w:sz w:val="4"/>
                <w:szCs w:val="4"/>
              </w:rPr>
            </w:pPr>
            <w:r>
              <w:rPr>
                <w:sz w:val="4"/>
                <w:szCs w:val="4"/>
              </w:rPr>
            </w:r>
          </w:p>
        </w:tc>
        <w:tc>
          <w:tcPr>
            <w:tcW w:w="500"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jc w:val="center"/>
              <w:rPr>
                <w:rFonts w:ascii="Arial" w:hAnsi="Arial"/>
                <w:b/>
                <w:color w:val="1A2343"/>
                <w:sz w:val="22"/>
              </w:rPr>
            </w:pPr>
            <w:r>
              <w:rPr>
                <w:rFonts w:ascii="Arial" w:hAnsi="Arial"/>
                <w:b/>
                <w:color w:val="1A2343"/>
                <w:sz w:val="22"/>
              </w:rPr>
              <w:t>M</w:t>
            </w:r>
            <w:r>
              <w:rPr>
                <w:rFonts w:ascii="Arial" w:hAnsi="Arial"/>
                <w:b/>
                <w:color w:val="1A2343"/>
                <w:position w:val="7"/>
                <w:sz w:val="18"/>
                <w:sz w:val="22"/>
              </w:rPr>
              <w:t>(1)</w:t>
            </w:r>
          </w:p>
        </w:tc>
        <w:tc>
          <w:tcPr>
            <w:tcW w:w="455"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jc w:val="center"/>
              <w:rPr>
                <w:rFonts w:ascii="Arial" w:hAnsi="Arial"/>
                <w:b/>
                <w:color w:val="1A2343"/>
                <w:sz w:val="22"/>
              </w:rPr>
            </w:pPr>
            <w:r>
              <w:rPr>
                <w:rFonts w:ascii="Arial" w:hAnsi="Arial"/>
                <w:b/>
                <w:color w:val="1A2343"/>
                <w:sz w:val="22"/>
              </w:rPr>
              <w:t>M</w:t>
            </w:r>
          </w:p>
        </w:tc>
        <w:tc>
          <w:tcPr>
            <w:tcW w:w="501" w:type="dxa"/>
            <w:tcBorders>
              <w:left w:val="single" w:sz="8" w:space="0" w:color="5B5975"/>
              <w:bottom w:val="single" w:sz="8" w:space="0" w:color="5B5975"/>
              <w:right w:val="single" w:sz="8" w:space="0" w:color="5B5975"/>
            </w:tcBorders>
            <w:shd w:fill="auto" w:val="clear"/>
            <w:tcMar>
              <w:left w:w="80" w:type="dxa"/>
              <w:bottom w:w="40" w:type="dxa"/>
              <w:right w:w="80" w:type="dxa"/>
            </w:tcMar>
            <w:vAlign w:val="center"/>
          </w:tcPr>
          <w:p>
            <w:pPr>
              <w:pStyle w:val="TableContents"/>
              <w:spacing w:before="0" w:after="283"/>
              <w:rPr>
                <w:sz w:val="4"/>
                <w:szCs w:val="4"/>
              </w:rPr>
            </w:pPr>
            <w:r>
              <w:rPr>
                <w:sz w:val="4"/>
                <w:szCs w:val="4"/>
              </w:rPr>
            </w:r>
          </w:p>
        </w:tc>
      </w:tr>
      <w:tr>
        <w:trPr/>
        <w:tc>
          <w:tcPr>
            <w:tcW w:w="735" w:type="dxa"/>
            <w:tcBorders>
              <w:bottom w:val="single" w:sz="8" w:space="0" w:color="5B5975"/>
            </w:tcBorders>
            <w:shd w:fill="auto" w:val="clear"/>
            <w:tcMar>
              <w:bottom w:w="40" w:type="dxa"/>
            </w:tcMar>
            <w:vAlign w:val="center"/>
          </w:tcPr>
          <w:p>
            <w:pPr>
              <w:pStyle w:val="TableContents"/>
              <w:spacing w:before="0" w:after="283"/>
              <w:jc w:val="left"/>
              <w:rPr/>
            </w:pPr>
            <w:r>
              <w:rPr/>
              <w:drawing>
                <wp:inline distT="0" distB="0" distL="0" distR="0">
                  <wp:extent cx="447675" cy="561975"/>
                  <wp:effectExtent l="0" t="0" r="0" b="0"/>
                  <wp:docPr id="10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0" descr=""/>
                          <pic:cNvPicPr>
                            <a:picLocks noChangeAspect="1" noChangeArrowheads="1"/>
                          </pic:cNvPicPr>
                        </pic:nvPicPr>
                        <pic:blipFill>
                          <a:blip r:embed="rId81"/>
                          <a:srcRect l="-2250" t="-1793" r="-2250" b="-1793"/>
                          <a:stretch>
                            <a:fillRect/>
                          </a:stretch>
                        </pic:blipFill>
                        <pic:spPr bwMode="auto">
                          <a:xfrm>
                            <a:off x="0" y="0"/>
                            <a:ext cx="447675" cy="561975"/>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790" w:type="dxa"/>
            <w:tcBorders>
              <w:bottom w:val="single" w:sz="8" w:space="0" w:color="5B5975"/>
            </w:tcBorders>
            <w:shd w:fill="auto" w:val="clear"/>
            <w:tcMar>
              <w:bottom w:w="40" w:type="dxa"/>
            </w:tcMar>
            <w:vAlign w:val="center"/>
          </w:tcPr>
          <w:p>
            <w:pPr>
              <w:pStyle w:val="TableContents"/>
              <w:spacing w:before="0" w:after="283"/>
              <w:jc w:val="left"/>
              <w:rPr>
                <w:rFonts w:ascii="Arial" w:hAnsi="Arial"/>
                <w:b/>
                <w:strike w:val="false"/>
                <w:dstrike w:val="false"/>
                <w:color w:val="1A2343"/>
                <w:sz w:val="20"/>
                <w:u w:val="none"/>
                <w:effect w:val="none"/>
              </w:rPr>
            </w:pPr>
            <w:r>
              <w:rPr>
                <w:rFonts w:ascii="Arial" w:hAnsi="Arial"/>
                <w:b/>
                <w:strike w:val="false"/>
                <w:dstrike w:val="false"/>
                <w:color w:val="1A2343"/>
                <w:sz w:val="20"/>
                <w:u w:val="none"/>
                <w:effect w:val="none"/>
              </w:rPr>
              <w:t>Edwin T. Burton, III</w:t>
            </w:r>
          </w:p>
        </w:tc>
        <w:tc>
          <w:tcPr>
            <w:tcW w:w="30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2552"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80</w:t>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bottom w:val="single" w:sz="8" w:space="0" w:color="5B5975"/>
            </w:tcBorders>
            <w:shd w:fill="auto" w:val="clear"/>
            <w:tcMar>
              <w:bottom w:w="40" w:type="dxa"/>
            </w:tcMar>
            <w:vAlign w:val="center"/>
          </w:tcPr>
          <w:p>
            <w:pPr>
              <w:pStyle w:val="TableContents"/>
              <w:spacing w:before="0" w:after="283"/>
              <w:jc w:val="center"/>
              <w:rPr/>
            </w:pPr>
            <w:r>
              <w:rPr/>
              <w:drawing>
                <wp:inline distT="0" distB="0" distL="0" distR="0">
                  <wp:extent cx="180975" cy="142875"/>
                  <wp:effectExtent l="0" t="0" r="0" b="0"/>
                  <wp:docPr id="10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1" descr=""/>
                          <pic:cNvPicPr>
                            <a:picLocks noChangeAspect="1" noChangeArrowheads="1"/>
                          </pic:cNvPicPr>
                        </pic:nvPicPr>
                        <pic:blipFill>
                          <a:blip r:embed="rId82"/>
                          <a:srcRect l="-5566" t="-7052" r="-5566" b="-7052"/>
                          <a:stretch>
                            <a:fillRect/>
                          </a:stretch>
                        </pic:blipFill>
                        <pic:spPr bwMode="auto">
                          <a:xfrm>
                            <a:off x="0" y="0"/>
                            <a:ext cx="180975" cy="142875"/>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047" w:type="dxa"/>
            <w:tcBorders>
              <w:bottom w:val="single" w:sz="8"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1997</w:t>
            </w:r>
          </w:p>
        </w:tc>
        <w:tc>
          <w:tcPr>
            <w:tcW w:w="120" w:type="dxa"/>
            <w:tcBorders/>
            <w:shd w:fill="auto" w:val="clear"/>
            <w:vAlign w:val="center"/>
          </w:tcPr>
          <w:p>
            <w:pPr>
              <w:pStyle w:val="TableContents"/>
              <w:spacing w:before="0" w:after="283"/>
              <w:rPr>
                <w:sz w:val="4"/>
                <w:szCs w:val="4"/>
              </w:rPr>
            </w:pPr>
            <w:r>
              <w:rPr>
                <w:sz w:val="4"/>
                <w:szCs w:val="4"/>
              </w:rPr>
            </w:r>
          </w:p>
        </w:tc>
        <w:tc>
          <w:tcPr>
            <w:tcW w:w="500"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jc w:val="center"/>
              <w:rPr>
                <w:rFonts w:ascii="Arial" w:hAnsi="Arial"/>
                <w:b/>
                <w:color w:val="8BA73B"/>
                <w:sz w:val="22"/>
              </w:rPr>
            </w:pPr>
            <w:r>
              <w:rPr>
                <w:rFonts w:ascii="Arial" w:hAnsi="Arial"/>
                <w:b/>
                <w:color w:val="8BA73B"/>
                <w:sz w:val="22"/>
              </w:rPr>
              <w:t>C</w:t>
            </w:r>
          </w:p>
        </w:tc>
        <w:tc>
          <w:tcPr>
            <w:tcW w:w="500"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jc w:val="center"/>
              <w:rPr>
                <w:rFonts w:ascii="Arial" w:hAnsi="Arial"/>
                <w:b/>
                <w:color w:val="1A2343"/>
                <w:sz w:val="22"/>
              </w:rPr>
            </w:pPr>
            <w:r>
              <w:rPr>
                <w:rFonts w:ascii="Arial" w:hAnsi="Arial"/>
                <w:b/>
                <w:color w:val="1A2343"/>
                <w:sz w:val="22"/>
              </w:rPr>
              <w:t>M</w:t>
            </w:r>
          </w:p>
        </w:tc>
        <w:tc>
          <w:tcPr>
            <w:tcW w:w="455"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rPr>
                <w:sz w:val="4"/>
                <w:szCs w:val="4"/>
              </w:rPr>
            </w:pPr>
            <w:r>
              <w:rPr>
                <w:sz w:val="4"/>
                <w:szCs w:val="4"/>
              </w:rPr>
            </w:r>
          </w:p>
        </w:tc>
        <w:tc>
          <w:tcPr>
            <w:tcW w:w="501" w:type="dxa"/>
            <w:tcBorders>
              <w:left w:val="single" w:sz="8" w:space="0" w:color="5B5975"/>
              <w:bottom w:val="single" w:sz="8" w:space="0" w:color="5B5975"/>
              <w:right w:val="single" w:sz="8" w:space="0" w:color="5B5975"/>
            </w:tcBorders>
            <w:shd w:fill="auto" w:val="clear"/>
            <w:tcMar>
              <w:left w:w="80" w:type="dxa"/>
              <w:bottom w:w="40" w:type="dxa"/>
              <w:right w:w="80" w:type="dxa"/>
            </w:tcMar>
            <w:vAlign w:val="center"/>
          </w:tcPr>
          <w:p>
            <w:pPr>
              <w:pStyle w:val="TableContents"/>
              <w:spacing w:before="0" w:after="283"/>
              <w:rPr>
                <w:sz w:val="4"/>
                <w:szCs w:val="4"/>
              </w:rPr>
            </w:pPr>
            <w:r>
              <w:rPr>
                <w:sz w:val="4"/>
                <w:szCs w:val="4"/>
              </w:rPr>
            </w:r>
          </w:p>
        </w:tc>
      </w:tr>
      <w:tr>
        <w:trPr/>
        <w:tc>
          <w:tcPr>
            <w:tcW w:w="735" w:type="dxa"/>
            <w:tcBorders>
              <w:bottom w:val="single" w:sz="8" w:space="0" w:color="5B5975"/>
            </w:tcBorders>
            <w:shd w:fill="auto" w:val="clear"/>
            <w:tcMar>
              <w:bottom w:w="40" w:type="dxa"/>
            </w:tcMar>
            <w:vAlign w:val="center"/>
          </w:tcPr>
          <w:p>
            <w:pPr>
              <w:pStyle w:val="TableContents"/>
              <w:spacing w:before="0" w:after="283"/>
              <w:jc w:val="left"/>
              <w:rPr/>
            </w:pPr>
            <w:r>
              <w:rPr/>
              <w:drawing>
                <wp:inline distT="0" distB="0" distL="0" distR="0">
                  <wp:extent cx="447675" cy="561975"/>
                  <wp:effectExtent l="0" t="0" r="0" b="0"/>
                  <wp:docPr id="10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2" descr=""/>
                          <pic:cNvPicPr>
                            <a:picLocks noChangeAspect="1" noChangeArrowheads="1"/>
                          </pic:cNvPicPr>
                        </pic:nvPicPr>
                        <pic:blipFill>
                          <a:blip r:embed="rId83"/>
                          <a:srcRect l="-2250" t="-1793" r="-2250" b="-1793"/>
                          <a:stretch>
                            <a:fillRect/>
                          </a:stretch>
                        </pic:blipFill>
                        <pic:spPr bwMode="auto">
                          <a:xfrm>
                            <a:off x="0" y="0"/>
                            <a:ext cx="447675" cy="561975"/>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790" w:type="dxa"/>
            <w:tcBorders>
              <w:bottom w:val="single" w:sz="8" w:space="0" w:color="5B5975"/>
            </w:tcBorders>
            <w:shd w:fill="auto" w:val="clear"/>
            <w:tcMar>
              <w:bottom w:w="40" w:type="dxa"/>
            </w:tcMar>
            <w:vAlign w:val="center"/>
          </w:tcPr>
          <w:p>
            <w:pPr>
              <w:pStyle w:val="TableContents"/>
              <w:spacing w:before="0" w:after="283"/>
              <w:jc w:val="left"/>
              <w:rPr>
                <w:rFonts w:ascii="Arial" w:hAnsi="Arial"/>
                <w:b/>
                <w:strike w:val="false"/>
                <w:dstrike w:val="false"/>
                <w:color w:val="1A2343"/>
                <w:sz w:val="20"/>
                <w:u w:val="none"/>
                <w:effect w:val="none"/>
              </w:rPr>
            </w:pPr>
            <w:r>
              <w:rPr>
                <w:rFonts w:ascii="Arial" w:hAnsi="Arial"/>
                <w:b/>
                <w:strike w:val="false"/>
                <w:dstrike w:val="false"/>
                <w:color w:val="1A2343"/>
                <w:sz w:val="20"/>
                <w:u w:val="none"/>
                <w:effect w:val="none"/>
              </w:rPr>
              <w:t>Lauren B. Dillard</w:t>
            </w:r>
          </w:p>
        </w:tc>
        <w:tc>
          <w:tcPr>
            <w:tcW w:w="30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2552"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47</w:t>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bottom w:val="single" w:sz="8" w:space="0" w:color="5B5975"/>
            </w:tcBorders>
            <w:shd w:fill="auto" w:val="clear"/>
            <w:tcMar>
              <w:bottom w:w="40" w:type="dxa"/>
            </w:tcMar>
            <w:vAlign w:val="center"/>
          </w:tcPr>
          <w:p>
            <w:pPr>
              <w:pStyle w:val="TableContents"/>
              <w:spacing w:before="0" w:after="283"/>
              <w:jc w:val="center"/>
              <w:rPr/>
            </w:pPr>
            <w:r>
              <w:rPr/>
              <w:drawing>
                <wp:inline distT="0" distB="0" distL="0" distR="0">
                  <wp:extent cx="180975" cy="142875"/>
                  <wp:effectExtent l="0" t="0" r="0" b="0"/>
                  <wp:docPr id="10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3" descr=""/>
                          <pic:cNvPicPr>
                            <a:picLocks noChangeAspect="1" noChangeArrowheads="1"/>
                          </pic:cNvPicPr>
                        </pic:nvPicPr>
                        <pic:blipFill>
                          <a:blip r:embed="rId84"/>
                          <a:srcRect l="-5566" t="-7052" r="-5566" b="-7052"/>
                          <a:stretch>
                            <a:fillRect/>
                          </a:stretch>
                        </pic:blipFill>
                        <pic:spPr bwMode="auto">
                          <a:xfrm>
                            <a:off x="0" y="0"/>
                            <a:ext cx="180975" cy="142875"/>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047" w:type="dxa"/>
            <w:tcBorders>
              <w:bottom w:val="single" w:sz="8"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2016</w:t>
            </w:r>
          </w:p>
        </w:tc>
        <w:tc>
          <w:tcPr>
            <w:tcW w:w="120" w:type="dxa"/>
            <w:tcBorders/>
            <w:shd w:fill="auto" w:val="clear"/>
            <w:vAlign w:val="center"/>
          </w:tcPr>
          <w:p>
            <w:pPr>
              <w:pStyle w:val="TableContents"/>
              <w:spacing w:before="0" w:after="283"/>
              <w:rPr>
                <w:sz w:val="4"/>
                <w:szCs w:val="4"/>
              </w:rPr>
            </w:pPr>
            <w:r>
              <w:rPr>
                <w:sz w:val="4"/>
                <w:szCs w:val="4"/>
              </w:rPr>
            </w:r>
          </w:p>
        </w:tc>
        <w:tc>
          <w:tcPr>
            <w:tcW w:w="500"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jc w:val="center"/>
              <w:rPr>
                <w:rFonts w:ascii="Arial" w:hAnsi="Arial"/>
                <w:b/>
                <w:color w:val="1A2343"/>
                <w:sz w:val="22"/>
              </w:rPr>
            </w:pPr>
            <w:r>
              <w:rPr>
                <w:rFonts w:ascii="Arial" w:hAnsi="Arial"/>
                <w:b/>
                <w:color w:val="1A2343"/>
                <w:sz w:val="22"/>
              </w:rPr>
              <w:t>M</w:t>
            </w:r>
          </w:p>
        </w:tc>
        <w:tc>
          <w:tcPr>
            <w:tcW w:w="500"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jc w:val="center"/>
              <w:rPr>
                <w:rFonts w:ascii="Arial" w:hAnsi="Arial"/>
                <w:b/>
                <w:color w:val="8BA73B"/>
                <w:sz w:val="22"/>
              </w:rPr>
            </w:pPr>
            <w:r>
              <w:rPr>
                <w:rFonts w:ascii="Arial" w:hAnsi="Arial"/>
                <w:b/>
                <w:color w:val="8BA73B"/>
                <w:sz w:val="22"/>
              </w:rPr>
              <w:t>C</w:t>
            </w:r>
          </w:p>
        </w:tc>
        <w:tc>
          <w:tcPr>
            <w:tcW w:w="455"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rPr>
                <w:sz w:val="4"/>
                <w:szCs w:val="4"/>
              </w:rPr>
            </w:pPr>
            <w:r>
              <w:rPr>
                <w:sz w:val="4"/>
                <w:szCs w:val="4"/>
              </w:rPr>
            </w:r>
          </w:p>
        </w:tc>
        <w:tc>
          <w:tcPr>
            <w:tcW w:w="501" w:type="dxa"/>
            <w:tcBorders>
              <w:left w:val="single" w:sz="8" w:space="0" w:color="5B5975"/>
              <w:bottom w:val="single" w:sz="8" w:space="0" w:color="5B5975"/>
              <w:right w:val="single" w:sz="8" w:space="0" w:color="5B5975"/>
            </w:tcBorders>
            <w:shd w:fill="auto" w:val="clear"/>
            <w:tcMar>
              <w:left w:w="80" w:type="dxa"/>
              <w:bottom w:w="40" w:type="dxa"/>
              <w:right w:w="80" w:type="dxa"/>
            </w:tcMar>
            <w:vAlign w:val="center"/>
          </w:tcPr>
          <w:p>
            <w:pPr>
              <w:pStyle w:val="TableContents"/>
              <w:spacing w:before="0" w:after="283"/>
              <w:rPr>
                <w:sz w:val="4"/>
                <w:szCs w:val="4"/>
              </w:rPr>
            </w:pPr>
            <w:r>
              <w:rPr>
                <w:sz w:val="4"/>
                <w:szCs w:val="4"/>
              </w:rPr>
            </w:r>
          </w:p>
        </w:tc>
      </w:tr>
      <w:tr>
        <w:trPr/>
        <w:tc>
          <w:tcPr>
            <w:tcW w:w="735" w:type="dxa"/>
            <w:tcBorders>
              <w:bottom w:val="single" w:sz="8" w:space="0" w:color="5B5975"/>
            </w:tcBorders>
            <w:shd w:fill="auto" w:val="clear"/>
            <w:tcMar>
              <w:bottom w:w="40" w:type="dxa"/>
            </w:tcMar>
            <w:vAlign w:val="center"/>
          </w:tcPr>
          <w:p>
            <w:pPr>
              <w:pStyle w:val="TableContents"/>
              <w:spacing w:before="0" w:after="283"/>
              <w:jc w:val="left"/>
              <w:rPr/>
            </w:pPr>
            <w:r>
              <w:rPr/>
              <w:drawing>
                <wp:inline distT="0" distB="0" distL="0" distR="0">
                  <wp:extent cx="447675" cy="542925"/>
                  <wp:effectExtent l="0" t="0" r="0" b="0"/>
                  <wp:docPr id="10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4" descr=""/>
                          <pic:cNvPicPr>
                            <a:picLocks noChangeAspect="1" noChangeArrowheads="1"/>
                          </pic:cNvPicPr>
                        </pic:nvPicPr>
                        <pic:blipFill>
                          <a:blip r:embed="rId85"/>
                          <a:srcRect l="-2250" t="-1856" r="-2250" b="-1856"/>
                          <a:stretch>
                            <a:fillRect/>
                          </a:stretch>
                        </pic:blipFill>
                        <pic:spPr bwMode="auto">
                          <a:xfrm>
                            <a:off x="0" y="0"/>
                            <a:ext cx="447675" cy="542925"/>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790" w:type="dxa"/>
            <w:tcBorders>
              <w:bottom w:val="single" w:sz="8" w:space="0" w:color="5B5975"/>
            </w:tcBorders>
            <w:shd w:fill="auto" w:val="clear"/>
            <w:tcMar>
              <w:bottom w:w="40" w:type="dxa"/>
            </w:tcMar>
            <w:vAlign w:val="center"/>
          </w:tcPr>
          <w:p>
            <w:pPr>
              <w:pStyle w:val="TableContents"/>
              <w:spacing w:before="0" w:after="283"/>
              <w:jc w:val="left"/>
              <w:rPr>
                <w:rFonts w:ascii="Arial" w:hAnsi="Arial"/>
                <w:b/>
                <w:strike w:val="false"/>
                <w:dstrike w:val="false"/>
                <w:color w:val="1A2343"/>
                <w:sz w:val="20"/>
                <w:u w:val="none"/>
                <w:effect w:val="none"/>
              </w:rPr>
            </w:pPr>
            <w:r>
              <w:rPr>
                <w:rFonts w:ascii="Arial" w:hAnsi="Arial"/>
                <w:b/>
                <w:strike w:val="false"/>
                <w:dstrike w:val="false"/>
                <w:color w:val="1A2343"/>
                <w:sz w:val="20"/>
                <w:u w:val="none"/>
                <w:effect w:val="none"/>
              </w:rPr>
              <w:t>Stephen L. Green</w:t>
            </w:r>
          </w:p>
        </w:tc>
        <w:tc>
          <w:tcPr>
            <w:tcW w:w="30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2552"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85</w:t>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47" w:type="dxa"/>
            <w:tcBorders>
              <w:bottom w:val="single" w:sz="8"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1997</w:t>
            </w:r>
          </w:p>
        </w:tc>
        <w:tc>
          <w:tcPr>
            <w:tcW w:w="120" w:type="dxa"/>
            <w:tcBorders/>
            <w:shd w:fill="auto" w:val="clear"/>
            <w:vAlign w:val="center"/>
          </w:tcPr>
          <w:p>
            <w:pPr>
              <w:pStyle w:val="TableContents"/>
              <w:spacing w:before="0" w:after="283"/>
              <w:rPr>
                <w:sz w:val="4"/>
                <w:szCs w:val="4"/>
              </w:rPr>
            </w:pPr>
            <w:r>
              <w:rPr>
                <w:sz w:val="4"/>
                <w:szCs w:val="4"/>
              </w:rPr>
            </w:r>
          </w:p>
        </w:tc>
        <w:tc>
          <w:tcPr>
            <w:tcW w:w="500"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rPr>
                <w:sz w:val="4"/>
                <w:szCs w:val="4"/>
              </w:rPr>
            </w:pPr>
            <w:r>
              <w:rPr>
                <w:sz w:val="4"/>
                <w:szCs w:val="4"/>
              </w:rPr>
            </w:r>
          </w:p>
        </w:tc>
        <w:tc>
          <w:tcPr>
            <w:tcW w:w="500"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rPr>
                <w:sz w:val="4"/>
                <w:szCs w:val="4"/>
              </w:rPr>
            </w:pPr>
            <w:r>
              <w:rPr>
                <w:sz w:val="4"/>
                <w:szCs w:val="4"/>
              </w:rPr>
            </w:r>
          </w:p>
        </w:tc>
        <w:tc>
          <w:tcPr>
            <w:tcW w:w="455"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rPr>
                <w:sz w:val="4"/>
                <w:szCs w:val="4"/>
              </w:rPr>
            </w:pPr>
            <w:r>
              <w:rPr>
                <w:sz w:val="4"/>
                <w:szCs w:val="4"/>
              </w:rPr>
            </w:r>
          </w:p>
        </w:tc>
        <w:tc>
          <w:tcPr>
            <w:tcW w:w="501" w:type="dxa"/>
            <w:tcBorders>
              <w:left w:val="single" w:sz="8" w:space="0" w:color="5B5975"/>
              <w:bottom w:val="single" w:sz="8" w:space="0" w:color="5B5975"/>
              <w:right w:val="single" w:sz="8" w:space="0" w:color="5B5975"/>
            </w:tcBorders>
            <w:shd w:fill="auto" w:val="clear"/>
            <w:tcMar>
              <w:left w:w="80" w:type="dxa"/>
              <w:bottom w:w="40" w:type="dxa"/>
              <w:right w:w="80" w:type="dxa"/>
            </w:tcMar>
            <w:vAlign w:val="center"/>
          </w:tcPr>
          <w:p>
            <w:pPr>
              <w:pStyle w:val="TableContents"/>
              <w:spacing w:before="0" w:after="283"/>
              <w:jc w:val="center"/>
              <w:rPr>
                <w:rFonts w:ascii="Arial" w:hAnsi="Arial"/>
                <w:b/>
                <w:color w:val="1A2343"/>
                <w:sz w:val="22"/>
              </w:rPr>
            </w:pPr>
            <w:r>
              <w:rPr>
                <w:rFonts w:ascii="Arial" w:hAnsi="Arial"/>
                <w:b/>
                <w:color w:val="1A2343"/>
                <w:sz w:val="22"/>
              </w:rPr>
              <w:t>M</w:t>
            </w:r>
          </w:p>
        </w:tc>
      </w:tr>
      <w:tr>
        <w:trPr/>
        <w:tc>
          <w:tcPr>
            <w:tcW w:w="735" w:type="dxa"/>
            <w:tcBorders>
              <w:bottom w:val="single" w:sz="8" w:space="0" w:color="5B5975"/>
            </w:tcBorders>
            <w:shd w:fill="auto" w:val="clear"/>
            <w:tcMar>
              <w:bottom w:w="40" w:type="dxa"/>
            </w:tcMar>
            <w:vAlign w:val="center"/>
          </w:tcPr>
          <w:p>
            <w:pPr>
              <w:pStyle w:val="TableContents"/>
              <w:spacing w:before="0" w:after="283"/>
              <w:jc w:val="left"/>
              <w:rPr/>
            </w:pPr>
            <w:r>
              <w:rPr/>
              <w:drawing>
                <wp:inline distT="0" distB="0" distL="0" distR="0">
                  <wp:extent cx="447675" cy="552450"/>
                  <wp:effectExtent l="0" t="0" r="0" b="0"/>
                  <wp:docPr id="10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5" descr=""/>
                          <pic:cNvPicPr>
                            <a:picLocks noChangeAspect="1" noChangeArrowheads="1"/>
                          </pic:cNvPicPr>
                        </pic:nvPicPr>
                        <pic:blipFill>
                          <a:blip r:embed="rId86"/>
                          <a:srcRect l="-2250" t="-1824" r="-2250" b="-1824"/>
                          <a:stretch>
                            <a:fillRect/>
                          </a:stretch>
                        </pic:blipFill>
                        <pic:spPr bwMode="auto">
                          <a:xfrm>
                            <a:off x="0" y="0"/>
                            <a:ext cx="447675" cy="552450"/>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790" w:type="dxa"/>
            <w:tcBorders>
              <w:bottom w:val="single" w:sz="8" w:space="0" w:color="5B5975"/>
            </w:tcBorders>
            <w:shd w:fill="auto" w:val="clear"/>
            <w:tcMar>
              <w:bottom w:w="40" w:type="dxa"/>
            </w:tcMar>
            <w:vAlign w:val="center"/>
          </w:tcPr>
          <w:p>
            <w:pPr>
              <w:pStyle w:val="TableContents"/>
              <w:spacing w:before="0" w:after="283"/>
              <w:jc w:val="left"/>
              <w:rPr>
                <w:rFonts w:ascii="Arial" w:hAnsi="Arial"/>
                <w:b/>
                <w:strike w:val="false"/>
                <w:dstrike w:val="false"/>
                <w:color w:val="1A2343"/>
                <w:sz w:val="20"/>
                <w:u w:val="none"/>
                <w:effect w:val="none"/>
              </w:rPr>
            </w:pPr>
            <w:r>
              <w:rPr>
                <w:rFonts w:ascii="Arial" w:hAnsi="Arial"/>
                <w:b/>
                <w:strike w:val="false"/>
                <w:dstrike w:val="false"/>
                <w:color w:val="1A2343"/>
                <w:sz w:val="20"/>
                <w:u w:val="none"/>
                <w:effect w:val="none"/>
              </w:rPr>
              <w:t>Craig M. Hatkoff</w:t>
            </w:r>
          </w:p>
        </w:tc>
        <w:tc>
          <w:tcPr>
            <w:tcW w:w="30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2552" w:type="dxa"/>
            <w:tcBorders>
              <w:bottom w:val="single" w:sz="8" w:space="0" w:color="5B5975"/>
            </w:tcBorders>
            <w:shd w:fill="auto" w:val="clear"/>
            <w:tcMar>
              <w:bottom w:w="40" w:type="dxa"/>
            </w:tcMar>
            <w:vAlign w:val="center"/>
          </w:tcPr>
          <w:p>
            <w:pPr>
              <w:pStyle w:val="TableContents"/>
              <w:spacing w:before="0" w:after="0"/>
              <w:ind w:left="0" w:right="0" w:hanging="260"/>
              <w:jc w:val="left"/>
              <w:rPr/>
            </w:pPr>
            <w:r>
              <w:rPr/>
              <w:t>●</w:t>
            </w:r>
            <w:r>
              <w:rPr>
                <w:rFonts w:ascii="Arial" w:hAnsi="Arial"/>
                <w:sz w:val="15"/>
              </w:rPr>
              <w:t>Jaguar Global Growth Corporation I</w:t>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69</w:t>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bottom w:val="single" w:sz="8" w:space="0" w:color="5B5975"/>
            </w:tcBorders>
            <w:shd w:fill="auto" w:val="clear"/>
            <w:tcMar>
              <w:bottom w:w="40" w:type="dxa"/>
            </w:tcMar>
            <w:vAlign w:val="center"/>
          </w:tcPr>
          <w:p>
            <w:pPr>
              <w:pStyle w:val="TableContents"/>
              <w:spacing w:before="0" w:after="283"/>
              <w:jc w:val="center"/>
              <w:rPr/>
            </w:pPr>
            <w:r>
              <w:rPr/>
              <w:drawing>
                <wp:inline distT="0" distB="0" distL="0" distR="0">
                  <wp:extent cx="180975" cy="142875"/>
                  <wp:effectExtent l="0" t="0" r="0" b="0"/>
                  <wp:docPr id="10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6" descr=""/>
                          <pic:cNvPicPr>
                            <a:picLocks noChangeAspect="1" noChangeArrowheads="1"/>
                          </pic:cNvPicPr>
                        </pic:nvPicPr>
                        <pic:blipFill>
                          <a:blip r:embed="rId87"/>
                          <a:srcRect l="-5566" t="-7052" r="-5566" b="-7052"/>
                          <a:stretch>
                            <a:fillRect/>
                          </a:stretch>
                        </pic:blipFill>
                        <pic:spPr bwMode="auto">
                          <a:xfrm>
                            <a:off x="0" y="0"/>
                            <a:ext cx="180975" cy="142875"/>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047" w:type="dxa"/>
            <w:tcBorders>
              <w:bottom w:val="single" w:sz="8"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2011</w:t>
            </w:r>
          </w:p>
        </w:tc>
        <w:tc>
          <w:tcPr>
            <w:tcW w:w="120" w:type="dxa"/>
            <w:tcBorders/>
            <w:shd w:fill="auto" w:val="clear"/>
            <w:vAlign w:val="center"/>
          </w:tcPr>
          <w:p>
            <w:pPr>
              <w:pStyle w:val="TableContents"/>
              <w:spacing w:before="0" w:after="283"/>
              <w:rPr>
                <w:sz w:val="4"/>
                <w:szCs w:val="4"/>
              </w:rPr>
            </w:pPr>
            <w:r>
              <w:rPr>
                <w:sz w:val="4"/>
                <w:szCs w:val="4"/>
              </w:rPr>
            </w:r>
          </w:p>
        </w:tc>
        <w:tc>
          <w:tcPr>
            <w:tcW w:w="500"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jc w:val="center"/>
              <w:rPr>
                <w:rFonts w:ascii="Arial" w:hAnsi="Arial"/>
                <w:b/>
                <w:color w:val="1A2343"/>
                <w:sz w:val="22"/>
              </w:rPr>
            </w:pPr>
            <w:r>
              <w:rPr>
                <w:rFonts w:ascii="Arial" w:hAnsi="Arial"/>
                <w:b/>
                <w:color w:val="1A2343"/>
                <w:sz w:val="22"/>
              </w:rPr>
              <w:t>M</w:t>
            </w:r>
          </w:p>
        </w:tc>
        <w:tc>
          <w:tcPr>
            <w:tcW w:w="500"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rPr>
                <w:sz w:val="4"/>
                <w:szCs w:val="4"/>
              </w:rPr>
            </w:pPr>
            <w:r>
              <w:rPr>
                <w:sz w:val="4"/>
                <w:szCs w:val="4"/>
              </w:rPr>
            </w:r>
          </w:p>
        </w:tc>
        <w:tc>
          <w:tcPr>
            <w:tcW w:w="455"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jc w:val="center"/>
              <w:rPr>
                <w:rFonts w:ascii="Arial" w:hAnsi="Arial"/>
                <w:b/>
                <w:color w:val="8BA73B"/>
                <w:sz w:val="22"/>
              </w:rPr>
            </w:pPr>
            <w:r>
              <w:rPr>
                <w:rFonts w:ascii="Arial" w:hAnsi="Arial"/>
                <w:b/>
                <w:color w:val="8BA73B"/>
                <w:sz w:val="22"/>
              </w:rPr>
              <w:t>C</w:t>
            </w:r>
          </w:p>
        </w:tc>
        <w:tc>
          <w:tcPr>
            <w:tcW w:w="501" w:type="dxa"/>
            <w:tcBorders>
              <w:left w:val="single" w:sz="8" w:space="0" w:color="5B5975"/>
              <w:bottom w:val="single" w:sz="8" w:space="0" w:color="5B5975"/>
              <w:right w:val="single" w:sz="8" w:space="0" w:color="5B5975"/>
            </w:tcBorders>
            <w:shd w:fill="auto" w:val="clear"/>
            <w:tcMar>
              <w:left w:w="80" w:type="dxa"/>
              <w:bottom w:w="40" w:type="dxa"/>
              <w:right w:w="80" w:type="dxa"/>
            </w:tcMar>
            <w:vAlign w:val="center"/>
          </w:tcPr>
          <w:p>
            <w:pPr>
              <w:pStyle w:val="TableContents"/>
              <w:spacing w:before="0" w:after="283"/>
              <w:rPr>
                <w:sz w:val="4"/>
                <w:szCs w:val="4"/>
              </w:rPr>
            </w:pPr>
            <w:r>
              <w:rPr>
                <w:sz w:val="4"/>
                <w:szCs w:val="4"/>
              </w:rPr>
            </w:r>
          </w:p>
        </w:tc>
      </w:tr>
      <w:tr>
        <w:trPr/>
        <w:tc>
          <w:tcPr>
            <w:tcW w:w="735" w:type="dxa"/>
            <w:tcBorders>
              <w:bottom w:val="single" w:sz="8" w:space="0" w:color="5B5975"/>
            </w:tcBorders>
            <w:shd w:fill="auto" w:val="clear"/>
            <w:tcMar>
              <w:bottom w:w="40" w:type="dxa"/>
            </w:tcMar>
            <w:vAlign w:val="center"/>
          </w:tcPr>
          <w:p>
            <w:pPr>
              <w:pStyle w:val="TableContents"/>
              <w:spacing w:before="0" w:after="283"/>
              <w:jc w:val="left"/>
              <w:rPr/>
            </w:pPr>
            <w:r>
              <w:rPr/>
              <w:drawing>
                <wp:inline distT="0" distB="0" distL="0" distR="0">
                  <wp:extent cx="447675" cy="561975"/>
                  <wp:effectExtent l="0" t="0" r="0" b="0"/>
                  <wp:docPr id="10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7" descr=""/>
                          <pic:cNvPicPr>
                            <a:picLocks noChangeAspect="1" noChangeArrowheads="1"/>
                          </pic:cNvPicPr>
                        </pic:nvPicPr>
                        <pic:blipFill>
                          <a:blip r:embed="rId88"/>
                          <a:srcRect l="-2250" t="-1793" r="-2250" b="-1793"/>
                          <a:stretch>
                            <a:fillRect/>
                          </a:stretch>
                        </pic:blipFill>
                        <pic:spPr bwMode="auto">
                          <a:xfrm>
                            <a:off x="0" y="0"/>
                            <a:ext cx="447675" cy="561975"/>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790" w:type="dxa"/>
            <w:tcBorders>
              <w:bottom w:val="single" w:sz="8" w:space="0" w:color="5B5975"/>
            </w:tcBorders>
            <w:shd w:fill="auto" w:val="clear"/>
            <w:tcMar>
              <w:bottom w:w="40" w:type="dxa"/>
            </w:tcMar>
            <w:vAlign w:val="center"/>
          </w:tcPr>
          <w:p>
            <w:pPr>
              <w:pStyle w:val="TableContents"/>
              <w:spacing w:before="0" w:after="283"/>
              <w:jc w:val="left"/>
              <w:rPr>
                <w:rFonts w:ascii="Arial" w:hAnsi="Arial"/>
                <w:b/>
                <w:strike w:val="false"/>
                <w:dstrike w:val="false"/>
                <w:color w:val="1A2343"/>
                <w:sz w:val="20"/>
                <w:u w:val="none"/>
                <w:effect w:val="none"/>
              </w:rPr>
            </w:pPr>
            <w:r>
              <w:rPr>
                <w:rFonts w:ascii="Arial" w:hAnsi="Arial"/>
                <w:b/>
                <w:strike w:val="false"/>
                <w:dstrike w:val="false"/>
                <w:color w:val="1A2343"/>
                <w:sz w:val="20"/>
                <w:u w:val="none"/>
                <w:effect w:val="none"/>
              </w:rPr>
              <w:t>Marc Holliday</w:t>
            </w:r>
          </w:p>
        </w:tc>
        <w:tc>
          <w:tcPr>
            <w:tcW w:w="30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2552"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56</w:t>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47" w:type="dxa"/>
            <w:tcBorders>
              <w:bottom w:val="single" w:sz="8"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2001</w:t>
            </w:r>
          </w:p>
        </w:tc>
        <w:tc>
          <w:tcPr>
            <w:tcW w:w="120" w:type="dxa"/>
            <w:tcBorders/>
            <w:shd w:fill="auto" w:val="clear"/>
            <w:vAlign w:val="center"/>
          </w:tcPr>
          <w:p>
            <w:pPr>
              <w:pStyle w:val="TableContents"/>
              <w:spacing w:before="0" w:after="283"/>
              <w:rPr>
                <w:sz w:val="4"/>
                <w:szCs w:val="4"/>
              </w:rPr>
            </w:pPr>
            <w:r>
              <w:rPr>
                <w:sz w:val="4"/>
                <w:szCs w:val="4"/>
              </w:rPr>
            </w:r>
          </w:p>
        </w:tc>
        <w:tc>
          <w:tcPr>
            <w:tcW w:w="500"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rPr>
                <w:sz w:val="4"/>
                <w:szCs w:val="4"/>
              </w:rPr>
            </w:pPr>
            <w:r>
              <w:rPr>
                <w:sz w:val="4"/>
                <w:szCs w:val="4"/>
              </w:rPr>
            </w:r>
          </w:p>
        </w:tc>
        <w:tc>
          <w:tcPr>
            <w:tcW w:w="500"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rPr>
                <w:sz w:val="4"/>
                <w:szCs w:val="4"/>
              </w:rPr>
            </w:pPr>
            <w:r>
              <w:rPr>
                <w:sz w:val="4"/>
                <w:szCs w:val="4"/>
              </w:rPr>
            </w:r>
          </w:p>
        </w:tc>
        <w:tc>
          <w:tcPr>
            <w:tcW w:w="455" w:type="dxa"/>
            <w:tcBorders>
              <w:left w:val="single" w:sz="8" w:space="0" w:color="5B5975"/>
              <w:bottom w:val="single" w:sz="8" w:space="0" w:color="5B5975"/>
            </w:tcBorders>
            <w:shd w:fill="auto" w:val="clear"/>
            <w:tcMar>
              <w:left w:w="80" w:type="dxa"/>
              <w:bottom w:w="40" w:type="dxa"/>
            </w:tcMar>
            <w:vAlign w:val="center"/>
          </w:tcPr>
          <w:p>
            <w:pPr>
              <w:pStyle w:val="TableContents"/>
              <w:spacing w:before="0" w:after="283"/>
              <w:rPr>
                <w:sz w:val="4"/>
                <w:szCs w:val="4"/>
              </w:rPr>
            </w:pPr>
            <w:r>
              <w:rPr>
                <w:sz w:val="4"/>
                <w:szCs w:val="4"/>
              </w:rPr>
            </w:r>
          </w:p>
        </w:tc>
        <w:tc>
          <w:tcPr>
            <w:tcW w:w="501" w:type="dxa"/>
            <w:tcBorders>
              <w:left w:val="single" w:sz="8" w:space="0" w:color="5B5975"/>
              <w:bottom w:val="single" w:sz="8" w:space="0" w:color="5B5975"/>
              <w:right w:val="single" w:sz="8" w:space="0" w:color="5B5975"/>
            </w:tcBorders>
            <w:shd w:fill="auto" w:val="clear"/>
            <w:tcMar>
              <w:left w:w="80" w:type="dxa"/>
              <w:bottom w:w="40" w:type="dxa"/>
              <w:right w:w="80" w:type="dxa"/>
            </w:tcMar>
            <w:vAlign w:val="center"/>
          </w:tcPr>
          <w:p>
            <w:pPr>
              <w:pStyle w:val="TableContents"/>
              <w:spacing w:before="0" w:after="283"/>
              <w:jc w:val="center"/>
              <w:rPr>
                <w:rFonts w:ascii="Arial" w:hAnsi="Arial"/>
                <w:b/>
                <w:color w:val="8BA73B"/>
                <w:sz w:val="22"/>
              </w:rPr>
            </w:pPr>
            <w:r>
              <w:rPr>
                <w:rFonts w:ascii="Arial" w:hAnsi="Arial"/>
                <w:b/>
                <w:color w:val="8BA73B"/>
                <w:sz w:val="22"/>
              </w:rPr>
              <w:t>C</w:t>
            </w:r>
          </w:p>
        </w:tc>
      </w:tr>
      <w:tr>
        <w:trPr/>
        <w:tc>
          <w:tcPr>
            <w:tcW w:w="735" w:type="dxa"/>
            <w:tcBorders>
              <w:bottom w:val="single" w:sz="12" w:space="0" w:color="5B5975"/>
            </w:tcBorders>
            <w:shd w:fill="auto" w:val="clear"/>
            <w:tcMar>
              <w:bottom w:w="40" w:type="dxa"/>
            </w:tcMar>
            <w:vAlign w:val="center"/>
          </w:tcPr>
          <w:p>
            <w:pPr>
              <w:pStyle w:val="TableContents"/>
              <w:spacing w:before="0" w:after="283"/>
              <w:jc w:val="left"/>
              <w:rPr/>
            </w:pPr>
            <w:r>
              <w:rPr/>
              <w:drawing>
                <wp:inline distT="0" distB="0" distL="0" distR="0">
                  <wp:extent cx="447675" cy="552450"/>
                  <wp:effectExtent l="0" t="0" r="0" b="0"/>
                  <wp:docPr id="11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8" descr=""/>
                          <pic:cNvPicPr>
                            <a:picLocks noChangeAspect="1" noChangeArrowheads="1"/>
                          </pic:cNvPicPr>
                        </pic:nvPicPr>
                        <pic:blipFill>
                          <a:blip r:embed="rId89"/>
                          <a:srcRect l="-2250" t="-1824" r="-2250" b="-1824"/>
                          <a:stretch>
                            <a:fillRect/>
                          </a:stretch>
                        </pic:blipFill>
                        <pic:spPr bwMode="auto">
                          <a:xfrm>
                            <a:off x="0" y="0"/>
                            <a:ext cx="447675" cy="552450"/>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790" w:type="dxa"/>
            <w:tcBorders>
              <w:bottom w:val="single" w:sz="12" w:space="0" w:color="5B5975"/>
            </w:tcBorders>
            <w:shd w:fill="auto" w:val="clear"/>
            <w:tcMar>
              <w:bottom w:w="40" w:type="dxa"/>
            </w:tcMar>
            <w:vAlign w:val="center"/>
          </w:tcPr>
          <w:p>
            <w:pPr>
              <w:pStyle w:val="TableContents"/>
              <w:spacing w:before="0" w:after="283"/>
              <w:jc w:val="left"/>
              <w:rPr>
                <w:rFonts w:ascii="Arial" w:hAnsi="Arial"/>
                <w:b/>
                <w:strike w:val="false"/>
                <w:dstrike w:val="false"/>
                <w:color w:val="1A2343"/>
                <w:sz w:val="20"/>
                <w:u w:val="none"/>
                <w:effect w:val="none"/>
              </w:rPr>
            </w:pPr>
            <w:r>
              <w:rPr>
                <w:rFonts w:ascii="Arial" w:hAnsi="Arial"/>
                <w:b/>
                <w:strike w:val="false"/>
                <w:dstrike w:val="false"/>
                <w:color w:val="1A2343"/>
                <w:sz w:val="20"/>
                <w:u w:val="none"/>
                <w:effect w:val="none"/>
              </w:rPr>
              <w:t>Andrew W. Mathias</w:t>
            </w:r>
          </w:p>
        </w:tc>
        <w:tc>
          <w:tcPr>
            <w:tcW w:w="300" w:type="dxa"/>
            <w:tcBorders>
              <w:bottom w:val="single" w:sz="12"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2552" w:type="dxa"/>
            <w:tcBorders>
              <w:bottom w:val="single" w:sz="12"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bottom w:val="single" w:sz="12"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49</w:t>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bottom w:val="single" w:sz="12"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47" w:type="dxa"/>
            <w:tcBorders>
              <w:bottom w:val="single" w:sz="12" w:space="0" w:color="5B5975"/>
            </w:tcBorders>
            <w:shd w:fill="auto" w:val="clear"/>
            <w:tcMar>
              <w:bottom w:w="40" w:type="dxa"/>
            </w:tcMar>
            <w:vAlign w:val="center"/>
          </w:tcPr>
          <w:p>
            <w:pPr>
              <w:pStyle w:val="TableContents"/>
              <w:spacing w:before="0" w:after="283"/>
              <w:jc w:val="center"/>
              <w:rPr>
                <w:rFonts w:ascii="Arial" w:hAnsi="Arial"/>
                <w:sz w:val="20"/>
              </w:rPr>
            </w:pPr>
            <w:r>
              <w:rPr>
                <w:rFonts w:ascii="Arial" w:hAnsi="Arial"/>
                <w:sz w:val="20"/>
              </w:rPr>
              <w:t>2014</w:t>
            </w:r>
          </w:p>
        </w:tc>
        <w:tc>
          <w:tcPr>
            <w:tcW w:w="120" w:type="dxa"/>
            <w:tcBorders/>
            <w:shd w:fill="auto" w:val="clear"/>
            <w:vAlign w:val="center"/>
          </w:tcPr>
          <w:p>
            <w:pPr>
              <w:pStyle w:val="TableContents"/>
              <w:spacing w:before="0" w:after="283"/>
              <w:rPr>
                <w:sz w:val="4"/>
                <w:szCs w:val="4"/>
              </w:rPr>
            </w:pPr>
            <w:r>
              <w:rPr>
                <w:sz w:val="4"/>
                <w:szCs w:val="4"/>
              </w:rPr>
            </w:r>
          </w:p>
        </w:tc>
        <w:tc>
          <w:tcPr>
            <w:tcW w:w="500" w:type="dxa"/>
            <w:tcBorders>
              <w:left w:val="single" w:sz="8" w:space="0" w:color="5B5975"/>
              <w:bottom w:val="single" w:sz="12" w:space="0" w:color="5B5975"/>
            </w:tcBorders>
            <w:shd w:fill="auto" w:val="clear"/>
            <w:tcMar>
              <w:left w:w="80" w:type="dxa"/>
              <w:bottom w:w="40" w:type="dxa"/>
            </w:tcMar>
            <w:vAlign w:val="center"/>
          </w:tcPr>
          <w:p>
            <w:pPr>
              <w:pStyle w:val="TableContents"/>
              <w:spacing w:before="0" w:after="283"/>
              <w:rPr>
                <w:sz w:val="4"/>
                <w:szCs w:val="4"/>
              </w:rPr>
            </w:pPr>
            <w:r>
              <w:rPr>
                <w:sz w:val="4"/>
                <w:szCs w:val="4"/>
              </w:rPr>
            </w:r>
          </w:p>
        </w:tc>
        <w:tc>
          <w:tcPr>
            <w:tcW w:w="500" w:type="dxa"/>
            <w:tcBorders>
              <w:left w:val="single" w:sz="8" w:space="0" w:color="5B5975"/>
              <w:bottom w:val="single" w:sz="12" w:space="0" w:color="5B5975"/>
            </w:tcBorders>
            <w:shd w:fill="auto" w:val="clear"/>
            <w:tcMar>
              <w:left w:w="80" w:type="dxa"/>
              <w:bottom w:w="40" w:type="dxa"/>
            </w:tcMar>
            <w:vAlign w:val="center"/>
          </w:tcPr>
          <w:p>
            <w:pPr>
              <w:pStyle w:val="TableContents"/>
              <w:spacing w:before="0" w:after="283"/>
              <w:rPr>
                <w:sz w:val="4"/>
                <w:szCs w:val="4"/>
              </w:rPr>
            </w:pPr>
            <w:r>
              <w:rPr>
                <w:sz w:val="4"/>
                <w:szCs w:val="4"/>
              </w:rPr>
            </w:r>
          </w:p>
        </w:tc>
        <w:tc>
          <w:tcPr>
            <w:tcW w:w="455" w:type="dxa"/>
            <w:tcBorders>
              <w:left w:val="single" w:sz="8" w:space="0" w:color="5B5975"/>
              <w:bottom w:val="single" w:sz="12" w:space="0" w:color="5B5975"/>
            </w:tcBorders>
            <w:shd w:fill="auto" w:val="clear"/>
            <w:tcMar>
              <w:left w:w="80" w:type="dxa"/>
              <w:bottom w:w="40" w:type="dxa"/>
            </w:tcMar>
            <w:vAlign w:val="center"/>
          </w:tcPr>
          <w:p>
            <w:pPr>
              <w:pStyle w:val="TableContents"/>
              <w:spacing w:before="0" w:after="283"/>
              <w:rPr>
                <w:sz w:val="4"/>
                <w:szCs w:val="4"/>
              </w:rPr>
            </w:pPr>
            <w:r>
              <w:rPr>
                <w:sz w:val="4"/>
                <w:szCs w:val="4"/>
              </w:rPr>
            </w:r>
          </w:p>
        </w:tc>
        <w:tc>
          <w:tcPr>
            <w:tcW w:w="501" w:type="dxa"/>
            <w:tcBorders>
              <w:left w:val="single" w:sz="8" w:space="0" w:color="5B5975"/>
              <w:bottom w:val="single" w:sz="12" w:space="0" w:color="5B5975"/>
              <w:right w:val="single" w:sz="8" w:space="0" w:color="5B5975"/>
            </w:tcBorders>
            <w:shd w:fill="auto" w:val="clear"/>
            <w:tcMar>
              <w:left w:w="80" w:type="dxa"/>
              <w:bottom w:w="40" w:type="dxa"/>
              <w:right w:w="80" w:type="dxa"/>
            </w:tcMar>
            <w:vAlign w:val="center"/>
          </w:tcPr>
          <w:p>
            <w:pPr>
              <w:pStyle w:val="TableContents"/>
              <w:spacing w:before="0" w:after="283"/>
              <w:jc w:val="center"/>
              <w:rPr>
                <w:rFonts w:ascii="Arial" w:hAnsi="Arial"/>
                <w:b/>
                <w:color w:val="1A2343"/>
                <w:sz w:val="22"/>
              </w:rPr>
            </w:pPr>
            <w:r>
              <w:rPr>
                <w:rFonts w:ascii="Arial" w:hAnsi="Arial"/>
                <w:b/>
                <w:color w:val="1A2343"/>
                <w:sz w:val="22"/>
              </w:rPr>
              <w:t>M</w:t>
            </w:r>
            <w:r>
              <w:rPr>
                <w:rFonts w:ascii="Arial" w:hAnsi="Arial"/>
                <w:b/>
                <w:color w:val="1A2343"/>
                <w:position w:val="7"/>
                <w:sz w:val="18"/>
                <w:sz w:val="22"/>
              </w:rPr>
              <w:t>(2)</w:t>
            </w:r>
          </w:p>
        </w:tc>
      </w:tr>
    </w:tbl>
    <w:p>
      <w:pPr>
        <w:pStyle w:val="TextBody"/>
        <w:spacing w:before="0" w:after="0"/>
        <w:rPr/>
      </w:pPr>
      <w:r>
        <w:rPr/>
      </w:r>
    </w:p>
    <w:tbl>
      <w:tblPr>
        <w:tblW w:w="9090" w:type="dxa"/>
        <w:jc w:val="left"/>
        <w:tblInd w:w="0" w:type="dxa"/>
        <w:tblCellMar>
          <w:top w:w="0" w:type="dxa"/>
          <w:left w:w="0" w:type="dxa"/>
          <w:bottom w:w="0" w:type="dxa"/>
          <w:right w:w="0" w:type="dxa"/>
        </w:tblCellMar>
      </w:tblPr>
      <w:tblGrid>
        <w:gridCol w:w="1130"/>
        <w:gridCol w:w="2780"/>
        <w:gridCol w:w="5180"/>
      </w:tblGrid>
      <w:tr>
        <w:trPr/>
        <w:tc>
          <w:tcPr>
            <w:tcW w:w="1130" w:type="dxa"/>
            <w:tcBorders/>
            <w:shd w:fill="auto" w:val="clear"/>
            <w:vAlign w:val="center"/>
          </w:tcPr>
          <w:p>
            <w:pPr>
              <w:pStyle w:val="TableContents"/>
              <w:spacing w:before="0" w:after="283"/>
              <w:jc w:val="left"/>
              <w:rPr/>
            </w:pPr>
            <w:r>
              <w:rPr>
                <w:rFonts w:ascii="Arial" w:hAnsi="Arial"/>
                <w:b/>
                <w:color w:val="8BA73B"/>
                <w:sz w:val="20"/>
              </w:rPr>
              <w:t>C</w:t>
            </w:r>
            <w:r>
              <w:rPr>
                <w:rFonts w:ascii="Arial" w:hAnsi="Arial"/>
                <w:color w:val="8BA73B"/>
                <w:sz w:val="20"/>
              </w:rPr>
              <w:t xml:space="preserve"> </w:t>
            </w:r>
            <w:r>
              <w:rPr>
                <w:rFonts w:ascii="Arial" w:hAnsi="Arial"/>
                <w:sz w:val="20"/>
              </w:rPr>
              <w:t>= Chair</w:t>
            </w:r>
          </w:p>
        </w:tc>
        <w:tc>
          <w:tcPr>
            <w:tcW w:w="2780" w:type="dxa"/>
            <w:tcBorders/>
            <w:shd w:fill="auto" w:val="clear"/>
            <w:vAlign w:val="center"/>
          </w:tcPr>
          <w:p>
            <w:pPr>
              <w:pStyle w:val="TableContents"/>
              <w:spacing w:before="0" w:after="283"/>
              <w:jc w:val="left"/>
              <w:rPr>
                <w:strike w:val="false"/>
                <w:dstrike w:val="false"/>
                <w:u w:val="none"/>
                <w:effect w:val="none"/>
              </w:rPr>
            </w:pPr>
            <w:r>
              <w:rPr>
                <w:rFonts w:ascii="Arial" w:hAnsi="Arial"/>
                <w:b/>
                <w:strike w:val="false"/>
                <w:dstrike w:val="false"/>
                <w:color w:val="1A2343"/>
                <w:sz w:val="20"/>
                <w:u w:val="none"/>
                <w:effect w:val="none"/>
              </w:rPr>
              <w:t>AC</w:t>
            </w:r>
            <w:r>
              <w:rPr>
                <w:rFonts w:ascii="Arial" w:hAnsi="Arial"/>
                <w:strike w:val="false"/>
                <w:dstrike w:val="false"/>
                <w:color w:val="1A2343"/>
                <w:sz w:val="20"/>
                <w:u w:val="none"/>
                <w:effect w:val="none"/>
              </w:rPr>
              <w:t xml:space="preserve"> </w:t>
            </w:r>
            <w:r>
              <w:rPr>
                <w:rFonts w:ascii="Arial" w:hAnsi="Arial"/>
                <w:strike w:val="false"/>
                <w:dstrike w:val="false"/>
                <w:sz w:val="20"/>
                <w:u w:val="none"/>
                <w:effect w:val="none"/>
              </w:rPr>
              <w:t>= Audit Committee</w:t>
            </w:r>
          </w:p>
        </w:tc>
        <w:tc>
          <w:tcPr>
            <w:tcW w:w="5180" w:type="dxa"/>
            <w:tcBorders/>
            <w:shd w:fill="auto" w:val="clear"/>
            <w:vAlign w:val="center"/>
          </w:tcPr>
          <w:p>
            <w:pPr>
              <w:pStyle w:val="TableContents"/>
              <w:spacing w:before="0" w:after="283"/>
              <w:jc w:val="left"/>
              <w:rPr>
                <w:strike w:val="false"/>
                <w:dstrike w:val="false"/>
                <w:u w:val="none"/>
                <w:effect w:val="none"/>
              </w:rPr>
            </w:pPr>
            <w:r>
              <w:rPr>
                <w:rFonts w:ascii="Arial" w:hAnsi="Arial"/>
                <w:b/>
                <w:strike w:val="false"/>
                <w:dstrike w:val="false"/>
                <w:color w:val="1A2343"/>
                <w:sz w:val="20"/>
                <w:u w:val="none"/>
                <w:effect w:val="none"/>
              </w:rPr>
              <w:t>NCGC</w:t>
            </w:r>
            <w:r>
              <w:rPr>
                <w:rFonts w:ascii="Arial" w:hAnsi="Arial"/>
                <w:strike w:val="false"/>
                <w:dstrike w:val="false"/>
                <w:color w:val="1A2343"/>
                <w:sz w:val="20"/>
                <w:u w:val="none"/>
                <w:effect w:val="none"/>
              </w:rPr>
              <w:t xml:space="preserve"> </w:t>
            </w:r>
            <w:r>
              <w:rPr>
                <w:rFonts w:ascii="Arial" w:hAnsi="Arial"/>
                <w:strike w:val="false"/>
                <w:dstrike w:val="false"/>
                <w:sz w:val="20"/>
                <w:u w:val="none"/>
                <w:effect w:val="none"/>
              </w:rPr>
              <w:t>= Nominating and Corporate Governance Committee</w:t>
            </w:r>
          </w:p>
        </w:tc>
      </w:tr>
      <w:tr>
        <w:trPr/>
        <w:tc>
          <w:tcPr>
            <w:tcW w:w="1130" w:type="dxa"/>
            <w:tcBorders/>
            <w:shd w:fill="auto" w:val="clear"/>
            <w:vAlign w:val="center"/>
          </w:tcPr>
          <w:p>
            <w:pPr>
              <w:pStyle w:val="TableContents"/>
              <w:spacing w:before="0" w:after="283"/>
              <w:jc w:val="left"/>
              <w:rPr>
                <w:strike w:val="false"/>
                <w:dstrike w:val="false"/>
                <w:u w:val="none"/>
                <w:effect w:val="none"/>
              </w:rPr>
            </w:pPr>
            <w:r>
              <w:rPr>
                <w:rFonts w:ascii="Arial" w:hAnsi="Arial"/>
                <w:b/>
                <w:strike w:val="false"/>
                <w:dstrike w:val="false"/>
                <w:color w:val="1A2343"/>
                <w:sz w:val="20"/>
                <w:u w:val="none"/>
                <w:effect w:val="none"/>
              </w:rPr>
              <w:t>M</w:t>
            </w:r>
            <w:r>
              <w:rPr>
                <w:rFonts w:ascii="Arial" w:hAnsi="Arial"/>
                <w:strike w:val="false"/>
                <w:dstrike w:val="false"/>
                <w:color w:val="1A2343"/>
                <w:sz w:val="20"/>
                <w:u w:val="none"/>
                <w:effect w:val="none"/>
              </w:rPr>
              <w:t xml:space="preserve"> </w:t>
            </w:r>
            <w:r>
              <w:rPr>
                <w:rFonts w:ascii="Arial" w:hAnsi="Arial"/>
                <w:strike w:val="false"/>
                <w:dstrike w:val="false"/>
                <w:sz w:val="20"/>
                <w:u w:val="none"/>
                <w:effect w:val="none"/>
              </w:rPr>
              <w:t>= Member</w:t>
            </w:r>
          </w:p>
        </w:tc>
        <w:tc>
          <w:tcPr>
            <w:tcW w:w="2780" w:type="dxa"/>
            <w:tcBorders/>
            <w:shd w:fill="auto" w:val="clear"/>
            <w:vAlign w:val="center"/>
          </w:tcPr>
          <w:p>
            <w:pPr>
              <w:pStyle w:val="TableContents"/>
              <w:spacing w:before="0" w:after="283"/>
              <w:jc w:val="left"/>
              <w:rPr>
                <w:strike w:val="false"/>
                <w:dstrike w:val="false"/>
                <w:u w:val="none"/>
                <w:effect w:val="none"/>
              </w:rPr>
            </w:pPr>
            <w:r>
              <w:rPr>
                <w:rFonts w:ascii="Arial" w:hAnsi="Arial"/>
                <w:b/>
                <w:strike w:val="false"/>
                <w:dstrike w:val="false"/>
                <w:color w:val="1A2343"/>
                <w:sz w:val="20"/>
                <w:u w:val="none"/>
                <w:effect w:val="none"/>
              </w:rPr>
              <w:t>CC</w:t>
            </w:r>
            <w:r>
              <w:rPr>
                <w:rFonts w:ascii="Arial" w:hAnsi="Arial"/>
                <w:strike w:val="false"/>
                <w:dstrike w:val="false"/>
                <w:color w:val="1A2343"/>
                <w:sz w:val="20"/>
                <w:u w:val="none"/>
                <w:effect w:val="none"/>
              </w:rPr>
              <w:t xml:space="preserve"> </w:t>
            </w:r>
            <w:r>
              <w:rPr>
                <w:rFonts w:ascii="Arial" w:hAnsi="Arial"/>
                <w:strike w:val="false"/>
                <w:dstrike w:val="false"/>
                <w:sz w:val="20"/>
                <w:u w:val="none"/>
                <w:effect w:val="none"/>
              </w:rPr>
              <w:t>= Compensation Committee</w:t>
            </w:r>
          </w:p>
        </w:tc>
        <w:tc>
          <w:tcPr>
            <w:tcW w:w="5180" w:type="dxa"/>
            <w:tcBorders/>
            <w:shd w:fill="auto" w:val="clear"/>
            <w:vAlign w:val="center"/>
          </w:tcPr>
          <w:p>
            <w:pPr>
              <w:pStyle w:val="TableContents"/>
              <w:spacing w:before="0" w:after="283"/>
              <w:jc w:val="left"/>
              <w:rPr>
                <w:strike w:val="false"/>
                <w:dstrike w:val="false"/>
                <w:u w:val="none"/>
                <w:effect w:val="none"/>
              </w:rPr>
            </w:pPr>
            <w:r>
              <w:rPr>
                <w:rFonts w:ascii="Arial" w:hAnsi="Arial"/>
                <w:b/>
                <w:strike w:val="false"/>
                <w:dstrike w:val="false"/>
                <w:color w:val="1A2343"/>
                <w:sz w:val="20"/>
                <w:u w:val="none"/>
                <w:effect w:val="none"/>
              </w:rPr>
              <w:t>EC</w:t>
            </w:r>
            <w:r>
              <w:rPr>
                <w:rFonts w:ascii="Arial" w:hAnsi="Arial"/>
                <w:strike w:val="false"/>
                <w:dstrike w:val="false"/>
                <w:color w:val="1A2343"/>
                <w:sz w:val="20"/>
                <w:u w:val="none"/>
                <w:effect w:val="none"/>
              </w:rPr>
              <w:t xml:space="preserve"> </w:t>
            </w:r>
            <w:r>
              <w:rPr>
                <w:rFonts w:ascii="Arial" w:hAnsi="Arial"/>
                <w:strike w:val="false"/>
                <w:dstrike w:val="false"/>
                <w:sz w:val="20"/>
                <w:u w:val="none"/>
                <w:effect w:val="none"/>
              </w:rPr>
              <w:t>= Executive Committee</w:t>
            </w:r>
          </w:p>
        </w:tc>
      </w:tr>
    </w:tbl>
    <w:p>
      <w:pPr>
        <w:pStyle w:val="TextBody"/>
        <w:spacing w:before="0" w:after="0"/>
        <w:rPr/>
      </w:pPr>
      <w:r>
        <w:rPr/>
      </w:r>
    </w:p>
    <w:tbl>
      <w:tblPr>
        <w:tblW w:w="8200" w:type="dxa"/>
        <w:jc w:val="left"/>
        <w:tblInd w:w="0" w:type="dxa"/>
        <w:tblCellMar>
          <w:top w:w="0" w:type="dxa"/>
          <w:left w:w="0" w:type="dxa"/>
          <w:bottom w:w="0" w:type="dxa"/>
          <w:right w:w="0" w:type="dxa"/>
        </w:tblCellMar>
      </w:tblPr>
      <w:tblGrid>
        <w:gridCol w:w="200"/>
        <w:gridCol w:w="8000"/>
      </w:tblGrid>
      <w:tr>
        <w:trPr/>
        <w:tc>
          <w:tcPr>
            <w:tcW w:w="200"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8000" w:type="dxa"/>
            <w:tcBorders/>
            <w:shd w:fill="auto" w:val="clear"/>
            <w:vAlign w:val="center"/>
          </w:tcPr>
          <w:p>
            <w:pPr>
              <w:pStyle w:val="TableContents"/>
              <w:spacing w:before="0" w:after="283"/>
              <w:jc w:val="left"/>
              <w:rPr>
                <w:rFonts w:ascii="Arial" w:hAnsi="Arial"/>
                <w:strike w:val="false"/>
                <w:dstrike w:val="false"/>
                <w:sz w:val="15"/>
                <w:u w:val="none"/>
                <w:effect w:val="none"/>
              </w:rPr>
            </w:pPr>
            <w:r>
              <w:rPr>
                <w:rFonts w:ascii="Arial" w:hAnsi="Arial"/>
                <w:strike w:val="false"/>
                <w:dstrike w:val="false"/>
                <w:sz w:val="15"/>
                <w:u w:val="none"/>
                <w:effect w:val="none"/>
              </w:rPr>
              <w:t>If Ms. Brown is reelected, she will join the Compensation Committee, effective as of the date of the annual meeting.</w:t>
            </w:r>
          </w:p>
        </w:tc>
      </w:tr>
      <w:tr>
        <w:trPr/>
        <w:tc>
          <w:tcPr>
            <w:tcW w:w="200" w:type="dxa"/>
            <w:tcBorders/>
            <w:shd w:fill="auto" w:val="clear"/>
            <w:vAlign w:val="center"/>
          </w:tcPr>
          <w:p>
            <w:pPr>
              <w:pStyle w:val="TableContents"/>
              <w:spacing w:before="0" w:after="283"/>
              <w:jc w:val="left"/>
              <w:rPr>
                <w:rFonts w:ascii="Arial" w:hAnsi="Arial"/>
                <w:sz w:val="15"/>
              </w:rPr>
            </w:pPr>
            <w:r>
              <w:rPr>
                <w:rFonts w:ascii="Arial" w:hAnsi="Arial"/>
                <w:sz w:val="15"/>
              </w:rPr>
              <w:t>(2)</w:t>
            </w:r>
          </w:p>
        </w:tc>
        <w:tc>
          <w:tcPr>
            <w:tcW w:w="8000" w:type="dxa"/>
            <w:tcBorders/>
            <w:shd w:fill="auto" w:val="clear"/>
            <w:vAlign w:val="center"/>
          </w:tcPr>
          <w:p>
            <w:pPr>
              <w:pStyle w:val="TableContents"/>
              <w:spacing w:before="0" w:after="283"/>
              <w:jc w:val="left"/>
              <w:rPr>
                <w:rFonts w:ascii="Arial" w:hAnsi="Arial"/>
                <w:strike w:val="false"/>
                <w:dstrike w:val="false"/>
                <w:sz w:val="15"/>
                <w:u w:val="none"/>
                <w:effect w:val="none"/>
              </w:rPr>
            </w:pPr>
            <w:r>
              <w:rPr>
                <w:rFonts w:ascii="Arial" w:hAnsi="Arial"/>
                <w:strike w:val="false"/>
                <w:dstrike w:val="false"/>
                <w:sz w:val="15"/>
                <w:u w:val="none"/>
                <w:effect w:val="none"/>
              </w:rPr>
              <w:t>If Mr. Mathias is reelected, he will join the Executive Committee, effective as of the date of the annual meeting.</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900" w:type="dxa"/>
        <w:jc w:val="left"/>
        <w:tblInd w:w="0" w:type="dxa"/>
        <w:tblCellMar>
          <w:top w:w="0" w:type="dxa"/>
          <w:left w:w="0" w:type="dxa"/>
          <w:bottom w:w="0" w:type="dxa"/>
          <w:right w:w="0" w:type="dxa"/>
        </w:tblCellMar>
      </w:tblPr>
      <w:tblGrid>
        <w:gridCol w:w="4610"/>
        <w:gridCol w:w="290"/>
      </w:tblGrid>
      <w:tr>
        <w:trPr/>
        <w:tc>
          <w:tcPr>
            <w:tcW w:w="4610" w:type="dxa"/>
            <w:tcBorders/>
            <w:shd w:fill="auto" w:val="clear"/>
            <w:vAlign w:val="center"/>
          </w:tcPr>
          <w:p>
            <w:pPr>
              <w:pStyle w:val="TableContents"/>
              <w:spacing w:before="0" w:after="283"/>
              <w:jc w:val="left"/>
              <w:rPr>
                <w:rFonts w:ascii="Arial" w:hAnsi="Arial"/>
                <w:b/>
                <w:sz w:val="15"/>
              </w:rPr>
            </w:pPr>
            <w:r>
              <w:rPr>
                <w:rFonts w:ascii="Arial" w:hAnsi="Arial"/>
                <w:b/>
                <w:sz w:val="15"/>
              </w:rPr>
              <w:t>OUR BOARD OF DIRECTORS AND CORPORATE GOVERNANCE</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11</w:t>
            </w:r>
          </w:p>
        </w:tc>
      </w:tr>
    </w:tbl>
    <w:p>
      <w:pPr>
        <w:pStyle w:val="TextBody"/>
        <w:spacing w:before="240" w:after="283"/>
        <w:jc w:val="left"/>
        <w:rPr>
          <w:rFonts w:ascii="Arial" w:hAnsi="Arial"/>
          <w:sz w:val="20"/>
        </w:rPr>
      </w:pPr>
      <w:r>
        <w:rPr>
          <w:rFonts w:ascii="Arial" w:hAnsi="Arial"/>
          <w:sz w:val="20"/>
        </w:rPr>
        <w:t>The matrix below represents some of the key skills that our Board has identified as particularly valuable to the effective oversight of the Company and the execution of our strategy. This matrix highlights the depth and breadth of skills of our director nominees.</w:t>
      </w:r>
    </w:p>
    <w:tbl>
      <w:tblPr>
        <w:tblW w:w="9395" w:type="dxa"/>
        <w:jc w:val="left"/>
        <w:tblInd w:w="0" w:type="dxa"/>
        <w:tblCellMar>
          <w:top w:w="0" w:type="dxa"/>
          <w:left w:w="0" w:type="dxa"/>
          <w:bottom w:w="40" w:type="dxa"/>
          <w:right w:w="0" w:type="dxa"/>
        </w:tblCellMar>
      </w:tblPr>
      <w:tblGrid>
        <w:gridCol w:w="645"/>
        <w:gridCol w:w="3320"/>
        <w:gridCol w:w="300"/>
        <w:gridCol w:w="725"/>
        <w:gridCol w:w="485"/>
        <w:gridCol w:w="485"/>
        <w:gridCol w:w="725"/>
        <w:gridCol w:w="500"/>
        <w:gridCol w:w="470"/>
        <w:gridCol w:w="530"/>
        <w:gridCol w:w="620"/>
        <w:gridCol w:w="590"/>
      </w:tblGrid>
      <w:tr>
        <w:trPr/>
        <w:tc>
          <w:tcPr>
            <w:tcW w:w="645" w:type="dxa"/>
            <w:tcBorders>
              <w:bottom w:val="single" w:sz="12" w:space="0" w:color="5B5975"/>
            </w:tcBorders>
            <w:shd w:fill="auto" w:val="clear"/>
            <w:vAlign w:val="center"/>
          </w:tcPr>
          <w:p>
            <w:pPr>
              <w:pStyle w:val="TableContents"/>
              <w:spacing w:before="0" w:after="283"/>
              <w:jc w:val="left"/>
              <w:rPr/>
            </w:pPr>
            <w:r>
              <w:rPr/>
              <w:t>     </w:t>
            </w:r>
          </w:p>
        </w:tc>
        <w:tc>
          <w:tcPr>
            <w:tcW w:w="3320" w:type="dxa"/>
            <w:tcBorders>
              <w:bottom w:val="single" w:sz="12" w:space="0" w:color="5B5975"/>
            </w:tcBorders>
            <w:shd w:fill="auto" w:val="clear"/>
            <w:vAlign w:val="center"/>
          </w:tcPr>
          <w:p>
            <w:pPr>
              <w:pStyle w:val="TableContents"/>
              <w:spacing w:before="0" w:after="283"/>
              <w:jc w:val="left"/>
              <w:rPr/>
            </w:pPr>
            <w:r>
              <w:rPr>
                <w:rStyle w:val="StrongEmphasis"/>
                <w:rFonts w:ascii="Arial" w:hAnsi="Arial"/>
                <w:sz w:val="15"/>
              </w:rPr>
              <w:t>Skills, Experiences and Attributes</w:t>
            </w:r>
          </w:p>
        </w:tc>
        <w:tc>
          <w:tcPr>
            <w:tcW w:w="300" w:type="dxa"/>
            <w:tcBorders/>
            <w:shd w:fill="auto" w:val="clear"/>
            <w:tcMar>
              <w:bottom w:w="0" w:type="dxa"/>
            </w:tcMar>
            <w:vAlign w:val="center"/>
          </w:tcPr>
          <w:p>
            <w:pPr>
              <w:pStyle w:val="TableContents"/>
              <w:spacing w:before="0" w:after="283"/>
              <w:jc w:val="left"/>
              <w:rPr/>
            </w:pPr>
            <w:r>
              <w:rPr/>
              <w:t>     </w:t>
            </w:r>
          </w:p>
        </w:tc>
        <w:tc>
          <w:tcPr>
            <w:tcW w:w="725" w:type="dxa"/>
            <w:tcBorders>
              <w:left w:val="single" w:sz="8" w:space="0" w:color="5B5975"/>
              <w:bottom w:val="single" w:sz="12" w:space="0" w:color="5B5975"/>
            </w:tcBorders>
            <w:shd w:fill="auto" w:val="clear"/>
            <w:tcMar>
              <w:left w:w="80" w:type="dxa"/>
            </w:tcMar>
            <w:vAlign w:val="center"/>
          </w:tcPr>
          <w:p>
            <w:pPr>
              <w:pStyle w:val="TableContents"/>
              <w:spacing w:before="0" w:after="283"/>
              <w:jc w:val="center"/>
              <w:rPr/>
            </w:pPr>
            <w:r>
              <w:rPr>
                <w:rStyle w:val="StrongEmphasis"/>
                <w:rFonts w:ascii="Arial" w:hAnsi="Arial"/>
                <w:sz w:val="15"/>
              </w:rPr>
              <w:t>Alschuler</w:t>
            </w:r>
          </w:p>
        </w:tc>
        <w:tc>
          <w:tcPr>
            <w:tcW w:w="485" w:type="dxa"/>
            <w:tcBorders>
              <w:left w:val="single" w:sz="8" w:space="0" w:color="5B5975"/>
              <w:bottom w:val="single" w:sz="12" w:space="0" w:color="5B5975"/>
            </w:tcBorders>
            <w:shd w:fill="auto" w:val="clear"/>
            <w:tcMar>
              <w:left w:w="80" w:type="dxa"/>
            </w:tcMar>
            <w:vAlign w:val="center"/>
          </w:tcPr>
          <w:p>
            <w:pPr>
              <w:pStyle w:val="TableContents"/>
              <w:spacing w:before="0" w:after="283"/>
              <w:jc w:val="center"/>
              <w:rPr/>
            </w:pPr>
            <w:r>
              <w:rPr>
                <w:rStyle w:val="StrongEmphasis"/>
                <w:rFonts w:ascii="Arial" w:hAnsi="Arial"/>
                <w:sz w:val="15"/>
              </w:rPr>
              <w:t>Atkins</w:t>
            </w:r>
          </w:p>
        </w:tc>
        <w:tc>
          <w:tcPr>
            <w:tcW w:w="485" w:type="dxa"/>
            <w:tcBorders>
              <w:left w:val="single" w:sz="8" w:space="0" w:color="5B5975"/>
              <w:bottom w:val="single" w:sz="12" w:space="0" w:color="5B5975"/>
            </w:tcBorders>
            <w:shd w:fill="auto" w:val="clear"/>
            <w:tcMar>
              <w:left w:w="80" w:type="dxa"/>
            </w:tcMar>
            <w:vAlign w:val="center"/>
          </w:tcPr>
          <w:p>
            <w:pPr>
              <w:pStyle w:val="TableContents"/>
              <w:spacing w:before="0" w:after="283"/>
              <w:jc w:val="center"/>
              <w:rPr/>
            </w:pPr>
            <w:r>
              <w:rPr>
                <w:rStyle w:val="StrongEmphasis"/>
                <w:rFonts w:ascii="Arial" w:hAnsi="Arial"/>
                <w:sz w:val="15"/>
              </w:rPr>
              <w:t>Brown</w:t>
            </w:r>
          </w:p>
        </w:tc>
        <w:tc>
          <w:tcPr>
            <w:tcW w:w="725" w:type="dxa"/>
            <w:tcBorders>
              <w:left w:val="single" w:sz="8" w:space="0" w:color="5B5975"/>
              <w:bottom w:val="single" w:sz="12" w:space="0" w:color="5B5975"/>
            </w:tcBorders>
            <w:shd w:fill="auto" w:val="clear"/>
            <w:tcMar>
              <w:left w:w="80" w:type="dxa"/>
            </w:tcMar>
            <w:vAlign w:val="center"/>
          </w:tcPr>
          <w:p>
            <w:pPr>
              <w:pStyle w:val="TableContents"/>
              <w:spacing w:before="0" w:after="283"/>
              <w:jc w:val="center"/>
              <w:rPr/>
            </w:pPr>
            <w:r>
              <w:rPr>
                <w:rStyle w:val="StrongEmphasis"/>
                <w:rFonts w:ascii="Arial" w:hAnsi="Arial"/>
                <w:sz w:val="15"/>
              </w:rPr>
              <w:t>Burton, III</w:t>
            </w:r>
          </w:p>
        </w:tc>
        <w:tc>
          <w:tcPr>
            <w:tcW w:w="500" w:type="dxa"/>
            <w:tcBorders>
              <w:left w:val="single" w:sz="8" w:space="0" w:color="5B5975"/>
              <w:bottom w:val="single" w:sz="12" w:space="0" w:color="5B5975"/>
            </w:tcBorders>
            <w:shd w:fill="auto" w:val="clear"/>
            <w:tcMar>
              <w:left w:w="80" w:type="dxa"/>
            </w:tcMar>
            <w:vAlign w:val="center"/>
          </w:tcPr>
          <w:p>
            <w:pPr>
              <w:pStyle w:val="TableContents"/>
              <w:spacing w:before="0" w:after="283"/>
              <w:jc w:val="center"/>
              <w:rPr/>
            </w:pPr>
            <w:r>
              <w:rPr>
                <w:rStyle w:val="StrongEmphasis"/>
                <w:rFonts w:ascii="Arial" w:hAnsi="Arial"/>
                <w:sz w:val="15"/>
              </w:rPr>
              <w:t>Dillard</w:t>
            </w:r>
          </w:p>
        </w:tc>
        <w:tc>
          <w:tcPr>
            <w:tcW w:w="470" w:type="dxa"/>
            <w:tcBorders>
              <w:left w:val="single" w:sz="8" w:space="0" w:color="5B5975"/>
              <w:bottom w:val="single" w:sz="12" w:space="0" w:color="5B5975"/>
            </w:tcBorders>
            <w:shd w:fill="auto" w:val="clear"/>
            <w:tcMar>
              <w:left w:w="80" w:type="dxa"/>
            </w:tcMar>
            <w:vAlign w:val="center"/>
          </w:tcPr>
          <w:p>
            <w:pPr>
              <w:pStyle w:val="TableContents"/>
              <w:spacing w:before="0" w:after="283"/>
              <w:jc w:val="center"/>
              <w:rPr/>
            </w:pPr>
            <w:r>
              <w:rPr>
                <w:rStyle w:val="StrongEmphasis"/>
                <w:rFonts w:ascii="Arial" w:hAnsi="Arial"/>
                <w:sz w:val="15"/>
              </w:rPr>
              <w:t>Green</w:t>
            </w:r>
          </w:p>
        </w:tc>
        <w:tc>
          <w:tcPr>
            <w:tcW w:w="530" w:type="dxa"/>
            <w:tcBorders>
              <w:left w:val="single" w:sz="8" w:space="0" w:color="5B5975"/>
              <w:bottom w:val="single" w:sz="12" w:space="0" w:color="5B5975"/>
            </w:tcBorders>
            <w:shd w:fill="auto" w:val="clear"/>
            <w:tcMar>
              <w:left w:w="80" w:type="dxa"/>
            </w:tcMar>
            <w:vAlign w:val="center"/>
          </w:tcPr>
          <w:p>
            <w:pPr>
              <w:pStyle w:val="TableContents"/>
              <w:spacing w:before="0" w:after="283"/>
              <w:jc w:val="center"/>
              <w:rPr/>
            </w:pPr>
            <w:r>
              <w:rPr>
                <w:rStyle w:val="StrongEmphasis"/>
                <w:rFonts w:ascii="Arial" w:hAnsi="Arial"/>
                <w:sz w:val="15"/>
              </w:rPr>
              <w:t>Hatkoff</w:t>
            </w:r>
          </w:p>
        </w:tc>
        <w:tc>
          <w:tcPr>
            <w:tcW w:w="620" w:type="dxa"/>
            <w:tcBorders>
              <w:left w:val="single" w:sz="8" w:space="0" w:color="5B5975"/>
              <w:bottom w:val="single" w:sz="12" w:space="0" w:color="5B5975"/>
            </w:tcBorders>
            <w:shd w:fill="auto" w:val="clear"/>
            <w:tcMar>
              <w:left w:w="80" w:type="dxa"/>
            </w:tcMar>
            <w:vAlign w:val="center"/>
          </w:tcPr>
          <w:p>
            <w:pPr>
              <w:pStyle w:val="TableContents"/>
              <w:spacing w:before="0" w:after="283"/>
              <w:jc w:val="center"/>
              <w:rPr/>
            </w:pPr>
            <w:r>
              <w:rPr>
                <w:rStyle w:val="StrongEmphasis"/>
                <w:rFonts w:ascii="Arial" w:hAnsi="Arial"/>
                <w:sz w:val="15"/>
              </w:rPr>
              <w:t>Holliday</w:t>
            </w:r>
          </w:p>
        </w:tc>
        <w:tc>
          <w:tcPr>
            <w:tcW w:w="590" w:type="dxa"/>
            <w:tcBorders>
              <w:left w:val="single" w:sz="8" w:space="0" w:color="5B5975"/>
              <w:bottom w:val="single" w:sz="12" w:space="0" w:color="5B5975"/>
              <w:right w:val="single" w:sz="8" w:space="0" w:color="5B5975"/>
            </w:tcBorders>
            <w:shd w:fill="auto" w:val="clear"/>
            <w:tcMar>
              <w:left w:w="80" w:type="dxa"/>
              <w:right w:w="80" w:type="dxa"/>
            </w:tcMar>
            <w:vAlign w:val="center"/>
          </w:tcPr>
          <w:p>
            <w:pPr>
              <w:pStyle w:val="TableContents"/>
              <w:spacing w:before="0" w:after="283"/>
              <w:jc w:val="center"/>
              <w:rPr/>
            </w:pPr>
            <w:r>
              <w:rPr>
                <w:rStyle w:val="StrongEmphasis"/>
                <w:rFonts w:ascii="Arial" w:hAnsi="Arial"/>
                <w:sz w:val="15"/>
              </w:rPr>
              <w:t>Mathias</w:t>
            </w:r>
          </w:p>
        </w:tc>
      </w:tr>
      <w:tr>
        <w:trPr/>
        <w:tc>
          <w:tcPr>
            <w:tcW w:w="645" w:type="dxa"/>
            <w:tcBorders>
              <w:bottom w:val="single" w:sz="8" w:space="0" w:color="5B5975"/>
            </w:tcBorders>
            <w:shd w:fill="auto" w:val="clear"/>
            <w:vAlign w:val="center"/>
          </w:tcPr>
          <w:p>
            <w:pPr>
              <w:pStyle w:val="TableContents"/>
              <w:spacing w:before="0" w:after="283"/>
              <w:jc w:val="left"/>
              <w:rPr/>
            </w:pPr>
            <w:r>
              <w:rPr/>
              <w:drawing>
                <wp:inline distT="0" distB="0" distL="0" distR="0">
                  <wp:extent cx="381000" cy="409575"/>
                  <wp:effectExtent l="0" t="0" r="0" b="0"/>
                  <wp:docPr id="11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9" descr=""/>
                          <pic:cNvPicPr>
                            <a:picLocks noChangeAspect="1" noChangeArrowheads="1"/>
                          </pic:cNvPicPr>
                        </pic:nvPicPr>
                        <pic:blipFill>
                          <a:blip r:embed="rId90"/>
                          <a:srcRect l="-2646" t="-2460" r="-2646" b="-2460"/>
                          <a:stretch>
                            <a:fillRect/>
                          </a:stretch>
                        </pic:blipFill>
                        <pic:spPr bwMode="auto">
                          <a:xfrm>
                            <a:off x="0" y="0"/>
                            <a:ext cx="381000" cy="409575"/>
                          </a:xfrm>
                          <a:prstGeom prst="rect">
                            <a:avLst/>
                          </a:prstGeom>
                          <a:ln w="635">
                            <a:solidFill>
                              <a:srgbClr val="000000"/>
                            </a:solidFill>
                          </a:ln>
                        </pic:spPr>
                      </pic:pic>
                    </a:graphicData>
                  </a:graphic>
                </wp:inline>
              </w:drawing>
            </w:r>
          </w:p>
        </w:tc>
        <w:tc>
          <w:tcPr>
            <w:tcW w:w="332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Executive Leadership</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1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0" descr=""/>
                          <pic:cNvPicPr>
                            <a:picLocks noChangeAspect="1" noChangeArrowheads="1"/>
                          </pic:cNvPicPr>
                        </pic:nvPicPr>
                        <pic:blipFill>
                          <a:blip r:embed="rId91"/>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1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1" descr=""/>
                          <pic:cNvPicPr>
                            <a:picLocks noChangeAspect="1" noChangeArrowheads="1"/>
                          </pic:cNvPicPr>
                        </pic:nvPicPr>
                        <pic:blipFill>
                          <a:blip r:embed="rId92"/>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1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2" descr=""/>
                          <pic:cNvPicPr>
                            <a:picLocks noChangeAspect="1" noChangeArrowheads="1"/>
                          </pic:cNvPicPr>
                        </pic:nvPicPr>
                        <pic:blipFill>
                          <a:blip r:embed="rId93"/>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0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1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3" descr=""/>
                          <pic:cNvPicPr>
                            <a:picLocks noChangeAspect="1" noChangeArrowheads="1"/>
                          </pic:cNvPicPr>
                        </pic:nvPicPr>
                        <pic:blipFill>
                          <a:blip r:embed="rId94"/>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7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1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4" descr=""/>
                          <pic:cNvPicPr>
                            <a:picLocks noChangeAspect="1" noChangeArrowheads="1"/>
                          </pic:cNvPicPr>
                        </pic:nvPicPr>
                        <pic:blipFill>
                          <a:blip r:embed="rId95"/>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3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1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5" descr=""/>
                          <pic:cNvPicPr>
                            <a:picLocks noChangeAspect="1" noChangeArrowheads="1"/>
                          </pic:cNvPicPr>
                        </pic:nvPicPr>
                        <pic:blipFill>
                          <a:blip r:embed="rId96"/>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62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1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6" descr=""/>
                          <pic:cNvPicPr>
                            <a:picLocks noChangeAspect="1" noChangeArrowheads="1"/>
                          </pic:cNvPicPr>
                        </pic:nvPicPr>
                        <pic:blipFill>
                          <a:blip r:embed="rId97"/>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90" w:type="dxa"/>
            <w:tcBorders>
              <w:left w:val="single" w:sz="8" w:space="0" w:color="5B5975"/>
              <w:bottom w:val="single" w:sz="8" w:space="0" w:color="5B5975"/>
              <w:right w:val="single" w:sz="8" w:space="0" w:color="5B5975"/>
            </w:tcBorders>
            <w:shd w:fill="auto" w:val="clear"/>
            <w:tcMar>
              <w:left w:w="80" w:type="dxa"/>
              <w:right w:w="80" w:type="dxa"/>
            </w:tcMar>
            <w:vAlign w:val="center"/>
          </w:tcPr>
          <w:p>
            <w:pPr>
              <w:pStyle w:val="TableContents"/>
              <w:spacing w:before="0" w:after="283"/>
              <w:jc w:val="center"/>
              <w:rPr/>
            </w:pPr>
            <w:r>
              <w:rPr/>
              <w:drawing>
                <wp:inline distT="0" distB="0" distL="0" distR="0">
                  <wp:extent cx="190500" cy="152400"/>
                  <wp:effectExtent l="0" t="0" r="0" b="0"/>
                  <wp:docPr id="11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7" descr=""/>
                          <pic:cNvPicPr>
                            <a:picLocks noChangeAspect="1" noChangeArrowheads="1"/>
                          </pic:cNvPicPr>
                        </pic:nvPicPr>
                        <pic:blipFill>
                          <a:blip r:embed="rId98"/>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r>
      <w:tr>
        <w:trPr/>
        <w:tc>
          <w:tcPr>
            <w:tcW w:w="645" w:type="dxa"/>
            <w:tcBorders>
              <w:bottom w:val="single" w:sz="8" w:space="0" w:color="5B5975"/>
            </w:tcBorders>
            <w:shd w:fill="auto" w:val="clear"/>
            <w:vAlign w:val="center"/>
          </w:tcPr>
          <w:p>
            <w:pPr>
              <w:pStyle w:val="TableContents"/>
              <w:spacing w:before="0" w:after="283"/>
              <w:jc w:val="left"/>
              <w:rPr/>
            </w:pPr>
            <w:r>
              <w:rPr/>
              <w:drawing>
                <wp:inline distT="0" distB="0" distL="0" distR="0">
                  <wp:extent cx="400050" cy="400050"/>
                  <wp:effectExtent l="0" t="0" r="0" b="0"/>
                  <wp:docPr id="12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8" descr=""/>
                          <pic:cNvPicPr>
                            <a:picLocks noChangeAspect="1" noChangeArrowheads="1"/>
                          </pic:cNvPicPr>
                        </pic:nvPicPr>
                        <pic:blipFill>
                          <a:blip r:embed="rId99"/>
                          <a:srcRect l="-2520" t="-2520" r="-2520" b="-2520"/>
                          <a:stretch>
                            <a:fillRect/>
                          </a:stretch>
                        </pic:blipFill>
                        <pic:spPr bwMode="auto">
                          <a:xfrm>
                            <a:off x="0" y="0"/>
                            <a:ext cx="400050" cy="400050"/>
                          </a:xfrm>
                          <a:prstGeom prst="rect">
                            <a:avLst/>
                          </a:prstGeom>
                          <a:ln w="635">
                            <a:solidFill>
                              <a:srgbClr val="000000"/>
                            </a:solidFill>
                          </a:ln>
                        </pic:spPr>
                      </pic:pic>
                    </a:graphicData>
                  </a:graphic>
                </wp:inline>
              </w:drawing>
            </w:r>
          </w:p>
        </w:tc>
        <w:tc>
          <w:tcPr>
            <w:tcW w:w="332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Finance/Capital Markets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2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9" descr=""/>
                          <pic:cNvPicPr>
                            <a:picLocks noChangeAspect="1" noChangeArrowheads="1"/>
                          </pic:cNvPicPr>
                        </pic:nvPicPr>
                        <pic:blipFill>
                          <a:blip r:embed="rId100"/>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2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0" descr=""/>
                          <pic:cNvPicPr>
                            <a:picLocks noChangeAspect="1" noChangeArrowheads="1"/>
                          </pic:cNvPicPr>
                        </pic:nvPicPr>
                        <pic:blipFill>
                          <a:blip r:embed="rId101"/>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2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1" descr=""/>
                          <pic:cNvPicPr>
                            <a:picLocks noChangeAspect="1" noChangeArrowheads="1"/>
                          </pic:cNvPicPr>
                        </pic:nvPicPr>
                        <pic:blipFill>
                          <a:blip r:embed="rId102"/>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0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2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2" descr=""/>
                          <pic:cNvPicPr>
                            <a:picLocks noChangeAspect="1" noChangeArrowheads="1"/>
                          </pic:cNvPicPr>
                        </pic:nvPicPr>
                        <pic:blipFill>
                          <a:blip r:embed="rId103"/>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7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2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3" descr=""/>
                          <pic:cNvPicPr>
                            <a:picLocks noChangeAspect="1" noChangeArrowheads="1"/>
                          </pic:cNvPicPr>
                        </pic:nvPicPr>
                        <pic:blipFill>
                          <a:blip r:embed="rId104"/>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3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2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4" descr=""/>
                          <pic:cNvPicPr>
                            <a:picLocks noChangeAspect="1" noChangeArrowheads="1"/>
                          </pic:cNvPicPr>
                        </pic:nvPicPr>
                        <pic:blipFill>
                          <a:blip r:embed="rId105"/>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62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27"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5" descr=""/>
                          <pic:cNvPicPr>
                            <a:picLocks noChangeAspect="1" noChangeArrowheads="1"/>
                          </pic:cNvPicPr>
                        </pic:nvPicPr>
                        <pic:blipFill>
                          <a:blip r:embed="rId106"/>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90" w:type="dxa"/>
            <w:tcBorders>
              <w:left w:val="single" w:sz="8" w:space="0" w:color="5B5975"/>
              <w:bottom w:val="single" w:sz="8" w:space="0" w:color="5B5975"/>
              <w:right w:val="single" w:sz="8" w:space="0" w:color="5B5975"/>
            </w:tcBorders>
            <w:shd w:fill="auto" w:val="clear"/>
            <w:tcMar>
              <w:left w:w="80" w:type="dxa"/>
              <w:right w:w="80" w:type="dxa"/>
            </w:tcMar>
            <w:vAlign w:val="center"/>
          </w:tcPr>
          <w:p>
            <w:pPr>
              <w:pStyle w:val="TableContents"/>
              <w:spacing w:before="0" w:after="283"/>
              <w:jc w:val="center"/>
              <w:rPr/>
            </w:pPr>
            <w:r>
              <w:rPr/>
              <w:drawing>
                <wp:inline distT="0" distB="0" distL="0" distR="0">
                  <wp:extent cx="190500" cy="152400"/>
                  <wp:effectExtent l="0" t="0" r="0" b="0"/>
                  <wp:docPr id="12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6" descr=""/>
                          <pic:cNvPicPr>
                            <a:picLocks noChangeAspect="1" noChangeArrowheads="1"/>
                          </pic:cNvPicPr>
                        </pic:nvPicPr>
                        <pic:blipFill>
                          <a:blip r:embed="rId107"/>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r>
      <w:tr>
        <w:trPr/>
        <w:tc>
          <w:tcPr>
            <w:tcW w:w="645" w:type="dxa"/>
            <w:tcBorders>
              <w:bottom w:val="single" w:sz="8" w:space="0" w:color="5B5975"/>
            </w:tcBorders>
            <w:shd w:fill="auto" w:val="clear"/>
            <w:vAlign w:val="center"/>
          </w:tcPr>
          <w:p>
            <w:pPr>
              <w:pStyle w:val="TableContents"/>
              <w:spacing w:before="0" w:after="283"/>
              <w:jc w:val="left"/>
              <w:rPr/>
            </w:pPr>
            <w:r>
              <w:rPr/>
              <w:drawing>
                <wp:inline distT="0" distB="0" distL="0" distR="0">
                  <wp:extent cx="409575" cy="438150"/>
                  <wp:effectExtent l="0" t="0" r="0" b="0"/>
                  <wp:docPr id="12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7" descr=""/>
                          <pic:cNvPicPr>
                            <a:picLocks noChangeAspect="1" noChangeArrowheads="1"/>
                          </pic:cNvPicPr>
                        </pic:nvPicPr>
                        <pic:blipFill>
                          <a:blip r:embed="rId108"/>
                          <a:srcRect l="-2460" t="-2300" r="-2460" b="-2300"/>
                          <a:stretch>
                            <a:fillRect/>
                          </a:stretch>
                        </pic:blipFill>
                        <pic:spPr bwMode="auto">
                          <a:xfrm>
                            <a:off x="0" y="0"/>
                            <a:ext cx="409575" cy="438150"/>
                          </a:xfrm>
                          <a:prstGeom prst="rect">
                            <a:avLst/>
                          </a:prstGeom>
                          <a:ln w="635">
                            <a:solidFill>
                              <a:srgbClr val="000000"/>
                            </a:solidFill>
                          </a:ln>
                        </pic:spPr>
                      </pic:pic>
                    </a:graphicData>
                  </a:graphic>
                </wp:inline>
              </w:drawing>
            </w:r>
          </w:p>
        </w:tc>
        <w:tc>
          <w:tcPr>
            <w:tcW w:w="332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Risk Management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30"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08" descr=""/>
                          <pic:cNvPicPr>
                            <a:picLocks noChangeAspect="1" noChangeArrowheads="1"/>
                          </pic:cNvPicPr>
                        </pic:nvPicPr>
                        <pic:blipFill>
                          <a:blip r:embed="rId109"/>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31"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9" descr=""/>
                          <pic:cNvPicPr>
                            <a:picLocks noChangeAspect="1" noChangeArrowheads="1"/>
                          </pic:cNvPicPr>
                        </pic:nvPicPr>
                        <pic:blipFill>
                          <a:blip r:embed="rId110"/>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32"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0" descr=""/>
                          <pic:cNvPicPr>
                            <a:picLocks noChangeAspect="1" noChangeArrowheads="1"/>
                          </pic:cNvPicPr>
                        </pic:nvPicPr>
                        <pic:blipFill>
                          <a:blip r:embed="rId111"/>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3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1" descr=""/>
                          <pic:cNvPicPr>
                            <a:picLocks noChangeAspect="1" noChangeArrowheads="1"/>
                          </pic:cNvPicPr>
                        </pic:nvPicPr>
                        <pic:blipFill>
                          <a:blip r:embed="rId112"/>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0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34"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2" descr=""/>
                          <pic:cNvPicPr>
                            <a:picLocks noChangeAspect="1" noChangeArrowheads="1"/>
                          </pic:cNvPicPr>
                        </pic:nvPicPr>
                        <pic:blipFill>
                          <a:blip r:embed="rId113"/>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7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35"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3" descr=""/>
                          <pic:cNvPicPr>
                            <a:picLocks noChangeAspect="1" noChangeArrowheads="1"/>
                          </pic:cNvPicPr>
                        </pic:nvPicPr>
                        <pic:blipFill>
                          <a:blip r:embed="rId114"/>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3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36"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4" descr=""/>
                          <pic:cNvPicPr>
                            <a:picLocks noChangeAspect="1" noChangeArrowheads="1"/>
                          </pic:cNvPicPr>
                        </pic:nvPicPr>
                        <pic:blipFill>
                          <a:blip r:embed="rId115"/>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62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37"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5" descr=""/>
                          <pic:cNvPicPr>
                            <a:picLocks noChangeAspect="1" noChangeArrowheads="1"/>
                          </pic:cNvPicPr>
                        </pic:nvPicPr>
                        <pic:blipFill>
                          <a:blip r:embed="rId116"/>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90" w:type="dxa"/>
            <w:tcBorders>
              <w:left w:val="single" w:sz="8" w:space="0" w:color="5B5975"/>
              <w:bottom w:val="single" w:sz="8" w:space="0" w:color="5B5975"/>
              <w:right w:val="single" w:sz="8" w:space="0" w:color="5B5975"/>
            </w:tcBorders>
            <w:shd w:fill="auto" w:val="clear"/>
            <w:tcMar>
              <w:left w:w="80" w:type="dxa"/>
              <w:right w:w="80" w:type="dxa"/>
            </w:tcMar>
            <w:vAlign w:val="center"/>
          </w:tcPr>
          <w:p>
            <w:pPr>
              <w:pStyle w:val="TableContents"/>
              <w:spacing w:before="0" w:after="283"/>
              <w:jc w:val="center"/>
              <w:rPr/>
            </w:pPr>
            <w:r>
              <w:rPr/>
              <w:drawing>
                <wp:inline distT="0" distB="0" distL="0" distR="0">
                  <wp:extent cx="190500" cy="152400"/>
                  <wp:effectExtent l="0" t="0" r="0" b="0"/>
                  <wp:docPr id="138"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6" descr=""/>
                          <pic:cNvPicPr>
                            <a:picLocks noChangeAspect="1" noChangeArrowheads="1"/>
                          </pic:cNvPicPr>
                        </pic:nvPicPr>
                        <pic:blipFill>
                          <a:blip r:embed="rId117"/>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r>
      <w:tr>
        <w:trPr/>
        <w:tc>
          <w:tcPr>
            <w:tcW w:w="645" w:type="dxa"/>
            <w:tcBorders>
              <w:bottom w:val="single" w:sz="8" w:space="0" w:color="5B5975"/>
            </w:tcBorders>
            <w:shd w:fill="auto" w:val="clear"/>
            <w:vAlign w:val="center"/>
          </w:tcPr>
          <w:p>
            <w:pPr>
              <w:pStyle w:val="TableContents"/>
              <w:spacing w:before="0" w:after="283"/>
              <w:jc w:val="left"/>
              <w:rPr/>
            </w:pPr>
            <w:r>
              <w:rPr/>
              <w:drawing>
                <wp:inline distT="0" distB="0" distL="0" distR="0">
                  <wp:extent cx="409575" cy="381000"/>
                  <wp:effectExtent l="0" t="0" r="0" b="0"/>
                  <wp:docPr id="139"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7" descr=""/>
                          <pic:cNvPicPr>
                            <a:picLocks noChangeAspect="1" noChangeArrowheads="1"/>
                          </pic:cNvPicPr>
                        </pic:nvPicPr>
                        <pic:blipFill>
                          <a:blip r:embed="rId118"/>
                          <a:srcRect l="-2460" t="-2646" r="-2460" b="-2646"/>
                          <a:stretch>
                            <a:fillRect/>
                          </a:stretch>
                        </pic:blipFill>
                        <pic:spPr bwMode="auto">
                          <a:xfrm>
                            <a:off x="0" y="0"/>
                            <a:ext cx="409575" cy="381000"/>
                          </a:xfrm>
                          <a:prstGeom prst="rect">
                            <a:avLst/>
                          </a:prstGeom>
                          <a:ln w="635">
                            <a:solidFill>
                              <a:srgbClr val="000000"/>
                            </a:solidFill>
                          </a:ln>
                        </pic:spPr>
                      </pic:pic>
                    </a:graphicData>
                  </a:graphic>
                </wp:inline>
              </w:drawing>
            </w:r>
          </w:p>
        </w:tc>
        <w:tc>
          <w:tcPr>
            <w:tcW w:w="332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Public Company Board Service/</w:t>
              <w:br/>
              <w:t>Corporate Governance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40"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18" descr=""/>
                          <pic:cNvPicPr>
                            <a:picLocks noChangeAspect="1" noChangeArrowheads="1"/>
                          </pic:cNvPicPr>
                        </pic:nvPicPr>
                        <pic:blipFill>
                          <a:blip r:embed="rId119"/>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41"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19" descr=""/>
                          <pic:cNvPicPr>
                            <a:picLocks noChangeAspect="1" noChangeArrowheads="1"/>
                          </pic:cNvPicPr>
                        </pic:nvPicPr>
                        <pic:blipFill>
                          <a:blip r:embed="rId120"/>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42"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0" descr=""/>
                          <pic:cNvPicPr>
                            <a:picLocks noChangeAspect="1" noChangeArrowheads="1"/>
                          </pic:cNvPicPr>
                        </pic:nvPicPr>
                        <pic:blipFill>
                          <a:blip r:embed="rId121"/>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0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43"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1" descr=""/>
                          <pic:cNvPicPr>
                            <a:picLocks noChangeAspect="1" noChangeArrowheads="1"/>
                          </pic:cNvPicPr>
                        </pic:nvPicPr>
                        <pic:blipFill>
                          <a:blip r:embed="rId122"/>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70"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53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44"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2" descr=""/>
                          <pic:cNvPicPr>
                            <a:picLocks noChangeAspect="1" noChangeArrowheads="1"/>
                          </pic:cNvPicPr>
                        </pic:nvPicPr>
                        <pic:blipFill>
                          <a:blip r:embed="rId123"/>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620"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590" w:type="dxa"/>
            <w:tcBorders>
              <w:left w:val="single" w:sz="8" w:space="0" w:color="5B5975"/>
              <w:bottom w:val="single" w:sz="8" w:space="0" w:color="5B5975"/>
              <w:right w:val="single" w:sz="8" w:space="0" w:color="5B5975"/>
            </w:tcBorders>
            <w:shd w:fill="auto" w:val="clear"/>
            <w:tcMar>
              <w:left w:w="80" w:type="dxa"/>
              <w:right w:w="80" w:type="dxa"/>
            </w:tcMar>
            <w:vAlign w:val="center"/>
          </w:tcPr>
          <w:p>
            <w:pPr>
              <w:pStyle w:val="TableContents"/>
              <w:spacing w:before="0" w:after="283"/>
              <w:rPr>
                <w:sz w:val="4"/>
                <w:szCs w:val="4"/>
              </w:rPr>
            </w:pPr>
            <w:r>
              <w:rPr>
                <w:sz w:val="4"/>
                <w:szCs w:val="4"/>
              </w:rPr>
            </w:r>
          </w:p>
        </w:tc>
      </w:tr>
      <w:tr>
        <w:trPr/>
        <w:tc>
          <w:tcPr>
            <w:tcW w:w="645" w:type="dxa"/>
            <w:tcBorders>
              <w:bottom w:val="single" w:sz="8" w:space="0" w:color="5B5975"/>
            </w:tcBorders>
            <w:shd w:fill="auto" w:val="clear"/>
            <w:vAlign w:val="center"/>
          </w:tcPr>
          <w:p>
            <w:pPr>
              <w:pStyle w:val="TableContents"/>
              <w:spacing w:before="0" w:after="283"/>
              <w:jc w:val="left"/>
              <w:rPr/>
            </w:pPr>
            <w:r>
              <w:rPr/>
              <w:drawing>
                <wp:inline distT="0" distB="0" distL="0" distR="0">
                  <wp:extent cx="400050" cy="381000"/>
                  <wp:effectExtent l="0" t="0" r="0" b="0"/>
                  <wp:docPr id="14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3" descr=""/>
                          <pic:cNvPicPr>
                            <a:picLocks noChangeAspect="1" noChangeArrowheads="1"/>
                          </pic:cNvPicPr>
                        </pic:nvPicPr>
                        <pic:blipFill>
                          <a:blip r:embed="rId124"/>
                          <a:srcRect l="-2520" t="-2646" r="-2520" b="-2646"/>
                          <a:stretch>
                            <a:fillRect/>
                          </a:stretch>
                        </pic:blipFill>
                        <pic:spPr bwMode="auto">
                          <a:xfrm>
                            <a:off x="0" y="0"/>
                            <a:ext cx="400050" cy="381000"/>
                          </a:xfrm>
                          <a:prstGeom prst="rect">
                            <a:avLst/>
                          </a:prstGeom>
                          <a:ln w="635">
                            <a:solidFill>
                              <a:srgbClr val="000000"/>
                            </a:solidFill>
                          </a:ln>
                        </pic:spPr>
                      </pic:pic>
                    </a:graphicData>
                  </a:graphic>
                </wp:inline>
              </w:drawing>
            </w:r>
          </w:p>
        </w:tc>
        <w:tc>
          <w:tcPr>
            <w:tcW w:w="332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REIT/Real Estate Industry</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46"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4" descr=""/>
                          <pic:cNvPicPr>
                            <a:picLocks noChangeAspect="1" noChangeArrowheads="1"/>
                          </pic:cNvPicPr>
                        </pic:nvPicPr>
                        <pic:blipFill>
                          <a:blip r:embed="rId125"/>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47"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5" descr=""/>
                          <pic:cNvPicPr>
                            <a:picLocks noChangeAspect="1" noChangeArrowheads="1"/>
                          </pic:cNvPicPr>
                        </pic:nvPicPr>
                        <pic:blipFill>
                          <a:blip r:embed="rId126"/>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50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48"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6" descr=""/>
                          <pic:cNvPicPr>
                            <a:picLocks noChangeAspect="1" noChangeArrowheads="1"/>
                          </pic:cNvPicPr>
                        </pic:nvPicPr>
                        <pic:blipFill>
                          <a:blip r:embed="rId127"/>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7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49"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27" descr=""/>
                          <pic:cNvPicPr>
                            <a:picLocks noChangeAspect="1" noChangeArrowheads="1"/>
                          </pic:cNvPicPr>
                        </pic:nvPicPr>
                        <pic:blipFill>
                          <a:blip r:embed="rId128"/>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3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5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28" descr=""/>
                          <pic:cNvPicPr>
                            <a:picLocks noChangeAspect="1" noChangeArrowheads="1"/>
                          </pic:cNvPicPr>
                        </pic:nvPicPr>
                        <pic:blipFill>
                          <a:blip r:embed="rId129"/>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62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51"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29" descr=""/>
                          <pic:cNvPicPr>
                            <a:picLocks noChangeAspect="1" noChangeArrowheads="1"/>
                          </pic:cNvPicPr>
                        </pic:nvPicPr>
                        <pic:blipFill>
                          <a:blip r:embed="rId130"/>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90" w:type="dxa"/>
            <w:tcBorders>
              <w:left w:val="single" w:sz="8" w:space="0" w:color="5B5975"/>
              <w:bottom w:val="single" w:sz="8" w:space="0" w:color="5B5975"/>
              <w:right w:val="single" w:sz="8" w:space="0" w:color="5B5975"/>
            </w:tcBorders>
            <w:shd w:fill="auto" w:val="clear"/>
            <w:tcMar>
              <w:left w:w="80" w:type="dxa"/>
              <w:right w:w="80" w:type="dxa"/>
            </w:tcMar>
            <w:vAlign w:val="center"/>
          </w:tcPr>
          <w:p>
            <w:pPr>
              <w:pStyle w:val="TableContents"/>
              <w:spacing w:before="0" w:after="283"/>
              <w:jc w:val="center"/>
              <w:rPr/>
            </w:pPr>
            <w:r>
              <w:rPr/>
              <w:drawing>
                <wp:inline distT="0" distB="0" distL="0" distR="0">
                  <wp:extent cx="190500" cy="152400"/>
                  <wp:effectExtent l="0" t="0" r="0" b="0"/>
                  <wp:docPr id="152"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0" descr=""/>
                          <pic:cNvPicPr>
                            <a:picLocks noChangeAspect="1" noChangeArrowheads="1"/>
                          </pic:cNvPicPr>
                        </pic:nvPicPr>
                        <pic:blipFill>
                          <a:blip r:embed="rId131"/>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r>
      <w:tr>
        <w:trPr/>
        <w:tc>
          <w:tcPr>
            <w:tcW w:w="645" w:type="dxa"/>
            <w:tcBorders>
              <w:bottom w:val="single" w:sz="8" w:space="0" w:color="5B5975"/>
            </w:tcBorders>
            <w:shd w:fill="auto" w:val="clear"/>
            <w:vAlign w:val="center"/>
          </w:tcPr>
          <w:p>
            <w:pPr>
              <w:pStyle w:val="TableContents"/>
              <w:spacing w:before="0" w:after="283"/>
              <w:jc w:val="left"/>
              <w:rPr/>
            </w:pPr>
            <w:r>
              <w:rPr/>
              <w:drawing>
                <wp:inline distT="0" distB="0" distL="0" distR="0">
                  <wp:extent cx="390525" cy="381000"/>
                  <wp:effectExtent l="0" t="0" r="0" b="0"/>
                  <wp:docPr id="153"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1" descr=""/>
                          <pic:cNvPicPr>
                            <a:picLocks noChangeAspect="1" noChangeArrowheads="1"/>
                          </pic:cNvPicPr>
                        </pic:nvPicPr>
                        <pic:blipFill>
                          <a:blip r:embed="rId132"/>
                          <a:srcRect l="-2580" t="-2646" r="-2580" b="-2646"/>
                          <a:stretch>
                            <a:fillRect/>
                          </a:stretch>
                        </pic:blipFill>
                        <pic:spPr bwMode="auto">
                          <a:xfrm>
                            <a:off x="0" y="0"/>
                            <a:ext cx="390525" cy="381000"/>
                          </a:xfrm>
                          <a:prstGeom prst="rect">
                            <a:avLst/>
                          </a:prstGeom>
                          <a:ln w="635">
                            <a:solidFill>
                              <a:srgbClr val="000000"/>
                            </a:solidFill>
                          </a:ln>
                        </pic:spPr>
                      </pic:pic>
                    </a:graphicData>
                  </a:graphic>
                </wp:inline>
              </w:drawing>
            </w:r>
          </w:p>
        </w:tc>
        <w:tc>
          <w:tcPr>
            <w:tcW w:w="332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Experience Over Several</w:t>
              <w:br/>
              <w:t>Business Cycles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54"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2" descr=""/>
                          <pic:cNvPicPr>
                            <a:picLocks noChangeAspect="1" noChangeArrowheads="1"/>
                          </pic:cNvPicPr>
                        </pic:nvPicPr>
                        <pic:blipFill>
                          <a:blip r:embed="rId133"/>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5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3" descr=""/>
                          <pic:cNvPicPr>
                            <a:picLocks noChangeAspect="1" noChangeArrowheads="1"/>
                          </pic:cNvPicPr>
                        </pic:nvPicPr>
                        <pic:blipFill>
                          <a:blip r:embed="rId134"/>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56"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4" descr=""/>
                          <pic:cNvPicPr>
                            <a:picLocks noChangeAspect="1" noChangeArrowheads="1"/>
                          </pic:cNvPicPr>
                        </pic:nvPicPr>
                        <pic:blipFill>
                          <a:blip r:embed="rId135"/>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0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57"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5" descr=""/>
                          <pic:cNvPicPr>
                            <a:picLocks noChangeAspect="1" noChangeArrowheads="1"/>
                          </pic:cNvPicPr>
                        </pic:nvPicPr>
                        <pic:blipFill>
                          <a:blip r:embed="rId136"/>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7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58"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6" descr=""/>
                          <pic:cNvPicPr>
                            <a:picLocks noChangeAspect="1" noChangeArrowheads="1"/>
                          </pic:cNvPicPr>
                        </pic:nvPicPr>
                        <pic:blipFill>
                          <a:blip r:embed="rId137"/>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3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59"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37" descr=""/>
                          <pic:cNvPicPr>
                            <a:picLocks noChangeAspect="1" noChangeArrowheads="1"/>
                          </pic:cNvPicPr>
                        </pic:nvPicPr>
                        <pic:blipFill>
                          <a:blip r:embed="rId138"/>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62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60"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38" descr=""/>
                          <pic:cNvPicPr>
                            <a:picLocks noChangeAspect="1" noChangeArrowheads="1"/>
                          </pic:cNvPicPr>
                        </pic:nvPicPr>
                        <pic:blipFill>
                          <a:blip r:embed="rId139"/>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90" w:type="dxa"/>
            <w:tcBorders>
              <w:left w:val="single" w:sz="8" w:space="0" w:color="5B5975"/>
              <w:bottom w:val="single" w:sz="8" w:space="0" w:color="5B5975"/>
              <w:right w:val="single" w:sz="8" w:space="0" w:color="5B5975"/>
            </w:tcBorders>
            <w:shd w:fill="auto" w:val="clear"/>
            <w:tcMar>
              <w:left w:w="80" w:type="dxa"/>
              <w:right w:w="80" w:type="dxa"/>
            </w:tcMar>
            <w:vAlign w:val="center"/>
          </w:tcPr>
          <w:p>
            <w:pPr>
              <w:pStyle w:val="TableContents"/>
              <w:spacing w:before="0" w:after="283"/>
              <w:jc w:val="center"/>
              <w:rPr/>
            </w:pPr>
            <w:r>
              <w:rPr/>
              <w:drawing>
                <wp:inline distT="0" distB="0" distL="0" distR="0">
                  <wp:extent cx="190500" cy="152400"/>
                  <wp:effectExtent l="0" t="0" r="0" b="0"/>
                  <wp:docPr id="161"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39" descr=""/>
                          <pic:cNvPicPr>
                            <a:picLocks noChangeAspect="1" noChangeArrowheads="1"/>
                          </pic:cNvPicPr>
                        </pic:nvPicPr>
                        <pic:blipFill>
                          <a:blip r:embed="rId140"/>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r>
      <w:tr>
        <w:trPr/>
        <w:tc>
          <w:tcPr>
            <w:tcW w:w="645" w:type="dxa"/>
            <w:tcBorders>
              <w:bottom w:val="single" w:sz="8" w:space="0" w:color="5B5975"/>
            </w:tcBorders>
            <w:shd w:fill="auto" w:val="clear"/>
            <w:vAlign w:val="center"/>
          </w:tcPr>
          <w:p>
            <w:pPr>
              <w:pStyle w:val="TableContents"/>
              <w:spacing w:before="0" w:after="283"/>
              <w:jc w:val="left"/>
              <w:rPr/>
            </w:pPr>
            <w:r>
              <w:rPr/>
              <w:drawing>
                <wp:inline distT="0" distB="0" distL="0" distR="0">
                  <wp:extent cx="390525" cy="381000"/>
                  <wp:effectExtent l="0" t="0" r="0" b="0"/>
                  <wp:docPr id="162"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0" descr=""/>
                          <pic:cNvPicPr>
                            <a:picLocks noChangeAspect="1" noChangeArrowheads="1"/>
                          </pic:cNvPicPr>
                        </pic:nvPicPr>
                        <pic:blipFill>
                          <a:blip r:embed="rId141"/>
                          <a:srcRect l="-2580" t="-2646" r="-2580" b="-2646"/>
                          <a:stretch>
                            <a:fillRect/>
                          </a:stretch>
                        </pic:blipFill>
                        <pic:spPr bwMode="auto">
                          <a:xfrm>
                            <a:off x="0" y="0"/>
                            <a:ext cx="390525" cy="381000"/>
                          </a:xfrm>
                          <a:prstGeom prst="rect">
                            <a:avLst/>
                          </a:prstGeom>
                          <a:ln w="635">
                            <a:solidFill>
                              <a:srgbClr val="000000"/>
                            </a:solidFill>
                          </a:ln>
                        </pic:spPr>
                      </pic:pic>
                    </a:graphicData>
                  </a:graphic>
                </wp:inline>
              </w:drawing>
            </w:r>
          </w:p>
        </w:tc>
        <w:tc>
          <w:tcPr>
            <w:tcW w:w="332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Talent Management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63"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1" descr=""/>
                          <pic:cNvPicPr>
                            <a:picLocks noChangeAspect="1" noChangeArrowheads="1"/>
                          </pic:cNvPicPr>
                        </pic:nvPicPr>
                        <pic:blipFill>
                          <a:blip r:embed="rId142"/>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50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64"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2" descr=""/>
                          <pic:cNvPicPr>
                            <a:picLocks noChangeAspect="1" noChangeArrowheads="1"/>
                          </pic:cNvPicPr>
                        </pic:nvPicPr>
                        <pic:blipFill>
                          <a:blip r:embed="rId143"/>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7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65"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3" descr=""/>
                          <pic:cNvPicPr>
                            <a:picLocks noChangeAspect="1" noChangeArrowheads="1"/>
                          </pic:cNvPicPr>
                        </pic:nvPicPr>
                        <pic:blipFill>
                          <a:blip r:embed="rId144"/>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3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66"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4" descr=""/>
                          <pic:cNvPicPr>
                            <a:picLocks noChangeAspect="1" noChangeArrowheads="1"/>
                          </pic:cNvPicPr>
                        </pic:nvPicPr>
                        <pic:blipFill>
                          <a:blip r:embed="rId145"/>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62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67"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5" descr=""/>
                          <pic:cNvPicPr>
                            <a:picLocks noChangeAspect="1" noChangeArrowheads="1"/>
                          </pic:cNvPicPr>
                        </pic:nvPicPr>
                        <pic:blipFill>
                          <a:blip r:embed="rId146"/>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90" w:type="dxa"/>
            <w:tcBorders>
              <w:left w:val="single" w:sz="8" w:space="0" w:color="5B5975"/>
              <w:bottom w:val="single" w:sz="8" w:space="0" w:color="5B5975"/>
              <w:right w:val="single" w:sz="8" w:space="0" w:color="5B5975"/>
            </w:tcBorders>
            <w:shd w:fill="auto" w:val="clear"/>
            <w:tcMar>
              <w:left w:w="80" w:type="dxa"/>
              <w:right w:w="80" w:type="dxa"/>
            </w:tcMar>
            <w:vAlign w:val="center"/>
          </w:tcPr>
          <w:p>
            <w:pPr>
              <w:pStyle w:val="TableContents"/>
              <w:spacing w:before="0" w:after="283"/>
              <w:jc w:val="center"/>
              <w:rPr/>
            </w:pPr>
            <w:r>
              <w:rPr/>
              <w:drawing>
                <wp:inline distT="0" distB="0" distL="0" distR="0">
                  <wp:extent cx="190500" cy="152400"/>
                  <wp:effectExtent l="0" t="0" r="0" b="0"/>
                  <wp:docPr id="168"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6" descr=""/>
                          <pic:cNvPicPr>
                            <a:picLocks noChangeAspect="1" noChangeArrowheads="1"/>
                          </pic:cNvPicPr>
                        </pic:nvPicPr>
                        <pic:blipFill>
                          <a:blip r:embed="rId147"/>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r>
      <w:tr>
        <w:trPr/>
        <w:tc>
          <w:tcPr>
            <w:tcW w:w="645" w:type="dxa"/>
            <w:tcBorders>
              <w:bottom w:val="single" w:sz="8" w:space="0" w:color="5B5975"/>
            </w:tcBorders>
            <w:shd w:fill="auto" w:val="clear"/>
            <w:vAlign w:val="center"/>
          </w:tcPr>
          <w:p>
            <w:pPr>
              <w:pStyle w:val="TableContents"/>
              <w:spacing w:before="0" w:after="283"/>
              <w:jc w:val="left"/>
              <w:rPr/>
            </w:pPr>
            <w:r>
              <w:rPr/>
              <w:drawing>
                <wp:inline distT="0" distB="0" distL="0" distR="0">
                  <wp:extent cx="342900" cy="266700"/>
                  <wp:effectExtent l="0" t="0" r="0" b="0"/>
                  <wp:docPr id="169"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47" descr=""/>
                          <pic:cNvPicPr>
                            <a:picLocks noChangeAspect="1" noChangeArrowheads="1"/>
                          </pic:cNvPicPr>
                        </pic:nvPicPr>
                        <pic:blipFill>
                          <a:blip r:embed="rId148"/>
                          <a:srcRect l="-2938" t="-3778" r="-2938" b="-3778"/>
                          <a:stretch>
                            <a:fillRect/>
                          </a:stretch>
                        </pic:blipFill>
                        <pic:spPr bwMode="auto">
                          <a:xfrm>
                            <a:off x="0" y="0"/>
                            <a:ext cx="342900" cy="266700"/>
                          </a:xfrm>
                          <a:prstGeom prst="rect">
                            <a:avLst/>
                          </a:prstGeom>
                          <a:ln w="635">
                            <a:solidFill>
                              <a:srgbClr val="000000"/>
                            </a:solidFill>
                          </a:ln>
                        </pic:spPr>
                      </pic:pic>
                    </a:graphicData>
                  </a:graphic>
                </wp:inline>
              </w:drawing>
            </w:r>
          </w:p>
        </w:tc>
        <w:tc>
          <w:tcPr>
            <w:tcW w:w="332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Academia</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70"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48" descr=""/>
                          <pic:cNvPicPr>
                            <a:picLocks noChangeAspect="1" noChangeArrowheads="1"/>
                          </pic:cNvPicPr>
                        </pic:nvPicPr>
                        <pic:blipFill>
                          <a:blip r:embed="rId149"/>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71"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49" descr=""/>
                          <pic:cNvPicPr>
                            <a:picLocks noChangeAspect="1" noChangeArrowheads="1"/>
                          </pic:cNvPicPr>
                        </pic:nvPicPr>
                        <pic:blipFill>
                          <a:blip r:embed="rId150"/>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72"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0" descr=""/>
                          <pic:cNvPicPr>
                            <a:picLocks noChangeAspect="1" noChangeArrowheads="1"/>
                          </pic:cNvPicPr>
                        </pic:nvPicPr>
                        <pic:blipFill>
                          <a:blip r:embed="rId151"/>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00"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470"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53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73"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1" descr=""/>
                          <pic:cNvPicPr>
                            <a:picLocks noChangeAspect="1" noChangeArrowheads="1"/>
                          </pic:cNvPicPr>
                        </pic:nvPicPr>
                        <pic:blipFill>
                          <a:blip r:embed="rId152"/>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620"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590" w:type="dxa"/>
            <w:tcBorders>
              <w:left w:val="single" w:sz="8" w:space="0" w:color="5B5975"/>
              <w:bottom w:val="single" w:sz="8" w:space="0" w:color="5B5975"/>
              <w:right w:val="single" w:sz="8" w:space="0" w:color="5B5975"/>
            </w:tcBorders>
            <w:shd w:fill="auto" w:val="clear"/>
            <w:tcMar>
              <w:left w:w="80" w:type="dxa"/>
              <w:right w:w="80" w:type="dxa"/>
            </w:tcMar>
            <w:vAlign w:val="center"/>
          </w:tcPr>
          <w:p>
            <w:pPr>
              <w:pStyle w:val="TableContents"/>
              <w:spacing w:before="0" w:after="283"/>
              <w:rPr>
                <w:sz w:val="4"/>
                <w:szCs w:val="4"/>
              </w:rPr>
            </w:pPr>
            <w:r>
              <w:rPr>
                <w:sz w:val="4"/>
                <w:szCs w:val="4"/>
              </w:rPr>
            </w:r>
          </w:p>
        </w:tc>
      </w:tr>
      <w:tr>
        <w:trPr/>
        <w:tc>
          <w:tcPr>
            <w:tcW w:w="645" w:type="dxa"/>
            <w:tcBorders>
              <w:bottom w:val="single" w:sz="8" w:space="0" w:color="5B5975"/>
            </w:tcBorders>
            <w:shd w:fill="auto" w:val="clear"/>
            <w:vAlign w:val="center"/>
          </w:tcPr>
          <w:p>
            <w:pPr>
              <w:pStyle w:val="TableContents"/>
              <w:spacing w:before="0" w:after="283"/>
              <w:jc w:val="left"/>
              <w:rPr/>
            </w:pPr>
            <w:r>
              <w:rPr/>
              <w:drawing>
                <wp:inline distT="0" distB="0" distL="0" distR="0">
                  <wp:extent cx="381000" cy="400050"/>
                  <wp:effectExtent l="0" t="0" r="0" b="0"/>
                  <wp:docPr id="174"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2" descr=""/>
                          <pic:cNvPicPr>
                            <a:picLocks noChangeAspect="1" noChangeArrowheads="1"/>
                          </pic:cNvPicPr>
                        </pic:nvPicPr>
                        <pic:blipFill>
                          <a:blip r:embed="rId153"/>
                          <a:srcRect l="-2646" t="-2520" r="-2646" b="-2520"/>
                          <a:stretch>
                            <a:fillRect/>
                          </a:stretch>
                        </pic:blipFill>
                        <pic:spPr bwMode="auto">
                          <a:xfrm>
                            <a:off x="0" y="0"/>
                            <a:ext cx="381000" cy="400050"/>
                          </a:xfrm>
                          <a:prstGeom prst="rect">
                            <a:avLst/>
                          </a:prstGeom>
                          <a:ln w="635">
                            <a:solidFill>
                              <a:srgbClr val="000000"/>
                            </a:solidFill>
                          </a:ln>
                        </pic:spPr>
                      </pic:pic>
                    </a:graphicData>
                  </a:graphic>
                </wp:inline>
              </w:drawing>
            </w:r>
          </w:p>
        </w:tc>
        <w:tc>
          <w:tcPr>
            <w:tcW w:w="332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Accounting</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75"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3" descr=""/>
                          <pic:cNvPicPr>
                            <a:picLocks noChangeAspect="1" noChangeArrowheads="1"/>
                          </pic:cNvPicPr>
                        </pic:nvPicPr>
                        <pic:blipFill>
                          <a:blip r:embed="rId154"/>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76"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4" descr=""/>
                          <pic:cNvPicPr>
                            <a:picLocks noChangeAspect="1" noChangeArrowheads="1"/>
                          </pic:cNvPicPr>
                        </pic:nvPicPr>
                        <pic:blipFill>
                          <a:blip r:embed="rId155"/>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0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77"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5" descr=""/>
                          <pic:cNvPicPr>
                            <a:picLocks noChangeAspect="1" noChangeArrowheads="1"/>
                          </pic:cNvPicPr>
                        </pic:nvPicPr>
                        <pic:blipFill>
                          <a:blip r:embed="rId156"/>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70"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53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78"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6" descr=""/>
                          <pic:cNvPicPr>
                            <a:picLocks noChangeAspect="1" noChangeArrowheads="1"/>
                          </pic:cNvPicPr>
                        </pic:nvPicPr>
                        <pic:blipFill>
                          <a:blip r:embed="rId157"/>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620"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590" w:type="dxa"/>
            <w:tcBorders>
              <w:left w:val="single" w:sz="8" w:space="0" w:color="5B5975"/>
              <w:bottom w:val="single" w:sz="8" w:space="0" w:color="5B5975"/>
              <w:right w:val="single" w:sz="8" w:space="0" w:color="5B5975"/>
            </w:tcBorders>
            <w:shd w:fill="auto" w:val="clear"/>
            <w:tcMar>
              <w:left w:w="80" w:type="dxa"/>
              <w:right w:w="80" w:type="dxa"/>
            </w:tcMar>
            <w:vAlign w:val="center"/>
          </w:tcPr>
          <w:p>
            <w:pPr>
              <w:pStyle w:val="TableContents"/>
              <w:spacing w:before="0" w:after="283"/>
              <w:rPr>
                <w:sz w:val="4"/>
                <w:szCs w:val="4"/>
              </w:rPr>
            </w:pPr>
            <w:r>
              <w:rPr>
                <w:sz w:val="4"/>
                <w:szCs w:val="4"/>
              </w:rPr>
            </w:r>
          </w:p>
        </w:tc>
      </w:tr>
      <w:tr>
        <w:trPr/>
        <w:tc>
          <w:tcPr>
            <w:tcW w:w="645" w:type="dxa"/>
            <w:tcBorders>
              <w:bottom w:val="single" w:sz="8" w:space="0" w:color="5B5975"/>
            </w:tcBorders>
            <w:shd w:fill="auto" w:val="clear"/>
            <w:vAlign w:val="center"/>
          </w:tcPr>
          <w:p>
            <w:pPr>
              <w:pStyle w:val="TableContents"/>
              <w:spacing w:before="0" w:after="283"/>
              <w:jc w:val="left"/>
              <w:rPr/>
            </w:pPr>
            <w:r>
              <w:rPr/>
              <w:drawing>
                <wp:inline distT="0" distB="0" distL="0" distR="0">
                  <wp:extent cx="371475" cy="400050"/>
                  <wp:effectExtent l="0" t="0" r="0" b="0"/>
                  <wp:docPr id="179"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57" descr=""/>
                          <pic:cNvPicPr>
                            <a:picLocks noChangeAspect="1" noChangeArrowheads="1"/>
                          </pic:cNvPicPr>
                        </pic:nvPicPr>
                        <pic:blipFill>
                          <a:blip r:embed="rId158"/>
                          <a:srcRect l="-2713" t="-2520" r="-2713" b="-2520"/>
                          <a:stretch>
                            <a:fillRect/>
                          </a:stretch>
                        </pic:blipFill>
                        <pic:spPr bwMode="auto">
                          <a:xfrm>
                            <a:off x="0" y="0"/>
                            <a:ext cx="371475" cy="400050"/>
                          </a:xfrm>
                          <a:prstGeom prst="rect">
                            <a:avLst/>
                          </a:prstGeom>
                          <a:ln w="635">
                            <a:solidFill>
                              <a:srgbClr val="000000"/>
                            </a:solidFill>
                          </a:ln>
                        </pic:spPr>
                      </pic:pic>
                    </a:graphicData>
                  </a:graphic>
                </wp:inline>
              </w:drawing>
            </w:r>
          </w:p>
        </w:tc>
        <w:tc>
          <w:tcPr>
            <w:tcW w:w="332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Government/Regulatory Experience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80"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58" descr=""/>
                          <pic:cNvPicPr>
                            <a:picLocks noChangeAspect="1" noChangeArrowheads="1"/>
                          </pic:cNvPicPr>
                        </pic:nvPicPr>
                        <pic:blipFill>
                          <a:blip r:embed="rId159"/>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81"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59" descr=""/>
                          <pic:cNvPicPr>
                            <a:picLocks noChangeAspect="1" noChangeArrowheads="1"/>
                          </pic:cNvPicPr>
                        </pic:nvPicPr>
                        <pic:blipFill>
                          <a:blip r:embed="rId160"/>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500"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47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82"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60" descr=""/>
                          <pic:cNvPicPr>
                            <a:picLocks noChangeAspect="1" noChangeArrowheads="1"/>
                          </pic:cNvPicPr>
                        </pic:nvPicPr>
                        <pic:blipFill>
                          <a:blip r:embed="rId161"/>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30"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62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83"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1" descr=""/>
                          <pic:cNvPicPr>
                            <a:picLocks noChangeAspect="1" noChangeArrowheads="1"/>
                          </pic:cNvPicPr>
                        </pic:nvPicPr>
                        <pic:blipFill>
                          <a:blip r:embed="rId162"/>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590" w:type="dxa"/>
            <w:tcBorders>
              <w:left w:val="single" w:sz="8" w:space="0" w:color="5B5975"/>
              <w:bottom w:val="single" w:sz="8" w:space="0" w:color="5B5975"/>
              <w:right w:val="single" w:sz="8" w:space="0" w:color="5B5975"/>
            </w:tcBorders>
            <w:shd w:fill="auto" w:val="clear"/>
            <w:tcMar>
              <w:left w:w="80" w:type="dxa"/>
              <w:right w:w="80" w:type="dxa"/>
            </w:tcMar>
            <w:vAlign w:val="center"/>
          </w:tcPr>
          <w:p>
            <w:pPr>
              <w:pStyle w:val="TableContents"/>
              <w:spacing w:before="0" w:after="283"/>
              <w:jc w:val="center"/>
              <w:rPr/>
            </w:pPr>
            <w:r>
              <w:rPr/>
              <w:drawing>
                <wp:inline distT="0" distB="0" distL="0" distR="0">
                  <wp:extent cx="190500" cy="152400"/>
                  <wp:effectExtent l="0" t="0" r="0" b="0"/>
                  <wp:docPr id="184"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2" descr=""/>
                          <pic:cNvPicPr>
                            <a:picLocks noChangeAspect="1" noChangeArrowheads="1"/>
                          </pic:cNvPicPr>
                        </pic:nvPicPr>
                        <pic:blipFill>
                          <a:blip r:embed="rId163"/>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r>
      <w:tr>
        <w:trPr/>
        <w:tc>
          <w:tcPr>
            <w:tcW w:w="645" w:type="dxa"/>
            <w:tcBorders>
              <w:bottom w:val="single" w:sz="8" w:space="0" w:color="5B5975"/>
            </w:tcBorders>
            <w:shd w:fill="auto" w:val="clear"/>
            <w:vAlign w:val="center"/>
          </w:tcPr>
          <w:p>
            <w:pPr>
              <w:pStyle w:val="TableContents"/>
              <w:spacing w:before="0" w:after="283"/>
              <w:jc w:val="left"/>
              <w:rPr/>
            </w:pPr>
            <w:r>
              <w:rPr/>
              <w:drawing>
                <wp:inline distT="0" distB="0" distL="0" distR="0">
                  <wp:extent cx="390525" cy="323850"/>
                  <wp:effectExtent l="0" t="0" r="0" b="0"/>
                  <wp:docPr id="185"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63" descr=""/>
                          <pic:cNvPicPr>
                            <a:picLocks noChangeAspect="1" noChangeArrowheads="1"/>
                          </pic:cNvPicPr>
                        </pic:nvPicPr>
                        <pic:blipFill>
                          <a:blip r:embed="rId164"/>
                          <a:srcRect l="-2580" t="-3111" r="-2580" b="-3111"/>
                          <a:stretch>
                            <a:fillRect/>
                          </a:stretch>
                        </pic:blipFill>
                        <pic:spPr bwMode="auto">
                          <a:xfrm>
                            <a:off x="0" y="0"/>
                            <a:ext cx="390525" cy="323850"/>
                          </a:xfrm>
                          <a:prstGeom prst="rect">
                            <a:avLst/>
                          </a:prstGeom>
                          <a:ln w="635">
                            <a:solidFill>
                              <a:srgbClr val="000000"/>
                            </a:solidFill>
                          </a:ln>
                        </pic:spPr>
                      </pic:pic>
                    </a:graphicData>
                  </a:graphic>
                </wp:inline>
              </w:drawing>
            </w:r>
          </w:p>
        </w:tc>
        <w:tc>
          <w:tcPr>
            <w:tcW w:w="332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Technology/Cybersecurity</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86"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4" descr=""/>
                          <pic:cNvPicPr>
                            <a:picLocks noChangeAspect="1" noChangeArrowheads="1"/>
                          </pic:cNvPicPr>
                        </pic:nvPicPr>
                        <pic:blipFill>
                          <a:blip r:embed="rId165"/>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87"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5" descr=""/>
                          <pic:cNvPicPr>
                            <a:picLocks noChangeAspect="1" noChangeArrowheads="1"/>
                          </pic:cNvPicPr>
                        </pic:nvPicPr>
                        <pic:blipFill>
                          <a:blip r:embed="rId166"/>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725"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50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88"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66" descr=""/>
                          <pic:cNvPicPr>
                            <a:picLocks noChangeAspect="1" noChangeArrowheads="1"/>
                          </pic:cNvPicPr>
                        </pic:nvPicPr>
                        <pic:blipFill>
                          <a:blip r:embed="rId167"/>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70"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530" w:type="dxa"/>
            <w:tcBorders>
              <w:left w:val="single" w:sz="8" w:space="0" w:color="5B5975"/>
              <w:bottom w:val="single" w:sz="8"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89"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7" descr=""/>
                          <pic:cNvPicPr>
                            <a:picLocks noChangeAspect="1" noChangeArrowheads="1"/>
                          </pic:cNvPicPr>
                        </pic:nvPicPr>
                        <pic:blipFill>
                          <a:blip r:embed="rId168"/>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620" w:type="dxa"/>
            <w:tcBorders>
              <w:left w:val="single" w:sz="8" w:space="0" w:color="5B5975"/>
              <w:bottom w:val="single" w:sz="8" w:space="0" w:color="5B5975"/>
            </w:tcBorders>
            <w:shd w:fill="auto" w:val="clear"/>
            <w:tcMar>
              <w:left w:w="80" w:type="dxa"/>
            </w:tcMar>
            <w:vAlign w:val="center"/>
          </w:tcPr>
          <w:p>
            <w:pPr>
              <w:pStyle w:val="TableContents"/>
              <w:spacing w:before="0" w:after="283"/>
              <w:rPr>
                <w:sz w:val="4"/>
                <w:szCs w:val="4"/>
              </w:rPr>
            </w:pPr>
            <w:r>
              <w:rPr>
                <w:sz w:val="4"/>
                <w:szCs w:val="4"/>
              </w:rPr>
            </w:r>
          </w:p>
        </w:tc>
        <w:tc>
          <w:tcPr>
            <w:tcW w:w="590" w:type="dxa"/>
            <w:tcBorders>
              <w:left w:val="single" w:sz="8" w:space="0" w:color="5B5975"/>
              <w:bottom w:val="single" w:sz="8" w:space="0" w:color="5B5975"/>
              <w:right w:val="single" w:sz="8" w:space="0" w:color="5B5975"/>
            </w:tcBorders>
            <w:shd w:fill="auto" w:val="clear"/>
            <w:tcMar>
              <w:left w:w="80" w:type="dxa"/>
              <w:right w:w="80" w:type="dxa"/>
            </w:tcMar>
            <w:vAlign w:val="center"/>
          </w:tcPr>
          <w:p>
            <w:pPr>
              <w:pStyle w:val="TableContents"/>
              <w:spacing w:before="0" w:after="283"/>
              <w:rPr>
                <w:sz w:val="4"/>
                <w:szCs w:val="4"/>
              </w:rPr>
            </w:pPr>
            <w:r>
              <w:rPr>
                <w:sz w:val="4"/>
                <w:szCs w:val="4"/>
              </w:rPr>
            </w:r>
          </w:p>
        </w:tc>
      </w:tr>
      <w:tr>
        <w:trPr/>
        <w:tc>
          <w:tcPr>
            <w:tcW w:w="645" w:type="dxa"/>
            <w:tcBorders>
              <w:bottom w:val="single" w:sz="12" w:space="0" w:color="5B5975"/>
            </w:tcBorders>
            <w:shd w:fill="auto" w:val="clear"/>
            <w:vAlign w:val="center"/>
          </w:tcPr>
          <w:p>
            <w:pPr>
              <w:pStyle w:val="TableContents"/>
              <w:spacing w:before="0" w:after="283"/>
              <w:jc w:val="left"/>
              <w:rPr/>
            </w:pPr>
            <w:r>
              <w:rPr/>
              <w:drawing>
                <wp:inline distT="0" distB="0" distL="0" distR="0">
                  <wp:extent cx="400050" cy="400050"/>
                  <wp:effectExtent l="0" t="0" r="0" b="0"/>
                  <wp:docPr id="190"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8" descr=""/>
                          <pic:cNvPicPr>
                            <a:picLocks noChangeAspect="1" noChangeArrowheads="1"/>
                          </pic:cNvPicPr>
                        </pic:nvPicPr>
                        <pic:blipFill>
                          <a:blip r:embed="rId169"/>
                          <a:srcRect l="-2520" t="-2520" r="-2520" b="-2520"/>
                          <a:stretch>
                            <a:fillRect/>
                          </a:stretch>
                        </pic:blipFill>
                        <pic:spPr bwMode="auto">
                          <a:xfrm>
                            <a:off x="0" y="0"/>
                            <a:ext cx="400050" cy="400050"/>
                          </a:xfrm>
                          <a:prstGeom prst="rect">
                            <a:avLst/>
                          </a:prstGeom>
                          <a:ln w="635">
                            <a:solidFill>
                              <a:srgbClr val="000000"/>
                            </a:solidFill>
                          </a:ln>
                        </pic:spPr>
                      </pic:pic>
                    </a:graphicData>
                  </a:graphic>
                </wp:inline>
              </w:drawing>
            </w:r>
          </w:p>
        </w:tc>
        <w:tc>
          <w:tcPr>
            <w:tcW w:w="3320" w:type="dxa"/>
            <w:tcBorders>
              <w:bottom w:val="single" w:sz="12" w:space="0" w:color="5B5975"/>
            </w:tcBorders>
            <w:shd w:fill="auto" w:val="clear"/>
            <w:vAlign w:val="center"/>
          </w:tcPr>
          <w:p>
            <w:pPr>
              <w:pStyle w:val="TableContents"/>
              <w:spacing w:before="0" w:after="283"/>
              <w:jc w:val="left"/>
              <w:rPr/>
            </w:pPr>
            <w:r>
              <w:rPr>
                <w:rStyle w:val="StrongEmphasis"/>
                <w:rFonts w:ascii="Arial" w:hAnsi="Arial"/>
                <w:color w:val="1A2343"/>
                <w:sz w:val="20"/>
              </w:rPr>
              <w:t>Diversity</w:t>
            </w:r>
          </w:p>
        </w:tc>
        <w:tc>
          <w:tcPr>
            <w:tcW w:w="300" w:type="dxa"/>
            <w:tcBorders>
              <w:bottom w:val="single" w:sz="12" w:space="0" w:color="5B5975"/>
            </w:tcBorders>
            <w:shd w:fill="auto" w:val="clear"/>
            <w:vAlign w:val="center"/>
          </w:tcPr>
          <w:p>
            <w:pPr>
              <w:pStyle w:val="TableContents"/>
              <w:spacing w:before="0" w:after="283"/>
              <w:rPr>
                <w:sz w:val="4"/>
                <w:szCs w:val="4"/>
              </w:rPr>
            </w:pPr>
            <w:r>
              <w:rPr>
                <w:sz w:val="4"/>
                <w:szCs w:val="4"/>
              </w:rPr>
            </w:r>
          </w:p>
        </w:tc>
        <w:tc>
          <w:tcPr>
            <w:tcW w:w="725" w:type="dxa"/>
            <w:tcBorders>
              <w:left w:val="single" w:sz="8" w:space="0" w:color="5B5975"/>
              <w:bottom w:val="single" w:sz="12" w:space="0" w:color="5B5975"/>
            </w:tcBorders>
            <w:shd w:fill="auto" w:val="clear"/>
            <w:tcMar>
              <w:left w:w="80" w:type="dxa"/>
            </w:tcMar>
            <w:vAlign w:val="center"/>
          </w:tcPr>
          <w:p>
            <w:pPr>
              <w:pStyle w:val="TableContents"/>
              <w:spacing w:before="0" w:after="283"/>
              <w:rPr>
                <w:sz w:val="4"/>
                <w:szCs w:val="4"/>
              </w:rPr>
            </w:pPr>
            <w:r>
              <w:rPr>
                <w:sz w:val="4"/>
                <w:szCs w:val="4"/>
              </w:rPr>
            </w:r>
          </w:p>
        </w:tc>
        <w:tc>
          <w:tcPr>
            <w:tcW w:w="485" w:type="dxa"/>
            <w:tcBorders>
              <w:left w:val="single" w:sz="8" w:space="0" w:color="5B5975"/>
              <w:bottom w:val="single" w:sz="12"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91"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69" descr=""/>
                          <pic:cNvPicPr>
                            <a:picLocks noChangeAspect="1" noChangeArrowheads="1"/>
                          </pic:cNvPicPr>
                        </pic:nvPicPr>
                        <pic:blipFill>
                          <a:blip r:embed="rId170"/>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85" w:type="dxa"/>
            <w:tcBorders>
              <w:left w:val="single" w:sz="8" w:space="0" w:color="5B5975"/>
              <w:bottom w:val="single" w:sz="12"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92"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70" descr=""/>
                          <pic:cNvPicPr>
                            <a:picLocks noChangeAspect="1" noChangeArrowheads="1"/>
                          </pic:cNvPicPr>
                        </pic:nvPicPr>
                        <pic:blipFill>
                          <a:blip r:embed="rId171"/>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725" w:type="dxa"/>
            <w:tcBorders>
              <w:left w:val="single" w:sz="8" w:space="0" w:color="5B5975"/>
              <w:bottom w:val="single" w:sz="12" w:space="0" w:color="5B5975"/>
            </w:tcBorders>
            <w:shd w:fill="auto" w:val="clear"/>
            <w:tcMar>
              <w:left w:w="80" w:type="dxa"/>
            </w:tcMar>
            <w:vAlign w:val="center"/>
          </w:tcPr>
          <w:p>
            <w:pPr>
              <w:pStyle w:val="TableContents"/>
              <w:spacing w:before="0" w:after="283"/>
              <w:rPr>
                <w:sz w:val="4"/>
                <w:szCs w:val="4"/>
              </w:rPr>
            </w:pPr>
            <w:r>
              <w:rPr>
                <w:sz w:val="4"/>
                <w:szCs w:val="4"/>
              </w:rPr>
            </w:r>
          </w:p>
        </w:tc>
        <w:tc>
          <w:tcPr>
            <w:tcW w:w="500" w:type="dxa"/>
            <w:tcBorders>
              <w:left w:val="single" w:sz="8" w:space="0" w:color="5B5975"/>
              <w:bottom w:val="single" w:sz="12" w:space="0" w:color="5B5975"/>
            </w:tcBorders>
            <w:shd w:fill="auto" w:val="clear"/>
            <w:tcMar>
              <w:left w:w="80" w:type="dxa"/>
            </w:tcMar>
            <w:vAlign w:val="center"/>
          </w:tcPr>
          <w:p>
            <w:pPr>
              <w:pStyle w:val="TableContents"/>
              <w:spacing w:before="0" w:after="283"/>
              <w:jc w:val="center"/>
              <w:rPr/>
            </w:pPr>
            <w:r>
              <w:rPr/>
              <w:drawing>
                <wp:inline distT="0" distB="0" distL="0" distR="0">
                  <wp:extent cx="190500" cy="152400"/>
                  <wp:effectExtent l="0" t="0" r="0" b="0"/>
                  <wp:docPr id="193"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71" descr=""/>
                          <pic:cNvPicPr>
                            <a:picLocks noChangeAspect="1" noChangeArrowheads="1"/>
                          </pic:cNvPicPr>
                        </pic:nvPicPr>
                        <pic:blipFill>
                          <a:blip r:embed="rId172"/>
                          <a:srcRect l="-5293" t="-6619" r="-5293" b="-6619"/>
                          <a:stretch>
                            <a:fillRect/>
                          </a:stretch>
                        </pic:blipFill>
                        <pic:spPr bwMode="auto">
                          <a:xfrm>
                            <a:off x="0" y="0"/>
                            <a:ext cx="190500" cy="152400"/>
                          </a:xfrm>
                          <a:prstGeom prst="rect">
                            <a:avLst/>
                          </a:prstGeom>
                          <a:ln w="635">
                            <a:solidFill>
                              <a:srgbClr val="000000"/>
                            </a:solidFill>
                          </a:ln>
                        </pic:spPr>
                      </pic:pic>
                    </a:graphicData>
                  </a:graphic>
                </wp:inline>
              </w:drawing>
            </w:r>
          </w:p>
        </w:tc>
        <w:tc>
          <w:tcPr>
            <w:tcW w:w="470" w:type="dxa"/>
            <w:tcBorders>
              <w:left w:val="single" w:sz="8" w:space="0" w:color="5B5975"/>
              <w:bottom w:val="single" w:sz="12" w:space="0" w:color="5B5975"/>
            </w:tcBorders>
            <w:shd w:fill="auto" w:val="clear"/>
            <w:tcMar>
              <w:left w:w="80" w:type="dxa"/>
            </w:tcMar>
            <w:vAlign w:val="center"/>
          </w:tcPr>
          <w:p>
            <w:pPr>
              <w:pStyle w:val="TableContents"/>
              <w:spacing w:before="0" w:after="283"/>
              <w:rPr>
                <w:sz w:val="4"/>
                <w:szCs w:val="4"/>
              </w:rPr>
            </w:pPr>
            <w:r>
              <w:rPr>
                <w:sz w:val="4"/>
                <w:szCs w:val="4"/>
              </w:rPr>
            </w:r>
          </w:p>
        </w:tc>
        <w:tc>
          <w:tcPr>
            <w:tcW w:w="530" w:type="dxa"/>
            <w:tcBorders>
              <w:left w:val="single" w:sz="8" w:space="0" w:color="5B5975"/>
              <w:bottom w:val="single" w:sz="12" w:space="0" w:color="5B5975"/>
            </w:tcBorders>
            <w:shd w:fill="auto" w:val="clear"/>
            <w:tcMar>
              <w:left w:w="80" w:type="dxa"/>
            </w:tcMar>
            <w:vAlign w:val="center"/>
          </w:tcPr>
          <w:p>
            <w:pPr>
              <w:pStyle w:val="TableContents"/>
              <w:spacing w:before="0" w:after="283"/>
              <w:rPr>
                <w:sz w:val="4"/>
                <w:szCs w:val="4"/>
              </w:rPr>
            </w:pPr>
            <w:r>
              <w:rPr>
                <w:sz w:val="4"/>
                <w:szCs w:val="4"/>
              </w:rPr>
            </w:r>
          </w:p>
        </w:tc>
        <w:tc>
          <w:tcPr>
            <w:tcW w:w="620" w:type="dxa"/>
            <w:tcBorders>
              <w:left w:val="single" w:sz="8" w:space="0" w:color="5B5975"/>
              <w:bottom w:val="single" w:sz="12" w:space="0" w:color="5B5975"/>
            </w:tcBorders>
            <w:shd w:fill="auto" w:val="clear"/>
            <w:tcMar>
              <w:left w:w="80" w:type="dxa"/>
            </w:tcMar>
            <w:vAlign w:val="center"/>
          </w:tcPr>
          <w:p>
            <w:pPr>
              <w:pStyle w:val="TableContents"/>
              <w:spacing w:before="0" w:after="283"/>
              <w:rPr>
                <w:sz w:val="4"/>
                <w:szCs w:val="4"/>
              </w:rPr>
            </w:pPr>
            <w:r>
              <w:rPr>
                <w:sz w:val="4"/>
                <w:szCs w:val="4"/>
              </w:rPr>
            </w:r>
          </w:p>
        </w:tc>
        <w:tc>
          <w:tcPr>
            <w:tcW w:w="590" w:type="dxa"/>
            <w:tcBorders>
              <w:left w:val="single" w:sz="8" w:space="0" w:color="5B5975"/>
              <w:bottom w:val="single" w:sz="12" w:space="0" w:color="5B5975"/>
              <w:right w:val="single" w:sz="8" w:space="0" w:color="5B5975"/>
            </w:tcBorders>
            <w:shd w:fill="auto" w:val="clear"/>
            <w:tcMar>
              <w:left w:w="80" w:type="dxa"/>
              <w:right w:w="80" w:type="dxa"/>
            </w:tcMar>
            <w:vAlign w:val="center"/>
          </w:tcPr>
          <w:p>
            <w:pPr>
              <w:pStyle w:val="TableContents"/>
              <w:spacing w:before="0" w:after="283"/>
              <w:rPr>
                <w:sz w:val="4"/>
                <w:szCs w:val="4"/>
              </w:rPr>
            </w:pPr>
            <w:r>
              <w:rPr>
                <w:sz w:val="4"/>
                <w:szCs w:val="4"/>
              </w:rPr>
            </w:r>
          </w:p>
        </w:tc>
      </w:tr>
    </w:tbl>
    <w:p>
      <w:pPr>
        <w:pStyle w:val="TextBody"/>
        <w:spacing w:before="240" w:after="283"/>
        <w:jc w:val="left"/>
        <w:rPr>
          <w:rFonts w:ascii="Arial" w:hAnsi="Arial"/>
          <w:sz w:val="20"/>
        </w:rPr>
      </w:pPr>
      <w:r>
        <w:rPr>
          <w:rFonts w:ascii="Arial" w:hAnsi="Arial"/>
          <w:sz w:val="20"/>
        </w:rPr>
        <w:t>Our Board currently includes three female directors, including one racially/ethnically diverse director.</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12</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b/>
          <w:color w:val="1A2343"/>
          <w:sz w:val="26"/>
        </w:rPr>
      </w:pPr>
      <w:r>
        <w:rPr>
          <w:rFonts w:ascii="Arial" w:hAnsi="Arial"/>
          <w:b/>
          <w:color w:val="1A2343"/>
          <w:sz w:val="26"/>
        </w:rPr>
        <w:t>Director Nominees</w:t>
      </w:r>
    </w:p>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1619885" cy="5046345"/>
                <wp:effectExtent l="0" t="0" r="0" b="0"/>
                <wp:wrapSquare wrapText="largest"/>
                <wp:docPr id="194" name="Frame9"/>
                <a:graphic xmlns:a="http://schemas.openxmlformats.org/drawingml/2006/main">
                  <a:graphicData uri="http://schemas.microsoft.com/office/word/2010/wordprocessingShape">
                    <wps:wsp>
                      <wps:cNvSpPr txBox="1"/>
                      <wps:spPr>
                        <a:xfrm>
                          <a:off x="0" y="0"/>
                          <a:ext cx="1619885" cy="5046345"/>
                        </a:xfrm>
                        <a:prstGeom prst="rect"/>
                      </wps:spPr>
                      <wps:txbx>
                        <w:txbxContent>
                          <w:tbl>
                            <w:tblPr>
                              <w:tblW w:w="5044" w:type="dxa"/>
                              <w:jc w:val="left"/>
                              <w:tblInd w:w="0" w:type="dxa"/>
                              <w:tblCellMar>
                                <w:top w:w="0" w:type="dxa"/>
                                <w:left w:w="0" w:type="dxa"/>
                                <w:bottom w:w="0" w:type="dxa"/>
                                <w:right w:w="28" w:type="dxa"/>
                              </w:tblCellMar>
                            </w:tblPr>
                            <w:tblGrid>
                              <w:gridCol w:w="501"/>
                              <w:gridCol w:w="4363"/>
                              <w:gridCol w:w="180"/>
                            </w:tblGrid>
                            <w:tr>
                              <w:trPr/>
                              <w:tc>
                                <w:tcPr>
                                  <w:tcW w:w="501" w:type="dxa"/>
                                  <w:tcBorders>
                                    <w:right w:val="single" w:sz="32" w:space="0" w:color="8EAD3C"/>
                                  </w:tcBorders>
                                  <w:shd w:fill="auto" w:val="clear"/>
                                  <w:vAlign w:val="center"/>
                                </w:tcPr>
                                <w:p>
                                  <w:pPr>
                                    <w:pStyle w:val="TableContents"/>
                                    <w:spacing w:before="0" w:after="283"/>
                                    <w:jc w:val="left"/>
                                    <w:rPr/>
                                  </w:pPr>
                                  <w:r>
                                    <w:rPr/>
                                    <w:t>   </w:t>
                                  </w:r>
                                </w:p>
                              </w:tc>
                              <w:tc>
                                <w:tcPr>
                                  <w:tcW w:w="4363"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4864" w:type="dxa"/>
                                  <w:gridSpan w:val="2"/>
                                  <w:tcBorders/>
                                  <w:shd w:fill="1A2343" w:val="clear"/>
                                  <w:tcMar>
                                    <w:right w:w="0" w:type="dxa"/>
                                  </w:tcMar>
                                  <w:vAlign w:val="center"/>
                                </w:tcPr>
                                <w:p>
                                  <w:pPr>
                                    <w:pStyle w:val="TableContents"/>
                                    <w:jc w:val="left"/>
                                    <w:rPr>
                                      <w:rFonts w:ascii="Arial" w:hAnsi="Arial"/>
                                      <w:b/>
                                      <w:color w:val="FFFFFF"/>
                                      <w:sz w:val="24"/>
                                    </w:rPr>
                                  </w:pPr>
                                  <w:r>
                                    <w:rPr>
                                      <w:rFonts w:ascii="Arial" w:hAnsi="Arial"/>
                                      <w:b/>
                                      <w:color w:val="FFFFFF"/>
                                      <w:sz w:val="24"/>
                                    </w:rPr>
                                    <w:t>JOHN H.</w:t>
                                    <w:br/>
                                    <w:t>ALSCHULER</w:t>
                                  </w:r>
                                </w:p>
                                <w:p>
                                  <w:pPr>
                                    <w:pStyle w:val="TableContents"/>
                                    <w:jc w:val="left"/>
                                    <w:rPr/>
                                  </w:pPr>
                                  <w:r>
                                    <w:rPr/>
                                    <w:drawing>
                                      <wp:inline distT="0" distB="0" distL="0" distR="0">
                                        <wp:extent cx="1219200" cy="1514475"/>
                                        <wp:effectExtent l="0" t="0" r="0" b="0"/>
                                        <wp:docPr id="19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2" descr=""/>
                                                <pic:cNvPicPr>
                                                  <a:picLocks noChangeAspect="1" noChangeArrowheads="1"/>
                                                </pic:cNvPicPr>
                                              </pic:nvPicPr>
                                              <pic:blipFill>
                                                <a:blip r:embed="rId173"/>
                                                <a:srcRect l="-826" t="-665" r="-826" b="-665"/>
                                                <a:stretch>
                                                  <a:fillRect/>
                                                </a:stretch>
                                              </pic:blipFill>
                                              <pic:spPr bwMode="auto">
                                                <a:xfrm>
                                                  <a:off x="0" y="0"/>
                                                  <a:ext cx="1219200" cy="1514475"/>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Lead Independent Director</w:t>
                                  </w:r>
                                </w:p>
                                <w:p>
                                  <w:pPr>
                                    <w:pStyle w:val="TableContents"/>
                                    <w:jc w:val="left"/>
                                    <w:rPr/>
                                  </w:pPr>
                                  <w:r>
                                    <w:rPr>
                                      <w:rFonts w:ascii="Arial" w:hAnsi="Arial"/>
                                      <w:color w:val="FFFFFF"/>
                                      <w:sz w:val="20"/>
                                    </w:rPr>
                                    <w:t xml:space="preserve">Director Since: </w:t>
                                  </w:r>
                                  <w:r>
                                    <w:rPr>
                                      <w:rStyle w:val="StrongEmphasis"/>
                                      <w:rFonts w:ascii="Arial" w:hAnsi="Arial"/>
                                      <w:color w:val="FFFFFF"/>
                                      <w:sz w:val="20"/>
                                    </w:rPr>
                                    <w:t xml:space="preserve">1997 </w:t>
                                  </w:r>
                                </w:p>
                                <w:p>
                                  <w:pPr>
                                    <w:pStyle w:val="TableContents"/>
                                    <w:jc w:val="left"/>
                                    <w:rPr/>
                                  </w:pPr>
                                  <w:r>
                                    <w:rPr>
                                      <w:rFonts w:ascii="Arial" w:hAnsi="Arial"/>
                                      <w:color w:val="FFFFFF"/>
                                      <w:sz w:val="20"/>
                                    </w:rPr>
                                    <w:t xml:space="preserve">Age: </w:t>
                                  </w:r>
                                  <w:r>
                                    <w:rPr>
                                      <w:rStyle w:val="StrongEmphasis"/>
                                      <w:rFonts w:ascii="Arial" w:hAnsi="Arial"/>
                                      <w:color w:val="FFFFFF"/>
                                      <w:sz w:val="20"/>
                                    </w:rPr>
                                    <w:t xml:space="preserve">75 </w:t>
                                  </w:r>
                                </w:p>
                                <w:p>
                                  <w:pPr>
                                    <w:pStyle w:val="TableContents"/>
                                    <w:jc w:val="left"/>
                                    <w:rPr>
                                      <w:rFonts w:ascii="Arial" w:hAnsi="Arial"/>
                                      <w:color w:val="FFFFFF"/>
                                      <w:sz w:val="20"/>
                                    </w:rPr>
                                  </w:pPr>
                                  <w:r>
                                    <w:rPr>
                                      <w:rFonts w:ascii="Arial" w:hAnsi="Arial"/>
                                      <w:color w:val="FFFFFF"/>
                                      <w:sz w:val="20"/>
                                    </w:rPr>
                                    <w:t>SL Green</w:t>
                                    <w:br/>
                                    <w:t>Board Service:</w:t>
                                  </w:r>
                                </w:p>
                                <w:p>
                                  <w:pPr>
                                    <w:pStyle w:val="TableContents"/>
                                    <w:spacing w:before="0" w:after="0"/>
                                    <w:ind w:left="0" w:right="0" w:hanging="290"/>
                                    <w:jc w:val="left"/>
                                    <w:rPr/>
                                  </w:pPr>
                                  <w:r>
                                    <w:rPr>
                                      <w:color w:val="FFFFFF"/>
                                    </w:rPr>
                                    <w:t>●</w:t>
                                  </w:r>
                                  <w:r>
                                    <w:rPr>
                                      <w:rStyle w:val="StrongEmphasis"/>
                                      <w:rFonts w:ascii="arial" w:hAnsi="arial"/>
                                      <w:color w:val="FFFFFF"/>
                                      <w:sz w:val="20"/>
                                    </w:rPr>
                                    <w:t>Nominating and Corporate Governance Committee</w:t>
                                  </w:r>
                                </w:p>
                                <w:p>
                                  <w:pPr>
                                    <w:pStyle w:val="TableContents"/>
                                    <w:spacing w:before="0" w:after="0"/>
                                    <w:ind w:left="0" w:right="0" w:hanging="290"/>
                                    <w:jc w:val="left"/>
                                    <w:rPr/>
                                  </w:pPr>
                                  <w:r>
                                    <w:rPr>
                                      <w:color w:val="FFFFFF"/>
                                    </w:rPr>
                                    <w:t>●</w:t>
                                  </w:r>
                                  <w:r>
                                    <w:rPr>
                                      <w:rStyle w:val="StrongEmphasis"/>
                                      <w:rFonts w:ascii="arial" w:hAnsi="arial"/>
                                      <w:color w:val="FFFFFF"/>
                                      <w:sz w:val="20"/>
                                    </w:rPr>
                                    <w:t>Executive Committee</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501" w:type="dxa"/>
                                  <w:tcBorders/>
                                  <w:shd w:fill="auto" w:val="clear"/>
                                  <w:tcMar>
                                    <w:right w:w="0" w:type="dxa"/>
                                  </w:tcMar>
                                  <w:vAlign w:val="center"/>
                                </w:tcPr>
                                <w:p>
                                  <w:pPr>
                                    <w:pStyle w:val="TableContents"/>
                                    <w:spacing w:before="0" w:after="283"/>
                                    <w:jc w:val="left"/>
                                    <w:rPr/>
                                  </w:pPr>
                                  <w:r>
                                    <w:rPr/>
                                    <w:t> </w:t>
                                  </w:r>
                                </w:p>
                              </w:tc>
                              <w:tc>
                                <w:tcPr>
                                  <w:tcW w:w="4363"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25000</wp14:pctWidth>
                </wp14:sizeRelH>
              </wp:anchor>
            </w:drawing>
          </mc:Choice>
          <mc:Fallback>
            <w:pict>
              <v:rect style="position:absolute;rotation:0;width:127.55pt;height:397.35pt;mso-wrap-distance-left:0pt;mso-wrap-distance-right:0pt;mso-wrap-distance-top:0pt;mso-wrap-distance-bottom:0pt;margin-top:0pt;mso-position-vertical:top;mso-position-vertical-relative:text;margin-left:0pt;mso-position-horizontal:left;mso-position-horizontal-relative:text">
                <v:textbox>
                  <w:txbxContent>
                    <w:tbl>
                      <w:tblPr>
                        <w:tblW w:w="5044" w:type="dxa"/>
                        <w:jc w:val="left"/>
                        <w:tblInd w:w="0" w:type="dxa"/>
                        <w:tblCellMar>
                          <w:top w:w="0" w:type="dxa"/>
                          <w:left w:w="0" w:type="dxa"/>
                          <w:bottom w:w="0" w:type="dxa"/>
                          <w:right w:w="28" w:type="dxa"/>
                        </w:tblCellMar>
                      </w:tblPr>
                      <w:tblGrid>
                        <w:gridCol w:w="501"/>
                        <w:gridCol w:w="4363"/>
                        <w:gridCol w:w="180"/>
                      </w:tblGrid>
                      <w:tr>
                        <w:trPr/>
                        <w:tc>
                          <w:tcPr>
                            <w:tcW w:w="501" w:type="dxa"/>
                            <w:tcBorders>
                              <w:right w:val="single" w:sz="32" w:space="0" w:color="8EAD3C"/>
                            </w:tcBorders>
                            <w:shd w:fill="auto" w:val="clear"/>
                            <w:vAlign w:val="center"/>
                          </w:tcPr>
                          <w:p>
                            <w:pPr>
                              <w:pStyle w:val="TableContents"/>
                              <w:spacing w:before="0" w:after="283"/>
                              <w:jc w:val="left"/>
                              <w:rPr/>
                            </w:pPr>
                            <w:r>
                              <w:rPr/>
                              <w:t>   </w:t>
                            </w:r>
                          </w:p>
                        </w:tc>
                        <w:tc>
                          <w:tcPr>
                            <w:tcW w:w="4363"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4864" w:type="dxa"/>
                            <w:gridSpan w:val="2"/>
                            <w:tcBorders/>
                            <w:shd w:fill="1A2343" w:val="clear"/>
                            <w:tcMar>
                              <w:right w:w="0" w:type="dxa"/>
                            </w:tcMar>
                            <w:vAlign w:val="center"/>
                          </w:tcPr>
                          <w:p>
                            <w:pPr>
                              <w:pStyle w:val="TableContents"/>
                              <w:jc w:val="left"/>
                              <w:rPr>
                                <w:rFonts w:ascii="Arial" w:hAnsi="Arial"/>
                                <w:b/>
                                <w:color w:val="FFFFFF"/>
                                <w:sz w:val="24"/>
                              </w:rPr>
                            </w:pPr>
                            <w:r>
                              <w:rPr>
                                <w:rFonts w:ascii="Arial" w:hAnsi="Arial"/>
                                <w:b/>
                                <w:color w:val="FFFFFF"/>
                                <w:sz w:val="24"/>
                              </w:rPr>
                              <w:t>JOHN H.</w:t>
                              <w:br/>
                              <w:t>ALSCHULER</w:t>
                            </w:r>
                          </w:p>
                          <w:p>
                            <w:pPr>
                              <w:pStyle w:val="TableContents"/>
                              <w:jc w:val="left"/>
                              <w:rPr/>
                            </w:pPr>
                            <w:r>
                              <w:rPr/>
                              <w:drawing>
                                <wp:inline distT="0" distB="0" distL="0" distR="0">
                                  <wp:extent cx="1219200" cy="1514475"/>
                                  <wp:effectExtent l="0" t="0" r="0" b="0"/>
                                  <wp:docPr id="19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2" descr=""/>
                                          <pic:cNvPicPr>
                                            <a:picLocks noChangeAspect="1" noChangeArrowheads="1"/>
                                          </pic:cNvPicPr>
                                        </pic:nvPicPr>
                                        <pic:blipFill>
                                          <a:blip r:embed="rId173"/>
                                          <a:srcRect l="-826" t="-665" r="-826" b="-665"/>
                                          <a:stretch>
                                            <a:fillRect/>
                                          </a:stretch>
                                        </pic:blipFill>
                                        <pic:spPr bwMode="auto">
                                          <a:xfrm>
                                            <a:off x="0" y="0"/>
                                            <a:ext cx="1219200" cy="1514475"/>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Lead Independent Director</w:t>
                            </w:r>
                          </w:p>
                          <w:p>
                            <w:pPr>
                              <w:pStyle w:val="TableContents"/>
                              <w:jc w:val="left"/>
                              <w:rPr/>
                            </w:pPr>
                            <w:r>
                              <w:rPr>
                                <w:rFonts w:ascii="Arial" w:hAnsi="Arial"/>
                                <w:color w:val="FFFFFF"/>
                                <w:sz w:val="20"/>
                              </w:rPr>
                              <w:t xml:space="preserve">Director Since: </w:t>
                            </w:r>
                            <w:r>
                              <w:rPr>
                                <w:rStyle w:val="StrongEmphasis"/>
                                <w:rFonts w:ascii="Arial" w:hAnsi="Arial"/>
                                <w:color w:val="FFFFFF"/>
                                <w:sz w:val="20"/>
                              </w:rPr>
                              <w:t xml:space="preserve">1997 </w:t>
                            </w:r>
                          </w:p>
                          <w:p>
                            <w:pPr>
                              <w:pStyle w:val="TableContents"/>
                              <w:jc w:val="left"/>
                              <w:rPr/>
                            </w:pPr>
                            <w:r>
                              <w:rPr>
                                <w:rFonts w:ascii="Arial" w:hAnsi="Arial"/>
                                <w:color w:val="FFFFFF"/>
                                <w:sz w:val="20"/>
                              </w:rPr>
                              <w:t xml:space="preserve">Age: </w:t>
                            </w:r>
                            <w:r>
                              <w:rPr>
                                <w:rStyle w:val="StrongEmphasis"/>
                                <w:rFonts w:ascii="Arial" w:hAnsi="Arial"/>
                                <w:color w:val="FFFFFF"/>
                                <w:sz w:val="20"/>
                              </w:rPr>
                              <w:t xml:space="preserve">75 </w:t>
                            </w:r>
                          </w:p>
                          <w:p>
                            <w:pPr>
                              <w:pStyle w:val="TableContents"/>
                              <w:jc w:val="left"/>
                              <w:rPr>
                                <w:rFonts w:ascii="Arial" w:hAnsi="Arial"/>
                                <w:color w:val="FFFFFF"/>
                                <w:sz w:val="20"/>
                              </w:rPr>
                            </w:pPr>
                            <w:r>
                              <w:rPr>
                                <w:rFonts w:ascii="Arial" w:hAnsi="Arial"/>
                                <w:color w:val="FFFFFF"/>
                                <w:sz w:val="20"/>
                              </w:rPr>
                              <w:t>SL Green</w:t>
                              <w:br/>
                              <w:t>Board Service:</w:t>
                            </w:r>
                          </w:p>
                          <w:p>
                            <w:pPr>
                              <w:pStyle w:val="TableContents"/>
                              <w:spacing w:before="0" w:after="0"/>
                              <w:ind w:left="0" w:right="0" w:hanging="290"/>
                              <w:jc w:val="left"/>
                              <w:rPr/>
                            </w:pPr>
                            <w:r>
                              <w:rPr>
                                <w:color w:val="FFFFFF"/>
                              </w:rPr>
                              <w:t>●</w:t>
                            </w:r>
                            <w:r>
                              <w:rPr>
                                <w:rStyle w:val="StrongEmphasis"/>
                                <w:rFonts w:ascii="arial" w:hAnsi="arial"/>
                                <w:color w:val="FFFFFF"/>
                                <w:sz w:val="20"/>
                              </w:rPr>
                              <w:t>Nominating and Corporate Governance Committee</w:t>
                            </w:r>
                          </w:p>
                          <w:p>
                            <w:pPr>
                              <w:pStyle w:val="TableContents"/>
                              <w:spacing w:before="0" w:after="0"/>
                              <w:ind w:left="0" w:right="0" w:hanging="290"/>
                              <w:jc w:val="left"/>
                              <w:rPr/>
                            </w:pPr>
                            <w:r>
                              <w:rPr>
                                <w:color w:val="FFFFFF"/>
                              </w:rPr>
                              <w:t>●</w:t>
                            </w:r>
                            <w:r>
                              <w:rPr>
                                <w:rStyle w:val="StrongEmphasis"/>
                                <w:rFonts w:ascii="arial" w:hAnsi="arial"/>
                                <w:color w:val="FFFFFF"/>
                                <w:sz w:val="20"/>
                              </w:rPr>
                              <w:t>Executive Committee</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501" w:type="dxa"/>
                            <w:tcBorders/>
                            <w:shd w:fill="auto" w:val="clear"/>
                            <w:tcMar>
                              <w:right w:w="0" w:type="dxa"/>
                            </w:tcMar>
                            <w:vAlign w:val="center"/>
                          </w:tcPr>
                          <w:p>
                            <w:pPr>
                              <w:pStyle w:val="TableContents"/>
                              <w:spacing w:before="0" w:after="283"/>
                              <w:jc w:val="left"/>
                              <w:rPr/>
                            </w:pPr>
                            <w:r>
                              <w:rPr/>
                              <w:t> </w:t>
                            </w:r>
                          </w:p>
                        </w:tc>
                        <w:tc>
                          <w:tcPr>
                            <w:tcW w:w="4363"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olumn">
                  <wp:align>right</wp:align>
                </wp:positionH>
                <wp:positionV relativeFrom="line">
                  <wp:posOffset>635</wp:posOffset>
                </wp:positionV>
                <wp:extent cx="4600575" cy="8428355"/>
                <wp:effectExtent l="0" t="0" r="0" b="0"/>
                <wp:wrapSquare wrapText="largest"/>
                <wp:docPr id="197" name="Frame10"/>
                <a:graphic xmlns:a="http://schemas.openxmlformats.org/drawingml/2006/main">
                  <a:graphicData uri="http://schemas.microsoft.com/office/word/2010/wordprocessingShape">
                    <wps:wsp>
                      <wps:cNvSpPr txBox="1"/>
                      <wps:spPr>
                        <a:xfrm>
                          <a:off x="0" y="0"/>
                          <a:ext cx="4600575" cy="8428355"/>
                        </a:xfrm>
                        <a:prstGeom prst="rect"/>
                      </wps:spPr>
                      <wps:txbx>
                        <w:txbxContent>
                          <w:tbl>
                            <w:tblPr>
                              <w:tblW w:w="10205" w:type="dxa"/>
                              <w:jc w:val="left"/>
                              <w:tblInd w:w="0" w:type="dxa"/>
                              <w:tblCellMar>
                                <w:top w:w="0" w:type="dxa"/>
                                <w:left w:w="0" w:type="dxa"/>
                                <w:bottom w:w="0" w:type="dxa"/>
                                <w:right w:w="0" w:type="dxa"/>
                              </w:tblCellMar>
                            </w:tblPr>
                            <w:tblGrid>
                              <w:gridCol w:w="909"/>
                              <w:gridCol w:w="3473"/>
                              <w:gridCol w:w="1032"/>
                              <w:gridCol w:w="4791"/>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Mr. Alschuler’s achievements in academia and business, as well as his extensive knowledge of commercial real estate, New York City’s economy, commercial and other markets in New York City and national and international markets for real estate, and his expertise in inter-governmental relations, allow him to assess the real estate market and the Company’s business from a knowledgeable and informed perspective, from which he provides valuable insights into the Company’s business.</w:t>
                                  </w:r>
                                </w:p>
                              </w:tc>
                            </w:tr>
                            <w:tr>
                              <w:trPr/>
                              <w:tc>
                                <w:tcPr>
                                  <w:tcW w:w="909" w:type="dxa"/>
                                  <w:tcBorders/>
                                  <w:shd w:fill="auto" w:val="clear"/>
                                  <w:vAlign w:val="center"/>
                                </w:tcPr>
                                <w:p>
                                  <w:pPr>
                                    <w:pStyle w:val="TableContents"/>
                                    <w:spacing w:before="0" w:after="283"/>
                                    <w:jc w:val="left"/>
                                    <w:rPr/>
                                  </w:pPr>
                                  <w:r>
                                    <w:rPr/>
                                    <w:t> </w:t>
                                  </w:r>
                                </w:p>
                              </w:tc>
                              <w:tc>
                                <w:tcPr>
                                  <w:tcW w:w="3473"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4791" w:type="dxa"/>
                                  <w:tcBorders/>
                                  <w:shd w:fill="auto" w:val="clear"/>
                                  <w:vAlign w:val="center"/>
                                </w:tcPr>
                                <w:p>
                                  <w:pPr>
                                    <w:pStyle w:val="TableContents"/>
                                    <w:spacing w:before="0" w:after="283"/>
                                    <w:rPr>
                                      <w:sz w:val="4"/>
                                      <w:szCs w:val="4"/>
                                    </w:rPr>
                                  </w:pPr>
                                  <w:r>
                                    <w:rPr>
                                      <w:sz w:val="4"/>
                                      <w:szCs w:val="4"/>
                                    </w:rPr>
                                  </w:r>
                                </w:p>
                              </w:tc>
                            </w:tr>
                            <w:tr>
                              <w:trPr/>
                              <w:tc>
                                <w:tcPr>
                                  <w:tcW w:w="909"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473"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032"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4791"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2"/>
                                    </w:rPr>
                                    <w:t>Professional Experience</w:t>
                                  </w:r>
                                </w:p>
                                <w:p>
                                  <w:pPr>
                                    <w:pStyle w:val="TableContents"/>
                                    <w:spacing w:before="0" w:after="0"/>
                                    <w:ind w:left="0" w:right="0" w:hanging="290"/>
                                    <w:jc w:val="left"/>
                                    <w:rPr/>
                                  </w:pPr>
                                  <w:r>
                                    <w:rPr>
                                      <w:color w:val="000000"/>
                                    </w:rPr>
                                    <w:t>●</w:t>
                                  </w:r>
                                  <w:r>
                                    <w:rPr>
                                      <w:rFonts w:ascii="Arial" w:hAnsi="Arial"/>
                                      <w:sz w:val="20"/>
                                    </w:rPr>
                                    <w:t>Executive Chairman of Therme Group US, an entity which designs, builds and operates large scale well-being facilities, since 2022</w:t>
                                  </w:r>
                                </w:p>
                                <w:p>
                                  <w:pPr>
                                    <w:pStyle w:val="TableContents"/>
                                    <w:spacing w:before="0" w:after="0"/>
                                    <w:ind w:left="0" w:right="0" w:hanging="290"/>
                                    <w:jc w:val="left"/>
                                    <w:rPr/>
                                  </w:pPr>
                                  <w:r>
                                    <w:rPr>
                                      <w:color w:val="000000"/>
                                    </w:rPr>
                                    <w:t>●</w:t>
                                  </w:r>
                                  <w:r>
                                    <w:rPr>
                                      <w:rFonts w:ascii="Arial" w:hAnsi="Arial"/>
                                      <w:sz w:val="20"/>
                                    </w:rPr>
                                    <w:t>Chair of HR&amp;A Advisors Inc., an economic development, real-estate and public policy consulting organization, from 2008 to 2021</w:t>
                                  </w:r>
                                </w:p>
                                <w:p>
                                  <w:pPr>
                                    <w:pStyle w:val="TableContents"/>
                                    <w:spacing w:before="0" w:after="0"/>
                                    <w:ind w:left="0" w:right="0" w:hanging="290"/>
                                    <w:jc w:val="left"/>
                                    <w:rPr/>
                                  </w:pPr>
                                  <w:r>
                                    <w:rPr>
                                      <w:color w:val="000000"/>
                                    </w:rPr>
                                    <w:t>●</w:t>
                                  </w:r>
                                  <w:r>
                                    <w:rPr>
                                      <w:rFonts w:ascii="Arial" w:hAnsi="Arial"/>
                                      <w:sz w:val="20"/>
                                    </w:rPr>
                                    <w:t>Adjunct Associate Professor, Graduate School of Architecture, Planning &amp; Preservation at Columbia University, teaching real estate development</w:t>
                                  </w:r>
                                </w:p>
                                <w:p>
                                  <w:pPr>
                                    <w:pStyle w:val="TableContents"/>
                                    <w:spacing w:before="0" w:after="0"/>
                                    <w:ind w:left="0" w:right="0" w:hanging="290"/>
                                    <w:jc w:val="left"/>
                                    <w:rPr/>
                                  </w:pPr>
                                  <w:r>
                                    <w:rPr>
                                      <w:color w:val="000000"/>
                                    </w:rPr>
                                    <w:t>●</w:t>
                                  </w:r>
                                  <w:r>
                                    <w:rPr>
                                      <w:rFonts w:ascii="Arial" w:hAnsi="Arial"/>
                                      <w:sz w:val="20"/>
                                    </w:rPr>
                                    <w:t>Board of Directors of the Center for an Urban Future, Friends of the High Line Inc., and the Sag Harbor Cinema Arts Center, each a 501(c)(3) tax-exempt organization</w:t>
                                  </w:r>
                                </w:p>
                                <w:p>
                                  <w:pPr>
                                    <w:pStyle w:val="TableContents"/>
                                    <w:ind w:left="0" w:right="0" w:hanging="290"/>
                                    <w:jc w:val="left"/>
                                    <w:rPr/>
                                  </w:pPr>
                                  <w:r>
                                    <w:rPr>
                                      <w:color w:val="000000"/>
                                    </w:rPr>
                                    <w:t>●</w:t>
                                  </w:r>
                                  <w:r>
                                    <w:rPr>
                                      <w:rFonts w:ascii="Arial" w:hAnsi="Arial"/>
                                      <w:sz w:val="20"/>
                                    </w:rPr>
                                    <w:t>B.A. degree from Wesleyan University and Ed.D. degree from the University of Massachusetts at Amherst</w:t>
                                  </w:r>
                                </w:p>
                                <w:p>
                                  <w:pPr>
                                    <w:pStyle w:val="TableContents"/>
                                    <w:jc w:val="left"/>
                                    <w:rPr/>
                                  </w:pPr>
                                  <w:r>
                                    <w:rPr>
                                      <w:rStyle w:val="StrongEmphasis"/>
                                      <w:rFonts w:ascii="Arial" w:hAnsi="Arial"/>
                                      <w:color w:val="1A2343"/>
                                      <w:sz w:val="22"/>
                                    </w:rPr>
                                    <w:t>Other Public Board Directorships</w:t>
                                  </w:r>
                                </w:p>
                                <w:p>
                                  <w:pPr>
                                    <w:pStyle w:val="TableContents"/>
                                    <w:spacing w:before="0" w:after="0"/>
                                    <w:ind w:left="0" w:right="0" w:hanging="290"/>
                                    <w:jc w:val="left"/>
                                    <w:rPr/>
                                  </w:pPr>
                                  <w:r>
                                    <w:rPr>
                                      <w:color w:val="000000"/>
                                    </w:rPr>
                                    <w:t>●</w:t>
                                  </w:r>
                                  <w:r>
                                    <w:rPr>
                                      <w:rFonts w:ascii="Arial" w:hAnsi="Arial"/>
                                      <w:sz w:val="20"/>
                                    </w:rPr>
                                    <w:t>Xenia Hotels and Resorts, Inc. since 2015</w:t>
                                  </w:r>
                                </w:p>
                                <w:p>
                                  <w:pPr>
                                    <w:pStyle w:val="TableContents"/>
                                    <w:spacing w:before="0" w:after="0"/>
                                    <w:ind w:left="0" w:right="0" w:hanging="290"/>
                                    <w:jc w:val="left"/>
                                    <w:rPr/>
                                  </w:pPr>
                                  <w:r>
                                    <w:rPr>
                                      <w:color w:val="000000"/>
                                    </w:rPr>
                                    <w:t>●</w:t>
                                  </w:r>
                                  <w:r>
                                    <w:rPr>
                                      <w:rFonts w:ascii="Arial" w:hAnsi="Arial"/>
                                      <w:sz w:val="20"/>
                                    </w:rPr>
                                    <w:t>The Macerich Company since 2015</w:t>
                                  </w:r>
                                </w:p>
                              </w:tc>
                            </w:tr>
                            <w:tr>
                              <w:trPr/>
                              <w:tc>
                                <w:tcPr>
                                  <w:tcW w:w="909" w:type="dxa"/>
                                  <w:tcBorders/>
                                  <w:shd w:fill="auto" w:val="clear"/>
                                  <w:vAlign w:val="center"/>
                                </w:tcPr>
                                <w:p>
                                  <w:pPr>
                                    <w:pStyle w:val="TableContents"/>
                                    <w:spacing w:before="0" w:after="283"/>
                                    <w:jc w:val="left"/>
                                    <w:rPr/>
                                  </w:pPr>
                                  <w:r>
                                    <w:rPr/>
                                    <w:t> </w:t>
                                  </w:r>
                                </w:p>
                              </w:tc>
                              <w:tc>
                                <w:tcPr>
                                  <w:tcW w:w="3473"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4791" w:type="dxa"/>
                                  <w:tcBorders/>
                                  <w:shd w:fill="auto" w:val="clear"/>
                                  <w:vAlign w:val="center"/>
                                </w:tcPr>
                                <w:p>
                                  <w:pPr>
                                    <w:pStyle w:val="TableContents"/>
                                    <w:spacing w:before="0" w:after="283"/>
                                    <w:rPr>
                                      <w:sz w:val="4"/>
                                      <w:szCs w:val="4"/>
                                    </w:rPr>
                                  </w:pPr>
                                  <w:r>
                                    <w:rPr>
                                      <w:sz w:val="4"/>
                                      <w:szCs w:val="4"/>
                                    </w:rPr>
                                  </w:r>
                                </w:p>
                              </w:tc>
                            </w:tr>
                            <w:tr>
                              <w:trPr/>
                              <w:tc>
                                <w:tcPr>
                                  <w:tcW w:w="909"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473"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032"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4791"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909" w:type="dxa"/>
                                  <w:tcBorders/>
                                  <w:shd w:fill="auto" w:val="clear"/>
                                  <w:vAlign w:val="center"/>
                                </w:tcPr>
                                <w:p>
                                  <w:pPr>
                                    <w:pStyle w:val="TableContents"/>
                                    <w:spacing w:before="0" w:after="283"/>
                                    <w:jc w:val="center"/>
                                    <w:rPr/>
                                  </w:pPr>
                                  <w:r>
                                    <w:rPr/>
                                    <w:drawing>
                                      <wp:inline distT="0" distB="0" distL="0" distR="0">
                                        <wp:extent cx="295275" cy="323850"/>
                                        <wp:effectExtent l="0" t="0" r="0" b="0"/>
                                        <wp:docPr id="198"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73" descr=""/>
                                                <pic:cNvPicPr>
                                                  <a:picLocks noChangeAspect="1" noChangeArrowheads="1"/>
                                                </pic:cNvPicPr>
                                              </pic:nvPicPr>
                                              <pic:blipFill>
                                                <a:blip r:embed="rId174"/>
                                                <a:srcRect l="-3414" t="-3111" r="-3414" b="-3111"/>
                                                <a:stretch>
                                                  <a:fillRect/>
                                                </a:stretch>
                                              </pic:blipFill>
                                              <pic:spPr bwMode="auto">
                                                <a:xfrm>
                                                  <a:off x="0" y="0"/>
                                                  <a:ext cx="295275" cy="323850"/>
                                                </a:xfrm>
                                                <a:prstGeom prst="rect">
                                                  <a:avLst/>
                                                </a:prstGeom>
                                                <a:ln w="635">
                                                  <a:solidFill>
                                                    <a:srgbClr val="000000"/>
                                                  </a:solidFill>
                                                </a:ln>
                                              </pic:spPr>
                                            </pic:pic>
                                          </a:graphicData>
                                        </a:graphic>
                                      </wp:inline>
                                    </w:drawing>
                                  </w:r>
                                </w:p>
                              </w:tc>
                              <w:tc>
                                <w:tcPr>
                                  <w:tcW w:w="3473"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c>
                                <w:tcPr>
                                  <w:tcW w:w="1032" w:type="dxa"/>
                                  <w:tcBorders/>
                                  <w:shd w:fill="auto" w:val="clear"/>
                                  <w:vAlign w:val="center"/>
                                </w:tcPr>
                                <w:p>
                                  <w:pPr>
                                    <w:pStyle w:val="TableContents"/>
                                    <w:spacing w:before="0" w:after="283"/>
                                    <w:jc w:val="center"/>
                                    <w:rPr/>
                                  </w:pPr>
                                  <w:r>
                                    <w:rPr/>
                                    <w:drawing>
                                      <wp:inline distT="0" distB="0" distL="0" distR="0">
                                        <wp:extent cx="352425" cy="342900"/>
                                        <wp:effectExtent l="0" t="0" r="0" b="0"/>
                                        <wp:docPr id="199"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4" descr=""/>
                                                <pic:cNvPicPr>
                                                  <a:picLocks noChangeAspect="1" noChangeArrowheads="1"/>
                                                </pic:cNvPicPr>
                                              </pic:nvPicPr>
                                              <pic:blipFill>
                                                <a:blip r:embed="rId175"/>
                                                <a:srcRect l="-2860" t="-2938" r="-2860" b="-2938"/>
                                                <a:stretch>
                                                  <a:fillRect/>
                                                </a:stretch>
                                              </pic:blipFill>
                                              <pic:spPr bwMode="auto">
                                                <a:xfrm>
                                                  <a:off x="0" y="0"/>
                                                  <a:ext cx="352425" cy="342900"/>
                                                </a:xfrm>
                                                <a:prstGeom prst="rect">
                                                  <a:avLst/>
                                                </a:prstGeom>
                                                <a:ln w="635">
                                                  <a:solidFill>
                                                    <a:srgbClr val="000000"/>
                                                  </a:solidFill>
                                                </a:ln>
                                              </pic:spPr>
                                            </pic:pic>
                                          </a:graphicData>
                                        </a:graphic>
                                      </wp:inline>
                                    </w:drawing>
                                  </w:r>
                                </w:p>
                              </w:tc>
                              <w:tc>
                                <w:tcPr>
                                  <w:tcW w:w="4791" w:type="dxa"/>
                                  <w:tcBorders/>
                                  <w:shd w:fill="auto" w:val="clear"/>
                                  <w:vAlign w:val="center"/>
                                </w:tcPr>
                                <w:p>
                                  <w:pPr>
                                    <w:pStyle w:val="TableContents"/>
                                    <w:spacing w:before="0" w:after="283"/>
                                    <w:jc w:val="left"/>
                                    <w:rPr>
                                      <w:rFonts w:ascii="Arial" w:hAnsi="Arial"/>
                                      <w:sz w:val="20"/>
                                    </w:rPr>
                                  </w:pPr>
                                  <w:r>
                                    <w:rPr>
                                      <w:rFonts w:ascii="Arial" w:hAnsi="Arial"/>
                                      <w:sz w:val="20"/>
                                    </w:rPr>
                                    <w:t>Finance/Capital Markets</w:t>
                                  </w:r>
                                </w:p>
                              </w:tc>
                            </w:tr>
                            <w:tr>
                              <w:trPr/>
                              <w:tc>
                                <w:tcPr>
                                  <w:tcW w:w="909" w:type="dxa"/>
                                  <w:tcBorders/>
                                  <w:shd w:fill="auto" w:val="clear"/>
                                  <w:vAlign w:val="center"/>
                                </w:tcPr>
                                <w:p>
                                  <w:pPr>
                                    <w:pStyle w:val="TableContents"/>
                                    <w:spacing w:before="0" w:after="283"/>
                                    <w:jc w:val="center"/>
                                    <w:rPr/>
                                  </w:pPr>
                                  <w:r>
                                    <w:rPr/>
                                    <w:drawing>
                                      <wp:inline distT="0" distB="0" distL="0" distR="0">
                                        <wp:extent cx="333375" cy="342900"/>
                                        <wp:effectExtent l="0" t="0" r="0" b="0"/>
                                        <wp:docPr id="200"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75" descr=""/>
                                                <pic:cNvPicPr>
                                                  <a:picLocks noChangeAspect="1" noChangeArrowheads="1"/>
                                                </pic:cNvPicPr>
                                              </pic:nvPicPr>
                                              <pic:blipFill>
                                                <a:blip r:embed="rId176"/>
                                                <a:srcRect l="-3023" t="-2938" r="-3023" b="-2938"/>
                                                <a:stretch>
                                                  <a:fillRect/>
                                                </a:stretch>
                                              </pic:blipFill>
                                              <pic:spPr bwMode="auto">
                                                <a:xfrm>
                                                  <a:off x="0" y="0"/>
                                                  <a:ext cx="333375" cy="342900"/>
                                                </a:xfrm>
                                                <a:prstGeom prst="rect">
                                                  <a:avLst/>
                                                </a:prstGeom>
                                                <a:ln w="635">
                                                  <a:solidFill>
                                                    <a:srgbClr val="000000"/>
                                                  </a:solidFill>
                                                </a:ln>
                                              </pic:spPr>
                                            </pic:pic>
                                          </a:graphicData>
                                        </a:graphic>
                                      </wp:inline>
                                    </w:drawing>
                                  </w:r>
                                </w:p>
                              </w:tc>
                              <w:tc>
                                <w:tcPr>
                                  <w:tcW w:w="3473"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1032" w:type="dxa"/>
                                  <w:tcBorders/>
                                  <w:shd w:fill="auto" w:val="clear"/>
                                  <w:vAlign w:val="center"/>
                                </w:tcPr>
                                <w:p>
                                  <w:pPr>
                                    <w:pStyle w:val="TableContents"/>
                                    <w:spacing w:before="0" w:after="283"/>
                                    <w:jc w:val="center"/>
                                    <w:rPr/>
                                  </w:pPr>
                                  <w:r>
                                    <w:rPr/>
                                    <w:drawing>
                                      <wp:inline distT="0" distB="0" distL="0" distR="0">
                                        <wp:extent cx="400050" cy="400050"/>
                                        <wp:effectExtent l="0" t="0" r="0" b="0"/>
                                        <wp:docPr id="201"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6" descr=""/>
                                                <pic:cNvPicPr>
                                                  <a:picLocks noChangeAspect="1" noChangeArrowheads="1"/>
                                                </pic:cNvPicPr>
                                              </pic:nvPicPr>
                                              <pic:blipFill>
                                                <a:blip r:embed="rId177"/>
                                                <a:srcRect l="-2520" t="-2520" r="-2520" b="-2520"/>
                                                <a:stretch>
                                                  <a:fillRect/>
                                                </a:stretch>
                                              </pic:blipFill>
                                              <pic:spPr bwMode="auto">
                                                <a:xfrm>
                                                  <a:off x="0" y="0"/>
                                                  <a:ext cx="400050" cy="400050"/>
                                                </a:xfrm>
                                                <a:prstGeom prst="rect">
                                                  <a:avLst/>
                                                </a:prstGeom>
                                                <a:ln w="635">
                                                  <a:solidFill>
                                                    <a:srgbClr val="000000"/>
                                                  </a:solidFill>
                                                </a:ln>
                                              </pic:spPr>
                                            </pic:pic>
                                          </a:graphicData>
                                        </a:graphic>
                                      </wp:inline>
                                    </w:drawing>
                                  </w:r>
                                </w:p>
                              </w:tc>
                              <w:tc>
                                <w:tcPr>
                                  <w:tcW w:w="4791" w:type="dxa"/>
                                  <w:tcBorders/>
                                  <w:shd w:fill="auto" w:val="clear"/>
                                  <w:vAlign w:val="center"/>
                                </w:tcPr>
                                <w:p>
                                  <w:pPr>
                                    <w:pStyle w:val="TableContents"/>
                                    <w:spacing w:before="0" w:after="283"/>
                                    <w:jc w:val="left"/>
                                    <w:rPr>
                                      <w:rFonts w:ascii="Arial" w:hAnsi="Arial"/>
                                      <w:sz w:val="20"/>
                                    </w:rPr>
                                  </w:pPr>
                                  <w:r>
                                    <w:rPr>
                                      <w:rFonts w:ascii="Arial" w:hAnsi="Arial"/>
                                      <w:sz w:val="20"/>
                                    </w:rPr>
                                    <w:t>Public Company Board Service/ Corporate Governance</w:t>
                                  </w:r>
                                </w:p>
                              </w:tc>
                            </w:tr>
                            <w:tr>
                              <w:trPr/>
                              <w:tc>
                                <w:tcPr>
                                  <w:tcW w:w="909" w:type="dxa"/>
                                  <w:tcBorders/>
                                  <w:shd w:fill="auto" w:val="clear"/>
                                  <w:vAlign w:val="center"/>
                                </w:tcPr>
                                <w:p>
                                  <w:pPr>
                                    <w:pStyle w:val="TableContents"/>
                                    <w:spacing w:before="0" w:after="283"/>
                                    <w:jc w:val="center"/>
                                    <w:rPr/>
                                  </w:pPr>
                                  <w:r>
                                    <w:rPr/>
                                    <w:drawing>
                                      <wp:inline distT="0" distB="0" distL="0" distR="0">
                                        <wp:extent cx="352425" cy="333375"/>
                                        <wp:effectExtent l="0" t="0" r="0" b="0"/>
                                        <wp:docPr id="202"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7" descr=""/>
                                                <pic:cNvPicPr>
                                                  <a:picLocks noChangeAspect="1" noChangeArrowheads="1"/>
                                                </pic:cNvPicPr>
                                              </pic:nvPicPr>
                                              <pic:blipFill>
                                                <a:blip r:embed="rId178"/>
                                                <a:srcRect l="-2860" t="-3023" r="-2860" b="-3023"/>
                                                <a:stretch>
                                                  <a:fillRect/>
                                                </a:stretch>
                                              </pic:blipFill>
                                              <pic:spPr bwMode="auto">
                                                <a:xfrm>
                                                  <a:off x="0" y="0"/>
                                                  <a:ext cx="352425" cy="333375"/>
                                                </a:xfrm>
                                                <a:prstGeom prst="rect">
                                                  <a:avLst/>
                                                </a:prstGeom>
                                                <a:ln w="635">
                                                  <a:solidFill>
                                                    <a:srgbClr val="000000"/>
                                                  </a:solidFill>
                                                </a:ln>
                                              </pic:spPr>
                                            </pic:pic>
                                          </a:graphicData>
                                        </a:graphic>
                                      </wp:inline>
                                    </w:drawing>
                                  </w:r>
                                </w:p>
                              </w:tc>
                              <w:tc>
                                <w:tcPr>
                                  <w:tcW w:w="3473" w:type="dxa"/>
                                  <w:tcBorders/>
                                  <w:shd w:fill="auto" w:val="clear"/>
                                  <w:vAlign w:val="center"/>
                                </w:tcPr>
                                <w:p>
                                  <w:pPr>
                                    <w:pStyle w:val="TableContents"/>
                                    <w:spacing w:before="0" w:after="283"/>
                                    <w:jc w:val="left"/>
                                    <w:rPr>
                                      <w:rFonts w:ascii="Arial" w:hAnsi="Arial"/>
                                      <w:sz w:val="20"/>
                                    </w:rPr>
                                  </w:pPr>
                                  <w:r>
                                    <w:rPr>
                                      <w:rFonts w:ascii="Arial" w:hAnsi="Arial"/>
                                      <w:sz w:val="20"/>
                                    </w:rPr>
                                    <w:t>REIT/Real Estate Industry</w:t>
                                  </w:r>
                                </w:p>
                              </w:tc>
                              <w:tc>
                                <w:tcPr>
                                  <w:tcW w:w="1032" w:type="dxa"/>
                                  <w:tcBorders/>
                                  <w:shd w:fill="auto" w:val="clear"/>
                                  <w:vAlign w:val="center"/>
                                </w:tcPr>
                                <w:p>
                                  <w:pPr>
                                    <w:pStyle w:val="TableContents"/>
                                    <w:spacing w:before="0" w:after="283"/>
                                    <w:jc w:val="center"/>
                                    <w:rPr/>
                                  </w:pPr>
                                  <w:r>
                                    <w:rPr/>
                                    <w:drawing>
                                      <wp:inline distT="0" distB="0" distL="0" distR="0">
                                        <wp:extent cx="333375" cy="323850"/>
                                        <wp:effectExtent l="0" t="0" r="0" b="0"/>
                                        <wp:docPr id="203"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78" descr=""/>
                                                <pic:cNvPicPr>
                                                  <a:picLocks noChangeAspect="1" noChangeArrowheads="1"/>
                                                </pic:cNvPicPr>
                                              </pic:nvPicPr>
                                              <pic:blipFill>
                                                <a:blip r:embed="rId179"/>
                                                <a:srcRect l="-3023" t="-3111" r="-3023" b="-3111"/>
                                                <a:stretch>
                                                  <a:fillRect/>
                                                </a:stretch>
                                              </pic:blipFill>
                                              <pic:spPr bwMode="auto">
                                                <a:xfrm>
                                                  <a:off x="0" y="0"/>
                                                  <a:ext cx="333375" cy="323850"/>
                                                </a:xfrm>
                                                <a:prstGeom prst="rect">
                                                  <a:avLst/>
                                                </a:prstGeom>
                                                <a:ln w="635">
                                                  <a:solidFill>
                                                    <a:srgbClr val="000000"/>
                                                  </a:solidFill>
                                                </a:ln>
                                              </pic:spPr>
                                            </pic:pic>
                                          </a:graphicData>
                                        </a:graphic>
                                      </wp:inline>
                                    </w:drawing>
                                  </w:r>
                                </w:p>
                              </w:tc>
                              <w:tc>
                                <w:tcPr>
                                  <w:tcW w:w="4791" w:type="dxa"/>
                                  <w:tcBorders/>
                                  <w:shd w:fill="auto" w:val="clear"/>
                                  <w:vAlign w:val="center"/>
                                </w:tcPr>
                                <w:p>
                                  <w:pPr>
                                    <w:pStyle w:val="TableContents"/>
                                    <w:spacing w:before="0" w:after="283"/>
                                    <w:jc w:val="left"/>
                                    <w:rPr>
                                      <w:rFonts w:ascii="Arial" w:hAnsi="Arial"/>
                                      <w:sz w:val="20"/>
                                    </w:rPr>
                                  </w:pPr>
                                  <w:r>
                                    <w:rPr>
                                      <w:rFonts w:ascii="Arial" w:hAnsi="Arial"/>
                                      <w:sz w:val="20"/>
                                    </w:rPr>
                                    <w:t>Experience Over Several Business Cycles</w:t>
                                  </w:r>
                                </w:p>
                              </w:tc>
                            </w:tr>
                            <w:tr>
                              <w:trPr/>
                              <w:tc>
                                <w:tcPr>
                                  <w:tcW w:w="909" w:type="dxa"/>
                                  <w:tcBorders/>
                                  <w:shd w:fill="auto" w:val="clear"/>
                                  <w:vAlign w:val="center"/>
                                </w:tcPr>
                                <w:p>
                                  <w:pPr>
                                    <w:pStyle w:val="TableContents"/>
                                    <w:spacing w:before="0" w:after="283"/>
                                    <w:jc w:val="center"/>
                                    <w:rPr/>
                                  </w:pPr>
                                  <w:r>
                                    <w:rPr/>
                                    <w:drawing>
                                      <wp:inline distT="0" distB="0" distL="0" distR="0">
                                        <wp:extent cx="323850" cy="304800"/>
                                        <wp:effectExtent l="0" t="0" r="0" b="0"/>
                                        <wp:docPr id="204"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79" descr=""/>
                                                <pic:cNvPicPr>
                                                  <a:picLocks noChangeAspect="1" noChangeArrowheads="1"/>
                                                </pic:cNvPicPr>
                                              </pic:nvPicPr>
                                              <pic:blipFill>
                                                <a:blip r:embed="rId180"/>
                                                <a:srcRect l="-3111" t="-3305" r="-3111" b="-3305"/>
                                                <a:stretch>
                                                  <a:fillRect/>
                                                </a:stretch>
                                              </pic:blipFill>
                                              <pic:spPr bwMode="auto">
                                                <a:xfrm>
                                                  <a:off x="0" y="0"/>
                                                  <a:ext cx="323850" cy="304800"/>
                                                </a:xfrm>
                                                <a:prstGeom prst="rect">
                                                  <a:avLst/>
                                                </a:prstGeom>
                                                <a:ln w="635">
                                                  <a:solidFill>
                                                    <a:srgbClr val="000000"/>
                                                  </a:solidFill>
                                                </a:ln>
                                              </pic:spPr>
                                            </pic:pic>
                                          </a:graphicData>
                                        </a:graphic>
                                      </wp:inline>
                                    </w:drawing>
                                  </w:r>
                                </w:p>
                              </w:tc>
                              <w:tc>
                                <w:tcPr>
                                  <w:tcW w:w="3473" w:type="dxa"/>
                                  <w:tcBorders/>
                                  <w:shd w:fill="auto" w:val="clear"/>
                                  <w:vAlign w:val="center"/>
                                </w:tcPr>
                                <w:p>
                                  <w:pPr>
                                    <w:pStyle w:val="TableContents"/>
                                    <w:spacing w:before="0" w:after="283"/>
                                    <w:jc w:val="left"/>
                                    <w:rPr>
                                      <w:rFonts w:ascii="Arial" w:hAnsi="Arial"/>
                                      <w:sz w:val="20"/>
                                    </w:rPr>
                                  </w:pPr>
                                  <w:r>
                                    <w:rPr>
                                      <w:rFonts w:ascii="Arial" w:hAnsi="Arial"/>
                                      <w:sz w:val="20"/>
                                    </w:rPr>
                                    <w:t>Talent Management</w:t>
                                  </w:r>
                                </w:p>
                              </w:tc>
                              <w:tc>
                                <w:tcPr>
                                  <w:tcW w:w="1032" w:type="dxa"/>
                                  <w:tcBorders/>
                                  <w:shd w:fill="auto" w:val="clear"/>
                                  <w:vAlign w:val="center"/>
                                </w:tcPr>
                                <w:p>
                                  <w:pPr>
                                    <w:pStyle w:val="TableContents"/>
                                    <w:spacing w:before="0" w:after="283"/>
                                    <w:jc w:val="center"/>
                                    <w:rPr/>
                                  </w:pPr>
                                  <w:r>
                                    <w:rPr/>
                                    <w:drawing>
                                      <wp:inline distT="0" distB="0" distL="0" distR="0">
                                        <wp:extent cx="361950" cy="266700"/>
                                        <wp:effectExtent l="0" t="0" r="0" b="0"/>
                                        <wp:docPr id="205"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80" descr=""/>
                                                <pic:cNvPicPr>
                                                  <a:picLocks noChangeAspect="1" noChangeArrowheads="1"/>
                                                </pic:cNvPicPr>
                                              </pic:nvPicPr>
                                              <pic:blipFill>
                                                <a:blip r:embed="rId181"/>
                                                <a:srcRect l="-2786" t="-3778" r="-2786" b="-3778"/>
                                                <a:stretch>
                                                  <a:fillRect/>
                                                </a:stretch>
                                              </pic:blipFill>
                                              <pic:spPr bwMode="auto">
                                                <a:xfrm>
                                                  <a:off x="0" y="0"/>
                                                  <a:ext cx="361950" cy="266700"/>
                                                </a:xfrm>
                                                <a:prstGeom prst="rect">
                                                  <a:avLst/>
                                                </a:prstGeom>
                                                <a:ln w="635">
                                                  <a:solidFill>
                                                    <a:srgbClr val="000000"/>
                                                  </a:solidFill>
                                                </a:ln>
                                              </pic:spPr>
                                            </pic:pic>
                                          </a:graphicData>
                                        </a:graphic>
                                      </wp:inline>
                                    </w:drawing>
                                  </w:r>
                                </w:p>
                              </w:tc>
                              <w:tc>
                                <w:tcPr>
                                  <w:tcW w:w="4791" w:type="dxa"/>
                                  <w:tcBorders/>
                                  <w:shd w:fill="auto" w:val="clear"/>
                                  <w:vAlign w:val="center"/>
                                </w:tcPr>
                                <w:p>
                                  <w:pPr>
                                    <w:pStyle w:val="TableContents"/>
                                    <w:spacing w:before="0" w:after="283"/>
                                    <w:jc w:val="left"/>
                                    <w:rPr>
                                      <w:rFonts w:ascii="Arial" w:hAnsi="Arial"/>
                                      <w:sz w:val="20"/>
                                    </w:rPr>
                                  </w:pPr>
                                  <w:r>
                                    <w:rPr>
                                      <w:rFonts w:ascii="Arial" w:hAnsi="Arial"/>
                                      <w:sz w:val="20"/>
                                    </w:rPr>
                                    <w:t>Academia</w:t>
                                  </w:r>
                                </w:p>
                              </w:tc>
                            </w:tr>
                            <w:tr>
                              <w:trPr/>
                              <w:tc>
                                <w:tcPr>
                                  <w:tcW w:w="909" w:type="dxa"/>
                                  <w:tcBorders/>
                                  <w:shd w:fill="auto" w:val="clear"/>
                                  <w:vAlign w:val="center"/>
                                </w:tcPr>
                                <w:p>
                                  <w:pPr>
                                    <w:pStyle w:val="TableContents"/>
                                    <w:spacing w:before="0" w:after="283"/>
                                    <w:jc w:val="center"/>
                                    <w:rPr/>
                                  </w:pPr>
                                  <w:r>
                                    <w:rPr/>
                                    <w:drawing>
                                      <wp:inline distT="0" distB="0" distL="0" distR="0">
                                        <wp:extent cx="333375" cy="361950"/>
                                        <wp:effectExtent l="0" t="0" r="0" b="0"/>
                                        <wp:docPr id="206"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81" descr=""/>
                                                <pic:cNvPicPr>
                                                  <a:picLocks noChangeAspect="1" noChangeArrowheads="1"/>
                                                </pic:cNvPicPr>
                                              </pic:nvPicPr>
                                              <pic:blipFill>
                                                <a:blip r:embed="rId182"/>
                                                <a:srcRect l="-3023" t="-2786" r="-3023" b="-2786"/>
                                                <a:stretch>
                                                  <a:fillRect/>
                                                </a:stretch>
                                              </pic:blipFill>
                                              <pic:spPr bwMode="auto">
                                                <a:xfrm>
                                                  <a:off x="0" y="0"/>
                                                  <a:ext cx="333375" cy="361950"/>
                                                </a:xfrm>
                                                <a:prstGeom prst="rect">
                                                  <a:avLst/>
                                                </a:prstGeom>
                                                <a:ln w="635">
                                                  <a:solidFill>
                                                    <a:srgbClr val="000000"/>
                                                  </a:solidFill>
                                                </a:ln>
                                              </pic:spPr>
                                            </pic:pic>
                                          </a:graphicData>
                                        </a:graphic>
                                      </wp:inline>
                                    </w:drawing>
                                  </w:r>
                                </w:p>
                              </w:tc>
                              <w:tc>
                                <w:tcPr>
                                  <w:tcW w:w="3473" w:type="dxa"/>
                                  <w:tcBorders/>
                                  <w:shd w:fill="auto" w:val="clear"/>
                                  <w:vAlign w:val="center"/>
                                </w:tcPr>
                                <w:p>
                                  <w:pPr>
                                    <w:pStyle w:val="TableContents"/>
                                    <w:spacing w:before="0" w:after="283"/>
                                    <w:jc w:val="left"/>
                                    <w:rPr>
                                      <w:rFonts w:ascii="Arial" w:hAnsi="Arial"/>
                                      <w:sz w:val="20"/>
                                    </w:rPr>
                                  </w:pPr>
                                  <w:r>
                                    <w:rPr>
                                      <w:rFonts w:ascii="Arial" w:hAnsi="Arial"/>
                                      <w:sz w:val="20"/>
                                    </w:rPr>
                                    <w:t>Government/Regulatory Experience</w:t>
                                  </w:r>
                                </w:p>
                              </w:tc>
                              <w:tc>
                                <w:tcPr>
                                  <w:tcW w:w="1032" w:type="dxa"/>
                                  <w:tcBorders/>
                                  <w:shd w:fill="auto" w:val="clear"/>
                                  <w:vAlign w:val="center"/>
                                </w:tcPr>
                                <w:p>
                                  <w:pPr>
                                    <w:pStyle w:val="TableContents"/>
                                    <w:spacing w:before="0" w:after="283"/>
                                    <w:rPr>
                                      <w:sz w:val="4"/>
                                      <w:szCs w:val="4"/>
                                    </w:rPr>
                                  </w:pPr>
                                  <w:r>
                                    <w:rPr>
                                      <w:sz w:val="4"/>
                                      <w:szCs w:val="4"/>
                                    </w:rPr>
                                  </w:r>
                                </w:p>
                              </w:tc>
                              <w:tc>
                                <w:tcPr>
                                  <w:tcW w:w="4791" w:type="dxa"/>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663.65pt;mso-wrap-distance-left:0pt;mso-wrap-distance-right:0pt;mso-wrap-distance-top:0pt;mso-wrap-distance-bottom:0pt;margin-top:0pt;mso-position-vertical:top;mso-position-vertical-relative:text;margin-left:148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909"/>
                        <w:gridCol w:w="3473"/>
                        <w:gridCol w:w="1032"/>
                        <w:gridCol w:w="4791"/>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Mr. Alschuler’s achievements in academia and business, as well as his extensive knowledge of commercial real estate, New York City’s economy, commercial and other markets in New York City and national and international markets for real estate, and his expertise in inter-governmental relations, allow him to assess the real estate market and the Company’s business from a knowledgeable and informed perspective, from which he provides valuable insights into the Company’s business.</w:t>
                            </w:r>
                          </w:p>
                        </w:tc>
                      </w:tr>
                      <w:tr>
                        <w:trPr/>
                        <w:tc>
                          <w:tcPr>
                            <w:tcW w:w="909" w:type="dxa"/>
                            <w:tcBorders/>
                            <w:shd w:fill="auto" w:val="clear"/>
                            <w:vAlign w:val="center"/>
                          </w:tcPr>
                          <w:p>
                            <w:pPr>
                              <w:pStyle w:val="TableContents"/>
                              <w:spacing w:before="0" w:after="283"/>
                              <w:jc w:val="left"/>
                              <w:rPr/>
                            </w:pPr>
                            <w:r>
                              <w:rPr/>
                              <w:t> </w:t>
                            </w:r>
                          </w:p>
                        </w:tc>
                        <w:tc>
                          <w:tcPr>
                            <w:tcW w:w="3473"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4791" w:type="dxa"/>
                            <w:tcBorders/>
                            <w:shd w:fill="auto" w:val="clear"/>
                            <w:vAlign w:val="center"/>
                          </w:tcPr>
                          <w:p>
                            <w:pPr>
                              <w:pStyle w:val="TableContents"/>
                              <w:spacing w:before="0" w:after="283"/>
                              <w:rPr>
                                <w:sz w:val="4"/>
                                <w:szCs w:val="4"/>
                              </w:rPr>
                            </w:pPr>
                            <w:r>
                              <w:rPr>
                                <w:sz w:val="4"/>
                                <w:szCs w:val="4"/>
                              </w:rPr>
                            </w:r>
                          </w:p>
                        </w:tc>
                      </w:tr>
                      <w:tr>
                        <w:trPr/>
                        <w:tc>
                          <w:tcPr>
                            <w:tcW w:w="909"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473"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032"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4791"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2"/>
                              </w:rPr>
                              <w:t>Professional Experience</w:t>
                            </w:r>
                          </w:p>
                          <w:p>
                            <w:pPr>
                              <w:pStyle w:val="TableContents"/>
                              <w:spacing w:before="0" w:after="0"/>
                              <w:ind w:left="0" w:right="0" w:hanging="290"/>
                              <w:jc w:val="left"/>
                              <w:rPr/>
                            </w:pPr>
                            <w:r>
                              <w:rPr>
                                <w:color w:val="000000"/>
                              </w:rPr>
                              <w:t>●</w:t>
                            </w:r>
                            <w:r>
                              <w:rPr>
                                <w:rFonts w:ascii="Arial" w:hAnsi="Arial"/>
                                <w:sz w:val="20"/>
                              </w:rPr>
                              <w:t>Executive Chairman of Therme Group US, an entity which designs, builds and operates large scale well-being facilities, since 2022</w:t>
                            </w:r>
                          </w:p>
                          <w:p>
                            <w:pPr>
                              <w:pStyle w:val="TableContents"/>
                              <w:spacing w:before="0" w:after="0"/>
                              <w:ind w:left="0" w:right="0" w:hanging="290"/>
                              <w:jc w:val="left"/>
                              <w:rPr/>
                            </w:pPr>
                            <w:r>
                              <w:rPr>
                                <w:color w:val="000000"/>
                              </w:rPr>
                              <w:t>●</w:t>
                            </w:r>
                            <w:r>
                              <w:rPr>
                                <w:rFonts w:ascii="Arial" w:hAnsi="Arial"/>
                                <w:sz w:val="20"/>
                              </w:rPr>
                              <w:t>Chair of HR&amp;A Advisors Inc., an economic development, real-estate and public policy consulting organization, from 2008 to 2021</w:t>
                            </w:r>
                          </w:p>
                          <w:p>
                            <w:pPr>
                              <w:pStyle w:val="TableContents"/>
                              <w:spacing w:before="0" w:after="0"/>
                              <w:ind w:left="0" w:right="0" w:hanging="290"/>
                              <w:jc w:val="left"/>
                              <w:rPr/>
                            </w:pPr>
                            <w:r>
                              <w:rPr>
                                <w:color w:val="000000"/>
                              </w:rPr>
                              <w:t>●</w:t>
                            </w:r>
                            <w:r>
                              <w:rPr>
                                <w:rFonts w:ascii="Arial" w:hAnsi="Arial"/>
                                <w:sz w:val="20"/>
                              </w:rPr>
                              <w:t>Adjunct Associate Professor, Graduate School of Architecture, Planning &amp; Preservation at Columbia University, teaching real estate development</w:t>
                            </w:r>
                          </w:p>
                          <w:p>
                            <w:pPr>
                              <w:pStyle w:val="TableContents"/>
                              <w:spacing w:before="0" w:after="0"/>
                              <w:ind w:left="0" w:right="0" w:hanging="290"/>
                              <w:jc w:val="left"/>
                              <w:rPr/>
                            </w:pPr>
                            <w:r>
                              <w:rPr>
                                <w:color w:val="000000"/>
                              </w:rPr>
                              <w:t>●</w:t>
                            </w:r>
                            <w:r>
                              <w:rPr>
                                <w:rFonts w:ascii="Arial" w:hAnsi="Arial"/>
                                <w:sz w:val="20"/>
                              </w:rPr>
                              <w:t>Board of Directors of the Center for an Urban Future, Friends of the High Line Inc., and the Sag Harbor Cinema Arts Center, each a 501(c)(3) tax-exempt organization</w:t>
                            </w:r>
                          </w:p>
                          <w:p>
                            <w:pPr>
                              <w:pStyle w:val="TableContents"/>
                              <w:ind w:left="0" w:right="0" w:hanging="290"/>
                              <w:jc w:val="left"/>
                              <w:rPr/>
                            </w:pPr>
                            <w:r>
                              <w:rPr>
                                <w:color w:val="000000"/>
                              </w:rPr>
                              <w:t>●</w:t>
                            </w:r>
                            <w:r>
                              <w:rPr>
                                <w:rFonts w:ascii="Arial" w:hAnsi="Arial"/>
                                <w:sz w:val="20"/>
                              </w:rPr>
                              <w:t>B.A. degree from Wesleyan University and Ed.D. degree from the University of Massachusetts at Amherst</w:t>
                            </w:r>
                          </w:p>
                          <w:p>
                            <w:pPr>
                              <w:pStyle w:val="TableContents"/>
                              <w:jc w:val="left"/>
                              <w:rPr/>
                            </w:pPr>
                            <w:r>
                              <w:rPr>
                                <w:rStyle w:val="StrongEmphasis"/>
                                <w:rFonts w:ascii="Arial" w:hAnsi="Arial"/>
                                <w:color w:val="1A2343"/>
                                <w:sz w:val="22"/>
                              </w:rPr>
                              <w:t>Other Public Board Directorships</w:t>
                            </w:r>
                          </w:p>
                          <w:p>
                            <w:pPr>
                              <w:pStyle w:val="TableContents"/>
                              <w:spacing w:before="0" w:after="0"/>
                              <w:ind w:left="0" w:right="0" w:hanging="290"/>
                              <w:jc w:val="left"/>
                              <w:rPr/>
                            </w:pPr>
                            <w:r>
                              <w:rPr>
                                <w:color w:val="000000"/>
                              </w:rPr>
                              <w:t>●</w:t>
                            </w:r>
                            <w:r>
                              <w:rPr>
                                <w:rFonts w:ascii="Arial" w:hAnsi="Arial"/>
                                <w:sz w:val="20"/>
                              </w:rPr>
                              <w:t>Xenia Hotels and Resorts, Inc. since 2015</w:t>
                            </w:r>
                          </w:p>
                          <w:p>
                            <w:pPr>
                              <w:pStyle w:val="TableContents"/>
                              <w:spacing w:before="0" w:after="0"/>
                              <w:ind w:left="0" w:right="0" w:hanging="290"/>
                              <w:jc w:val="left"/>
                              <w:rPr/>
                            </w:pPr>
                            <w:r>
                              <w:rPr>
                                <w:color w:val="000000"/>
                              </w:rPr>
                              <w:t>●</w:t>
                            </w:r>
                            <w:r>
                              <w:rPr>
                                <w:rFonts w:ascii="Arial" w:hAnsi="Arial"/>
                                <w:sz w:val="20"/>
                              </w:rPr>
                              <w:t>The Macerich Company since 2015</w:t>
                            </w:r>
                          </w:p>
                        </w:tc>
                      </w:tr>
                      <w:tr>
                        <w:trPr/>
                        <w:tc>
                          <w:tcPr>
                            <w:tcW w:w="909" w:type="dxa"/>
                            <w:tcBorders/>
                            <w:shd w:fill="auto" w:val="clear"/>
                            <w:vAlign w:val="center"/>
                          </w:tcPr>
                          <w:p>
                            <w:pPr>
                              <w:pStyle w:val="TableContents"/>
                              <w:spacing w:before="0" w:after="283"/>
                              <w:jc w:val="left"/>
                              <w:rPr/>
                            </w:pPr>
                            <w:r>
                              <w:rPr/>
                              <w:t> </w:t>
                            </w:r>
                          </w:p>
                        </w:tc>
                        <w:tc>
                          <w:tcPr>
                            <w:tcW w:w="3473"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4791" w:type="dxa"/>
                            <w:tcBorders/>
                            <w:shd w:fill="auto" w:val="clear"/>
                            <w:vAlign w:val="center"/>
                          </w:tcPr>
                          <w:p>
                            <w:pPr>
                              <w:pStyle w:val="TableContents"/>
                              <w:spacing w:before="0" w:after="283"/>
                              <w:rPr>
                                <w:sz w:val="4"/>
                                <w:szCs w:val="4"/>
                              </w:rPr>
                            </w:pPr>
                            <w:r>
                              <w:rPr>
                                <w:sz w:val="4"/>
                                <w:szCs w:val="4"/>
                              </w:rPr>
                            </w:r>
                          </w:p>
                        </w:tc>
                      </w:tr>
                      <w:tr>
                        <w:trPr/>
                        <w:tc>
                          <w:tcPr>
                            <w:tcW w:w="909"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473"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032"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4791"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909" w:type="dxa"/>
                            <w:tcBorders/>
                            <w:shd w:fill="auto" w:val="clear"/>
                            <w:vAlign w:val="center"/>
                          </w:tcPr>
                          <w:p>
                            <w:pPr>
                              <w:pStyle w:val="TableContents"/>
                              <w:spacing w:before="0" w:after="283"/>
                              <w:jc w:val="center"/>
                              <w:rPr/>
                            </w:pPr>
                            <w:r>
                              <w:rPr/>
                              <w:drawing>
                                <wp:inline distT="0" distB="0" distL="0" distR="0">
                                  <wp:extent cx="295275" cy="323850"/>
                                  <wp:effectExtent l="0" t="0" r="0" b="0"/>
                                  <wp:docPr id="20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73" descr=""/>
                                          <pic:cNvPicPr>
                                            <a:picLocks noChangeAspect="1" noChangeArrowheads="1"/>
                                          </pic:cNvPicPr>
                                        </pic:nvPicPr>
                                        <pic:blipFill>
                                          <a:blip r:embed="rId174"/>
                                          <a:srcRect l="-3414" t="-3111" r="-3414" b="-3111"/>
                                          <a:stretch>
                                            <a:fillRect/>
                                          </a:stretch>
                                        </pic:blipFill>
                                        <pic:spPr bwMode="auto">
                                          <a:xfrm>
                                            <a:off x="0" y="0"/>
                                            <a:ext cx="295275" cy="323850"/>
                                          </a:xfrm>
                                          <a:prstGeom prst="rect">
                                            <a:avLst/>
                                          </a:prstGeom>
                                          <a:ln w="635">
                                            <a:solidFill>
                                              <a:srgbClr val="000000"/>
                                            </a:solidFill>
                                          </a:ln>
                                        </pic:spPr>
                                      </pic:pic>
                                    </a:graphicData>
                                  </a:graphic>
                                </wp:inline>
                              </w:drawing>
                            </w:r>
                          </w:p>
                        </w:tc>
                        <w:tc>
                          <w:tcPr>
                            <w:tcW w:w="3473"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c>
                          <w:tcPr>
                            <w:tcW w:w="1032" w:type="dxa"/>
                            <w:tcBorders/>
                            <w:shd w:fill="auto" w:val="clear"/>
                            <w:vAlign w:val="center"/>
                          </w:tcPr>
                          <w:p>
                            <w:pPr>
                              <w:pStyle w:val="TableContents"/>
                              <w:spacing w:before="0" w:after="283"/>
                              <w:jc w:val="center"/>
                              <w:rPr/>
                            </w:pPr>
                            <w:r>
                              <w:rPr/>
                              <w:drawing>
                                <wp:inline distT="0" distB="0" distL="0" distR="0">
                                  <wp:extent cx="352425" cy="342900"/>
                                  <wp:effectExtent l="0" t="0" r="0" b="0"/>
                                  <wp:docPr id="20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74" descr=""/>
                                          <pic:cNvPicPr>
                                            <a:picLocks noChangeAspect="1" noChangeArrowheads="1"/>
                                          </pic:cNvPicPr>
                                        </pic:nvPicPr>
                                        <pic:blipFill>
                                          <a:blip r:embed="rId175"/>
                                          <a:srcRect l="-2860" t="-2938" r="-2860" b="-2938"/>
                                          <a:stretch>
                                            <a:fillRect/>
                                          </a:stretch>
                                        </pic:blipFill>
                                        <pic:spPr bwMode="auto">
                                          <a:xfrm>
                                            <a:off x="0" y="0"/>
                                            <a:ext cx="352425" cy="342900"/>
                                          </a:xfrm>
                                          <a:prstGeom prst="rect">
                                            <a:avLst/>
                                          </a:prstGeom>
                                          <a:ln w="635">
                                            <a:solidFill>
                                              <a:srgbClr val="000000"/>
                                            </a:solidFill>
                                          </a:ln>
                                        </pic:spPr>
                                      </pic:pic>
                                    </a:graphicData>
                                  </a:graphic>
                                </wp:inline>
                              </w:drawing>
                            </w:r>
                          </w:p>
                        </w:tc>
                        <w:tc>
                          <w:tcPr>
                            <w:tcW w:w="4791" w:type="dxa"/>
                            <w:tcBorders/>
                            <w:shd w:fill="auto" w:val="clear"/>
                            <w:vAlign w:val="center"/>
                          </w:tcPr>
                          <w:p>
                            <w:pPr>
                              <w:pStyle w:val="TableContents"/>
                              <w:spacing w:before="0" w:after="283"/>
                              <w:jc w:val="left"/>
                              <w:rPr>
                                <w:rFonts w:ascii="Arial" w:hAnsi="Arial"/>
                                <w:sz w:val="20"/>
                              </w:rPr>
                            </w:pPr>
                            <w:r>
                              <w:rPr>
                                <w:rFonts w:ascii="Arial" w:hAnsi="Arial"/>
                                <w:sz w:val="20"/>
                              </w:rPr>
                              <w:t>Finance/Capital Markets</w:t>
                            </w:r>
                          </w:p>
                        </w:tc>
                      </w:tr>
                      <w:tr>
                        <w:trPr/>
                        <w:tc>
                          <w:tcPr>
                            <w:tcW w:w="909" w:type="dxa"/>
                            <w:tcBorders/>
                            <w:shd w:fill="auto" w:val="clear"/>
                            <w:vAlign w:val="center"/>
                          </w:tcPr>
                          <w:p>
                            <w:pPr>
                              <w:pStyle w:val="TableContents"/>
                              <w:spacing w:before="0" w:after="283"/>
                              <w:jc w:val="center"/>
                              <w:rPr/>
                            </w:pPr>
                            <w:r>
                              <w:rPr/>
                              <w:drawing>
                                <wp:inline distT="0" distB="0" distL="0" distR="0">
                                  <wp:extent cx="333375" cy="342900"/>
                                  <wp:effectExtent l="0" t="0" r="0" b="0"/>
                                  <wp:docPr id="20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75" descr=""/>
                                          <pic:cNvPicPr>
                                            <a:picLocks noChangeAspect="1" noChangeArrowheads="1"/>
                                          </pic:cNvPicPr>
                                        </pic:nvPicPr>
                                        <pic:blipFill>
                                          <a:blip r:embed="rId176"/>
                                          <a:srcRect l="-3023" t="-2938" r="-3023" b="-2938"/>
                                          <a:stretch>
                                            <a:fillRect/>
                                          </a:stretch>
                                        </pic:blipFill>
                                        <pic:spPr bwMode="auto">
                                          <a:xfrm>
                                            <a:off x="0" y="0"/>
                                            <a:ext cx="333375" cy="342900"/>
                                          </a:xfrm>
                                          <a:prstGeom prst="rect">
                                            <a:avLst/>
                                          </a:prstGeom>
                                          <a:ln w="635">
                                            <a:solidFill>
                                              <a:srgbClr val="000000"/>
                                            </a:solidFill>
                                          </a:ln>
                                        </pic:spPr>
                                      </pic:pic>
                                    </a:graphicData>
                                  </a:graphic>
                                </wp:inline>
                              </w:drawing>
                            </w:r>
                          </w:p>
                        </w:tc>
                        <w:tc>
                          <w:tcPr>
                            <w:tcW w:w="3473"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1032" w:type="dxa"/>
                            <w:tcBorders/>
                            <w:shd w:fill="auto" w:val="clear"/>
                            <w:vAlign w:val="center"/>
                          </w:tcPr>
                          <w:p>
                            <w:pPr>
                              <w:pStyle w:val="TableContents"/>
                              <w:spacing w:before="0" w:after="283"/>
                              <w:jc w:val="center"/>
                              <w:rPr/>
                            </w:pPr>
                            <w:r>
                              <w:rPr/>
                              <w:drawing>
                                <wp:inline distT="0" distB="0" distL="0" distR="0">
                                  <wp:extent cx="400050" cy="400050"/>
                                  <wp:effectExtent l="0" t="0" r="0" b="0"/>
                                  <wp:docPr id="21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76" descr=""/>
                                          <pic:cNvPicPr>
                                            <a:picLocks noChangeAspect="1" noChangeArrowheads="1"/>
                                          </pic:cNvPicPr>
                                        </pic:nvPicPr>
                                        <pic:blipFill>
                                          <a:blip r:embed="rId177"/>
                                          <a:srcRect l="-2520" t="-2520" r="-2520" b="-2520"/>
                                          <a:stretch>
                                            <a:fillRect/>
                                          </a:stretch>
                                        </pic:blipFill>
                                        <pic:spPr bwMode="auto">
                                          <a:xfrm>
                                            <a:off x="0" y="0"/>
                                            <a:ext cx="400050" cy="400050"/>
                                          </a:xfrm>
                                          <a:prstGeom prst="rect">
                                            <a:avLst/>
                                          </a:prstGeom>
                                          <a:ln w="635">
                                            <a:solidFill>
                                              <a:srgbClr val="000000"/>
                                            </a:solidFill>
                                          </a:ln>
                                        </pic:spPr>
                                      </pic:pic>
                                    </a:graphicData>
                                  </a:graphic>
                                </wp:inline>
                              </w:drawing>
                            </w:r>
                          </w:p>
                        </w:tc>
                        <w:tc>
                          <w:tcPr>
                            <w:tcW w:w="4791" w:type="dxa"/>
                            <w:tcBorders/>
                            <w:shd w:fill="auto" w:val="clear"/>
                            <w:vAlign w:val="center"/>
                          </w:tcPr>
                          <w:p>
                            <w:pPr>
                              <w:pStyle w:val="TableContents"/>
                              <w:spacing w:before="0" w:after="283"/>
                              <w:jc w:val="left"/>
                              <w:rPr>
                                <w:rFonts w:ascii="Arial" w:hAnsi="Arial"/>
                                <w:sz w:val="20"/>
                              </w:rPr>
                            </w:pPr>
                            <w:r>
                              <w:rPr>
                                <w:rFonts w:ascii="Arial" w:hAnsi="Arial"/>
                                <w:sz w:val="20"/>
                              </w:rPr>
                              <w:t>Public Company Board Service/ Corporate Governance</w:t>
                            </w:r>
                          </w:p>
                        </w:tc>
                      </w:tr>
                      <w:tr>
                        <w:trPr/>
                        <w:tc>
                          <w:tcPr>
                            <w:tcW w:w="909" w:type="dxa"/>
                            <w:tcBorders/>
                            <w:shd w:fill="auto" w:val="clear"/>
                            <w:vAlign w:val="center"/>
                          </w:tcPr>
                          <w:p>
                            <w:pPr>
                              <w:pStyle w:val="TableContents"/>
                              <w:spacing w:before="0" w:after="283"/>
                              <w:jc w:val="center"/>
                              <w:rPr/>
                            </w:pPr>
                            <w:r>
                              <w:rPr/>
                              <w:drawing>
                                <wp:inline distT="0" distB="0" distL="0" distR="0">
                                  <wp:extent cx="352425" cy="333375"/>
                                  <wp:effectExtent l="0" t="0" r="0" b="0"/>
                                  <wp:docPr id="21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77" descr=""/>
                                          <pic:cNvPicPr>
                                            <a:picLocks noChangeAspect="1" noChangeArrowheads="1"/>
                                          </pic:cNvPicPr>
                                        </pic:nvPicPr>
                                        <pic:blipFill>
                                          <a:blip r:embed="rId178"/>
                                          <a:srcRect l="-2860" t="-3023" r="-2860" b="-3023"/>
                                          <a:stretch>
                                            <a:fillRect/>
                                          </a:stretch>
                                        </pic:blipFill>
                                        <pic:spPr bwMode="auto">
                                          <a:xfrm>
                                            <a:off x="0" y="0"/>
                                            <a:ext cx="352425" cy="333375"/>
                                          </a:xfrm>
                                          <a:prstGeom prst="rect">
                                            <a:avLst/>
                                          </a:prstGeom>
                                          <a:ln w="635">
                                            <a:solidFill>
                                              <a:srgbClr val="000000"/>
                                            </a:solidFill>
                                          </a:ln>
                                        </pic:spPr>
                                      </pic:pic>
                                    </a:graphicData>
                                  </a:graphic>
                                </wp:inline>
                              </w:drawing>
                            </w:r>
                          </w:p>
                        </w:tc>
                        <w:tc>
                          <w:tcPr>
                            <w:tcW w:w="3473" w:type="dxa"/>
                            <w:tcBorders/>
                            <w:shd w:fill="auto" w:val="clear"/>
                            <w:vAlign w:val="center"/>
                          </w:tcPr>
                          <w:p>
                            <w:pPr>
                              <w:pStyle w:val="TableContents"/>
                              <w:spacing w:before="0" w:after="283"/>
                              <w:jc w:val="left"/>
                              <w:rPr>
                                <w:rFonts w:ascii="Arial" w:hAnsi="Arial"/>
                                <w:sz w:val="20"/>
                              </w:rPr>
                            </w:pPr>
                            <w:r>
                              <w:rPr>
                                <w:rFonts w:ascii="Arial" w:hAnsi="Arial"/>
                                <w:sz w:val="20"/>
                              </w:rPr>
                              <w:t>REIT/Real Estate Industry</w:t>
                            </w:r>
                          </w:p>
                        </w:tc>
                        <w:tc>
                          <w:tcPr>
                            <w:tcW w:w="1032" w:type="dxa"/>
                            <w:tcBorders/>
                            <w:shd w:fill="auto" w:val="clear"/>
                            <w:vAlign w:val="center"/>
                          </w:tcPr>
                          <w:p>
                            <w:pPr>
                              <w:pStyle w:val="TableContents"/>
                              <w:spacing w:before="0" w:after="283"/>
                              <w:jc w:val="center"/>
                              <w:rPr/>
                            </w:pPr>
                            <w:r>
                              <w:rPr/>
                              <w:drawing>
                                <wp:inline distT="0" distB="0" distL="0" distR="0">
                                  <wp:extent cx="333375" cy="323850"/>
                                  <wp:effectExtent l="0" t="0" r="0" b="0"/>
                                  <wp:docPr id="21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78" descr=""/>
                                          <pic:cNvPicPr>
                                            <a:picLocks noChangeAspect="1" noChangeArrowheads="1"/>
                                          </pic:cNvPicPr>
                                        </pic:nvPicPr>
                                        <pic:blipFill>
                                          <a:blip r:embed="rId179"/>
                                          <a:srcRect l="-3023" t="-3111" r="-3023" b="-3111"/>
                                          <a:stretch>
                                            <a:fillRect/>
                                          </a:stretch>
                                        </pic:blipFill>
                                        <pic:spPr bwMode="auto">
                                          <a:xfrm>
                                            <a:off x="0" y="0"/>
                                            <a:ext cx="333375" cy="323850"/>
                                          </a:xfrm>
                                          <a:prstGeom prst="rect">
                                            <a:avLst/>
                                          </a:prstGeom>
                                          <a:ln w="635">
                                            <a:solidFill>
                                              <a:srgbClr val="000000"/>
                                            </a:solidFill>
                                          </a:ln>
                                        </pic:spPr>
                                      </pic:pic>
                                    </a:graphicData>
                                  </a:graphic>
                                </wp:inline>
                              </w:drawing>
                            </w:r>
                          </w:p>
                        </w:tc>
                        <w:tc>
                          <w:tcPr>
                            <w:tcW w:w="4791" w:type="dxa"/>
                            <w:tcBorders/>
                            <w:shd w:fill="auto" w:val="clear"/>
                            <w:vAlign w:val="center"/>
                          </w:tcPr>
                          <w:p>
                            <w:pPr>
                              <w:pStyle w:val="TableContents"/>
                              <w:spacing w:before="0" w:after="283"/>
                              <w:jc w:val="left"/>
                              <w:rPr>
                                <w:rFonts w:ascii="Arial" w:hAnsi="Arial"/>
                                <w:sz w:val="20"/>
                              </w:rPr>
                            </w:pPr>
                            <w:r>
                              <w:rPr>
                                <w:rFonts w:ascii="Arial" w:hAnsi="Arial"/>
                                <w:sz w:val="20"/>
                              </w:rPr>
                              <w:t>Experience Over Several Business Cycles</w:t>
                            </w:r>
                          </w:p>
                        </w:tc>
                      </w:tr>
                      <w:tr>
                        <w:trPr/>
                        <w:tc>
                          <w:tcPr>
                            <w:tcW w:w="909" w:type="dxa"/>
                            <w:tcBorders/>
                            <w:shd w:fill="auto" w:val="clear"/>
                            <w:vAlign w:val="center"/>
                          </w:tcPr>
                          <w:p>
                            <w:pPr>
                              <w:pStyle w:val="TableContents"/>
                              <w:spacing w:before="0" w:after="283"/>
                              <w:jc w:val="center"/>
                              <w:rPr/>
                            </w:pPr>
                            <w:r>
                              <w:rPr/>
                              <w:drawing>
                                <wp:inline distT="0" distB="0" distL="0" distR="0">
                                  <wp:extent cx="323850" cy="304800"/>
                                  <wp:effectExtent l="0" t="0" r="0" b="0"/>
                                  <wp:docPr id="21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79" descr=""/>
                                          <pic:cNvPicPr>
                                            <a:picLocks noChangeAspect="1" noChangeArrowheads="1"/>
                                          </pic:cNvPicPr>
                                        </pic:nvPicPr>
                                        <pic:blipFill>
                                          <a:blip r:embed="rId180"/>
                                          <a:srcRect l="-3111" t="-3305" r="-3111" b="-3305"/>
                                          <a:stretch>
                                            <a:fillRect/>
                                          </a:stretch>
                                        </pic:blipFill>
                                        <pic:spPr bwMode="auto">
                                          <a:xfrm>
                                            <a:off x="0" y="0"/>
                                            <a:ext cx="323850" cy="304800"/>
                                          </a:xfrm>
                                          <a:prstGeom prst="rect">
                                            <a:avLst/>
                                          </a:prstGeom>
                                          <a:ln w="635">
                                            <a:solidFill>
                                              <a:srgbClr val="000000"/>
                                            </a:solidFill>
                                          </a:ln>
                                        </pic:spPr>
                                      </pic:pic>
                                    </a:graphicData>
                                  </a:graphic>
                                </wp:inline>
                              </w:drawing>
                            </w:r>
                          </w:p>
                        </w:tc>
                        <w:tc>
                          <w:tcPr>
                            <w:tcW w:w="3473" w:type="dxa"/>
                            <w:tcBorders/>
                            <w:shd w:fill="auto" w:val="clear"/>
                            <w:vAlign w:val="center"/>
                          </w:tcPr>
                          <w:p>
                            <w:pPr>
                              <w:pStyle w:val="TableContents"/>
                              <w:spacing w:before="0" w:after="283"/>
                              <w:jc w:val="left"/>
                              <w:rPr>
                                <w:rFonts w:ascii="Arial" w:hAnsi="Arial"/>
                                <w:sz w:val="20"/>
                              </w:rPr>
                            </w:pPr>
                            <w:r>
                              <w:rPr>
                                <w:rFonts w:ascii="Arial" w:hAnsi="Arial"/>
                                <w:sz w:val="20"/>
                              </w:rPr>
                              <w:t>Talent Management</w:t>
                            </w:r>
                          </w:p>
                        </w:tc>
                        <w:tc>
                          <w:tcPr>
                            <w:tcW w:w="1032" w:type="dxa"/>
                            <w:tcBorders/>
                            <w:shd w:fill="auto" w:val="clear"/>
                            <w:vAlign w:val="center"/>
                          </w:tcPr>
                          <w:p>
                            <w:pPr>
                              <w:pStyle w:val="TableContents"/>
                              <w:spacing w:before="0" w:after="283"/>
                              <w:jc w:val="center"/>
                              <w:rPr/>
                            </w:pPr>
                            <w:r>
                              <w:rPr/>
                              <w:drawing>
                                <wp:inline distT="0" distB="0" distL="0" distR="0">
                                  <wp:extent cx="361950" cy="266700"/>
                                  <wp:effectExtent l="0" t="0" r="0" b="0"/>
                                  <wp:docPr id="21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80" descr=""/>
                                          <pic:cNvPicPr>
                                            <a:picLocks noChangeAspect="1" noChangeArrowheads="1"/>
                                          </pic:cNvPicPr>
                                        </pic:nvPicPr>
                                        <pic:blipFill>
                                          <a:blip r:embed="rId181"/>
                                          <a:srcRect l="-2786" t="-3778" r="-2786" b="-3778"/>
                                          <a:stretch>
                                            <a:fillRect/>
                                          </a:stretch>
                                        </pic:blipFill>
                                        <pic:spPr bwMode="auto">
                                          <a:xfrm>
                                            <a:off x="0" y="0"/>
                                            <a:ext cx="361950" cy="266700"/>
                                          </a:xfrm>
                                          <a:prstGeom prst="rect">
                                            <a:avLst/>
                                          </a:prstGeom>
                                          <a:ln w="635">
                                            <a:solidFill>
                                              <a:srgbClr val="000000"/>
                                            </a:solidFill>
                                          </a:ln>
                                        </pic:spPr>
                                      </pic:pic>
                                    </a:graphicData>
                                  </a:graphic>
                                </wp:inline>
                              </w:drawing>
                            </w:r>
                          </w:p>
                        </w:tc>
                        <w:tc>
                          <w:tcPr>
                            <w:tcW w:w="4791" w:type="dxa"/>
                            <w:tcBorders/>
                            <w:shd w:fill="auto" w:val="clear"/>
                            <w:vAlign w:val="center"/>
                          </w:tcPr>
                          <w:p>
                            <w:pPr>
                              <w:pStyle w:val="TableContents"/>
                              <w:spacing w:before="0" w:after="283"/>
                              <w:jc w:val="left"/>
                              <w:rPr>
                                <w:rFonts w:ascii="Arial" w:hAnsi="Arial"/>
                                <w:sz w:val="20"/>
                              </w:rPr>
                            </w:pPr>
                            <w:r>
                              <w:rPr>
                                <w:rFonts w:ascii="Arial" w:hAnsi="Arial"/>
                                <w:sz w:val="20"/>
                              </w:rPr>
                              <w:t>Academia</w:t>
                            </w:r>
                          </w:p>
                        </w:tc>
                      </w:tr>
                      <w:tr>
                        <w:trPr/>
                        <w:tc>
                          <w:tcPr>
                            <w:tcW w:w="909" w:type="dxa"/>
                            <w:tcBorders/>
                            <w:shd w:fill="auto" w:val="clear"/>
                            <w:vAlign w:val="center"/>
                          </w:tcPr>
                          <w:p>
                            <w:pPr>
                              <w:pStyle w:val="TableContents"/>
                              <w:spacing w:before="0" w:after="283"/>
                              <w:jc w:val="center"/>
                              <w:rPr/>
                            </w:pPr>
                            <w:r>
                              <w:rPr/>
                              <w:drawing>
                                <wp:inline distT="0" distB="0" distL="0" distR="0">
                                  <wp:extent cx="333375" cy="361950"/>
                                  <wp:effectExtent l="0" t="0" r="0" b="0"/>
                                  <wp:docPr id="21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81" descr=""/>
                                          <pic:cNvPicPr>
                                            <a:picLocks noChangeAspect="1" noChangeArrowheads="1"/>
                                          </pic:cNvPicPr>
                                        </pic:nvPicPr>
                                        <pic:blipFill>
                                          <a:blip r:embed="rId182"/>
                                          <a:srcRect l="-3023" t="-2786" r="-3023" b="-2786"/>
                                          <a:stretch>
                                            <a:fillRect/>
                                          </a:stretch>
                                        </pic:blipFill>
                                        <pic:spPr bwMode="auto">
                                          <a:xfrm>
                                            <a:off x="0" y="0"/>
                                            <a:ext cx="333375" cy="361950"/>
                                          </a:xfrm>
                                          <a:prstGeom prst="rect">
                                            <a:avLst/>
                                          </a:prstGeom>
                                          <a:ln w="635">
                                            <a:solidFill>
                                              <a:srgbClr val="000000"/>
                                            </a:solidFill>
                                          </a:ln>
                                        </pic:spPr>
                                      </pic:pic>
                                    </a:graphicData>
                                  </a:graphic>
                                </wp:inline>
                              </w:drawing>
                            </w:r>
                          </w:p>
                        </w:tc>
                        <w:tc>
                          <w:tcPr>
                            <w:tcW w:w="3473" w:type="dxa"/>
                            <w:tcBorders/>
                            <w:shd w:fill="auto" w:val="clear"/>
                            <w:vAlign w:val="center"/>
                          </w:tcPr>
                          <w:p>
                            <w:pPr>
                              <w:pStyle w:val="TableContents"/>
                              <w:spacing w:before="0" w:after="283"/>
                              <w:jc w:val="left"/>
                              <w:rPr>
                                <w:rFonts w:ascii="Arial" w:hAnsi="Arial"/>
                                <w:sz w:val="20"/>
                              </w:rPr>
                            </w:pPr>
                            <w:r>
                              <w:rPr>
                                <w:rFonts w:ascii="Arial" w:hAnsi="Arial"/>
                                <w:sz w:val="20"/>
                              </w:rPr>
                              <w:t>Government/Regulatory Experience</w:t>
                            </w:r>
                          </w:p>
                        </w:tc>
                        <w:tc>
                          <w:tcPr>
                            <w:tcW w:w="1032" w:type="dxa"/>
                            <w:tcBorders/>
                            <w:shd w:fill="auto" w:val="clear"/>
                            <w:vAlign w:val="center"/>
                          </w:tcPr>
                          <w:p>
                            <w:pPr>
                              <w:pStyle w:val="TableContents"/>
                              <w:spacing w:before="0" w:after="283"/>
                              <w:rPr>
                                <w:sz w:val="4"/>
                                <w:szCs w:val="4"/>
                              </w:rPr>
                            </w:pPr>
                            <w:r>
                              <w:rPr>
                                <w:sz w:val="4"/>
                                <w:szCs w:val="4"/>
                              </w:rPr>
                            </w:r>
                          </w:p>
                        </w:tc>
                        <w:tc>
                          <w:tcPr>
                            <w:tcW w:w="4791" w:type="dxa"/>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900" w:type="dxa"/>
        <w:jc w:val="left"/>
        <w:tblInd w:w="0" w:type="dxa"/>
        <w:tblCellMar>
          <w:top w:w="0" w:type="dxa"/>
          <w:left w:w="0" w:type="dxa"/>
          <w:bottom w:w="0" w:type="dxa"/>
          <w:right w:w="0" w:type="dxa"/>
        </w:tblCellMar>
      </w:tblPr>
      <w:tblGrid>
        <w:gridCol w:w="4610"/>
        <w:gridCol w:w="290"/>
      </w:tblGrid>
      <w:tr>
        <w:trPr/>
        <w:tc>
          <w:tcPr>
            <w:tcW w:w="4610" w:type="dxa"/>
            <w:tcBorders/>
            <w:shd w:fill="auto" w:val="clear"/>
            <w:vAlign w:val="center"/>
          </w:tcPr>
          <w:p>
            <w:pPr>
              <w:pStyle w:val="TableContents"/>
              <w:spacing w:before="0" w:after="283"/>
              <w:jc w:val="left"/>
              <w:rPr>
                <w:rFonts w:ascii="Arial" w:hAnsi="Arial"/>
                <w:b/>
                <w:sz w:val="15"/>
              </w:rPr>
            </w:pPr>
            <w:r>
              <w:rPr>
                <w:rFonts w:ascii="Arial" w:hAnsi="Arial"/>
                <w:b/>
                <w:sz w:val="15"/>
              </w:rPr>
              <w:t>OUR BOARD OF DIRECTORS AND CORPORATE GOVERNANCE</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13</w:t>
            </w:r>
          </w:p>
        </w:tc>
      </w:tr>
    </w:tbl>
    <w:p>
      <w:pPr>
        <w:pStyle w:val="TextBody"/>
        <w:spacing w:before="0" w:after="0"/>
        <w:rPr/>
      </w:pPr>
      <w:r>
        <w:rPr/>
      </w: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1619885" cy="5065395"/>
                <wp:effectExtent l="0" t="0" r="0" b="0"/>
                <wp:wrapSquare wrapText="largest"/>
                <wp:docPr id="216" name="Frame11"/>
                <a:graphic xmlns:a="http://schemas.openxmlformats.org/drawingml/2006/main">
                  <a:graphicData uri="http://schemas.microsoft.com/office/word/2010/wordprocessingShape">
                    <wps:wsp>
                      <wps:cNvSpPr txBox="1"/>
                      <wps:spPr>
                        <a:xfrm>
                          <a:off x="0" y="0"/>
                          <a:ext cx="1619885" cy="5065395"/>
                        </a:xfrm>
                        <a:prstGeom prst="rect"/>
                      </wps:spPr>
                      <wps:txbx>
                        <w:txbxContent>
                          <w:tbl>
                            <w:tblPr>
                              <w:tblW w:w="5044" w:type="dxa"/>
                              <w:jc w:val="left"/>
                              <w:tblInd w:w="0" w:type="dxa"/>
                              <w:tblCellMar>
                                <w:top w:w="0" w:type="dxa"/>
                                <w:left w:w="0" w:type="dxa"/>
                                <w:bottom w:w="0" w:type="dxa"/>
                                <w:right w:w="28" w:type="dxa"/>
                              </w:tblCellMar>
                            </w:tblPr>
                            <w:tblGrid>
                              <w:gridCol w:w="501"/>
                              <w:gridCol w:w="4363"/>
                              <w:gridCol w:w="180"/>
                            </w:tblGrid>
                            <w:tr>
                              <w:trPr/>
                              <w:tc>
                                <w:tcPr>
                                  <w:tcW w:w="501" w:type="dxa"/>
                                  <w:tcBorders>
                                    <w:right w:val="single" w:sz="32" w:space="0" w:color="8EAD3C"/>
                                  </w:tcBorders>
                                  <w:shd w:fill="auto" w:val="clear"/>
                                  <w:vAlign w:val="center"/>
                                </w:tcPr>
                                <w:p>
                                  <w:pPr>
                                    <w:pStyle w:val="TableContents"/>
                                    <w:spacing w:before="0" w:after="283"/>
                                    <w:jc w:val="left"/>
                                    <w:rPr/>
                                  </w:pPr>
                                  <w:r>
                                    <w:rPr/>
                                    <w:t>   </w:t>
                                  </w:r>
                                </w:p>
                              </w:tc>
                              <w:tc>
                                <w:tcPr>
                                  <w:tcW w:w="4363"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4864" w:type="dxa"/>
                                  <w:gridSpan w:val="2"/>
                                  <w:tcBorders/>
                                  <w:shd w:fill="1A2343" w:val="clear"/>
                                  <w:tcMar>
                                    <w:right w:w="0" w:type="dxa"/>
                                  </w:tcMar>
                                  <w:vAlign w:val="center"/>
                                </w:tcPr>
                                <w:p>
                                  <w:pPr>
                                    <w:pStyle w:val="TableContents"/>
                                    <w:jc w:val="left"/>
                                    <w:rPr>
                                      <w:rFonts w:ascii="Arial" w:hAnsi="Arial"/>
                                      <w:b/>
                                      <w:color w:val="FFFFFF"/>
                                      <w:sz w:val="24"/>
                                    </w:rPr>
                                  </w:pPr>
                                  <w:r>
                                    <w:rPr>
                                      <w:rFonts w:ascii="Arial" w:hAnsi="Arial"/>
                                      <w:b/>
                                      <w:color w:val="FFFFFF"/>
                                      <w:sz w:val="24"/>
                                    </w:rPr>
                                    <w:t>BETSY S.</w:t>
                                    <w:br/>
                                    <w:t>ATKINS</w:t>
                                  </w:r>
                                </w:p>
                                <w:p>
                                  <w:pPr>
                                    <w:pStyle w:val="TableContents"/>
                                    <w:jc w:val="left"/>
                                    <w:rPr/>
                                  </w:pPr>
                                  <w:r>
                                    <w:rPr/>
                                    <w:drawing>
                                      <wp:inline distT="0" distB="0" distL="0" distR="0">
                                        <wp:extent cx="1219200" cy="1533525"/>
                                        <wp:effectExtent l="0" t="0" r="0" b="0"/>
                                        <wp:docPr id="217"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82" descr=""/>
                                                <pic:cNvPicPr>
                                                  <a:picLocks noChangeAspect="1" noChangeArrowheads="1"/>
                                                </pic:cNvPicPr>
                                              </pic:nvPicPr>
                                              <pic:blipFill>
                                                <a:blip r:embed="rId183"/>
                                                <a:srcRect l="-826" t="-657" r="-826" b="-657"/>
                                                <a:stretch>
                                                  <a:fillRect/>
                                                </a:stretch>
                                              </pic:blipFill>
                                              <pic:spPr bwMode="auto">
                                                <a:xfrm>
                                                  <a:off x="0" y="0"/>
                                                  <a:ext cx="1219200" cy="1533525"/>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Independent Director</w:t>
                                  </w:r>
                                </w:p>
                                <w:p>
                                  <w:pPr>
                                    <w:pStyle w:val="TableContents"/>
                                    <w:jc w:val="left"/>
                                    <w:rPr/>
                                  </w:pPr>
                                  <w:r>
                                    <w:rPr>
                                      <w:rFonts w:ascii="Arial" w:hAnsi="Arial"/>
                                      <w:color w:val="FFFFFF"/>
                                      <w:sz w:val="20"/>
                                    </w:rPr>
                                    <w:t>Director Since: </w:t>
                                  </w:r>
                                  <w:r>
                                    <w:rPr>
                                      <w:rStyle w:val="StrongEmphasis"/>
                                      <w:rFonts w:ascii="Arial" w:hAnsi="Arial"/>
                                      <w:color w:val="FFFFFF"/>
                                      <w:sz w:val="20"/>
                                    </w:rPr>
                                    <w:t xml:space="preserve">2015 </w:t>
                                  </w:r>
                                </w:p>
                                <w:p>
                                  <w:pPr>
                                    <w:pStyle w:val="TableContents"/>
                                    <w:jc w:val="left"/>
                                    <w:rPr/>
                                  </w:pPr>
                                  <w:r>
                                    <w:rPr>
                                      <w:rFonts w:ascii="Arial" w:hAnsi="Arial"/>
                                      <w:color w:val="FFFFFF"/>
                                      <w:sz w:val="20"/>
                                    </w:rPr>
                                    <w:t>Age: </w:t>
                                  </w:r>
                                  <w:r>
                                    <w:rPr>
                                      <w:rStyle w:val="StrongEmphasis"/>
                                      <w:rFonts w:ascii="Arial" w:hAnsi="Arial"/>
                                      <w:color w:val="FFFFFF"/>
                                      <w:sz w:val="20"/>
                                    </w:rPr>
                                    <w:t xml:space="preserve">69 </w:t>
                                  </w:r>
                                </w:p>
                                <w:p>
                                  <w:pPr>
                                    <w:pStyle w:val="TableContents"/>
                                    <w:jc w:val="left"/>
                                    <w:rPr>
                                      <w:rFonts w:ascii="Arial" w:hAnsi="Arial"/>
                                      <w:color w:val="FFFFFF"/>
                                      <w:sz w:val="20"/>
                                    </w:rPr>
                                  </w:pPr>
                                  <w:r>
                                    <w:rPr>
                                      <w:rFonts w:ascii="Arial" w:hAnsi="Arial"/>
                                      <w:color w:val="FFFFFF"/>
                                      <w:sz w:val="20"/>
                                    </w:rPr>
                                    <w:t>SL Green</w:t>
                                    <w:br/>
                                    <w:t>Board Service:</w:t>
                                  </w:r>
                                </w:p>
                                <w:p>
                                  <w:pPr>
                                    <w:pStyle w:val="TableContents"/>
                                    <w:spacing w:before="0" w:after="0"/>
                                    <w:ind w:left="0" w:right="0" w:hanging="290"/>
                                    <w:jc w:val="left"/>
                                    <w:rPr/>
                                  </w:pPr>
                                  <w:r>
                                    <w:rPr>
                                      <w:color w:val="FFFFFF"/>
                                    </w:rPr>
                                    <w:t>●</w:t>
                                  </w:r>
                                  <w:r>
                                    <w:rPr>
                                      <w:rStyle w:val="StrongEmphasis"/>
                                      <w:rFonts w:ascii="arial" w:hAnsi="arial"/>
                                      <w:color w:val="FFFFFF"/>
                                      <w:sz w:val="20"/>
                                    </w:rPr>
                                    <w:t>Audit Committee</w:t>
                                  </w:r>
                                </w:p>
                                <w:p>
                                  <w:pPr>
                                    <w:pStyle w:val="TableContents"/>
                                    <w:spacing w:before="0" w:after="0"/>
                                    <w:ind w:left="0" w:right="0" w:hanging="290"/>
                                    <w:jc w:val="left"/>
                                    <w:rPr/>
                                  </w:pPr>
                                  <w:r>
                                    <w:rPr>
                                      <w:color w:val="FFFFFF"/>
                                    </w:rPr>
                                    <w:t>●</w:t>
                                  </w:r>
                                  <w:r>
                                    <w:rPr>
                                      <w:rStyle w:val="StrongEmphasis"/>
                                      <w:rFonts w:ascii="arial" w:hAnsi="arial"/>
                                      <w:color w:val="FFFFFF"/>
                                      <w:sz w:val="20"/>
                                    </w:rPr>
                                    <w:t>Nominating and Corporate Governance Committee</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501" w:type="dxa"/>
                                  <w:tcBorders/>
                                  <w:shd w:fill="auto" w:val="clear"/>
                                  <w:tcMar>
                                    <w:right w:w="0" w:type="dxa"/>
                                  </w:tcMar>
                                  <w:vAlign w:val="center"/>
                                </w:tcPr>
                                <w:p>
                                  <w:pPr>
                                    <w:pStyle w:val="TableContents"/>
                                    <w:spacing w:before="0" w:after="283"/>
                                    <w:jc w:val="left"/>
                                    <w:rPr/>
                                  </w:pPr>
                                  <w:r>
                                    <w:rPr/>
                                    <w:t> </w:t>
                                  </w:r>
                                </w:p>
                              </w:tc>
                              <w:tc>
                                <w:tcPr>
                                  <w:tcW w:w="4363"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25000</wp14:pctWidth>
                </wp14:sizeRelH>
              </wp:anchor>
            </w:drawing>
          </mc:Choice>
          <mc:Fallback>
            <w:pict>
              <v:rect style="position:absolute;rotation:0;width:127.55pt;height:398.85pt;mso-wrap-distance-left:0pt;mso-wrap-distance-right:0pt;mso-wrap-distance-top:0pt;mso-wrap-distance-bottom:0pt;margin-top:0pt;mso-position-vertical:top;mso-position-vertical-relative:text;margin-left:0pt;mso-position-horizontal:left;mso-position-horizontal-relative:text">
                <v:textbox>
                  <w:txbxContent>
                    <w:tbl>
                      <w:tblPr>
                        <w:tblW w:w="5044" w:type="dxa"/>
                        <w:jc w:val="left"/>
                        <w:tblInd w:w="0" w:type="dxa"/>
                        <w:tblCellMar>
                          <w:top w:w="0" w:type="dxa"/>
                          <w:left w:w="0" w:type="dxa"/>
                          <w:bottom w:w="0" w:type="dxa"/>
                          <w:right w:w="28" w:type="dxa"/>
                        </w:tblCellMar>
                      </w:tblPr>
                      <w:tblGrid>
                        <w:gridCol w:w="501"/>
                        <w:gridCol w:w="4363"/>
                        <w:gridCol w:w="180"/>
                      </w:tblGrid>
                      <w:tr>
                        <w:trPr/>
                        <w:tc>
                          <w:tcPr>
                            <w:tcW w:w="501" w:type="dxa"/>
                            <w:tcBorders>
                              <w:right w:val="single" w:sz="32" w:space="0" w:color="8EAD3C"/>
                            </w:tcBorders>
                            <w:shd w:fill="auto" w:val="clear"/>
                            <w:vAlign w:val="center"/>
                          </w:tcPr>
                          <w:p>
                            <w:pPr>
                              <w:pStyle w:val="TableContents"/>
                              <w:spacing w:before="0" w:after="283"/>
                              <w:jc w:val="left"/>
                              <w:rPr/>
                            </w:pPr>
                            <w:r>
                              <w:rPr/>
                              <w:t>   </w:t>
                            </w:r>
                          </w:p>
                        </w:tc>
                        <w:tc>
                          <w:tcPr>
                            <w:tcW w:w="4363"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4864" w:type="dxa"/>
                            <w:gridSpan w:val="2"/>
                            <w:tcBorders/>
                            <w:shd w:fill="1A2343" w:val="clear"/>
                            <w:tcMar>
                              <w:right w:w="0" w:type="dxa"/>
                            </w:tcMar>
                            <w:vAlign w:val="center"/>
                          </w:tcPr>
                          <w:p>
                            <w:pPr>
                              <w:pStyle w:val="TableContents"/>
                              <w:jc w:val="left"/>
                              <w:rPr>
                                <w:rFonts w:ascii="Arial" w:hAnsi="Arial"/>
                                <w:b/>
                                <w:color w:val="FFFFFF"/>
                                <w:sz w:val="24"/>
                              </w:rPr>
                            </w:pPr>
                            <w:r>
                              <w:rPr>
                                <w:rFonts w:ascii="Arial" w:hAnsi="Arial"/>
                                <w:b/>
                                <w:color w:val="FFFFFF"/>
                                <w:sz w:val="24"/>
                              </w:rPr>
                              <w:t>BETSY S.</w:t>
                              <w:br/>
                              <w:t>ATKINS</w:t>
                            </w:r>
                          </w:p>
                          <w:p>
                            <w:pPr>
                              <w:pStyle w:val="TableContents"/>
                              <w:jc w:val="left"/>
                              <w:rPr/>
                            </w:pPr>
                            <w:r>
                              <w:rPr/>
                              <w:drawing>
                                <wp:inline distT="0" distB="0" distL="0" distR="0">
                                  <wp:extent cx="1219200" cy="1533525"/>
                                  <wp:effectExtent l="0" t="0" r="0" b="0"/>
                                  <wp:docPr id="218"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82" descr=""/>
                                          <pic:cNvPicPr>
                                            <a:picLocks noChangeAspect="1" noChangeArrowheads="1"/>
                                          </pic:cNvPicPr>
                                        </pic:nvPicPr>
                                        <pic:blipFill>
                                          <a:blip r:embed="rId183"/>
                                          <a:srcRect l="-826" t="-657" r="-826" b="-657"/>
                                          <a:stretch>
                                            <a:fillRect/>
                                          </a:stretch>
                                        </pic:blipFill>
                                        <pic:spPr bwMode="auto">
                                          <a:xfrm>
                                            <a:off x="0" y="0"/>
                                            <a:ext cx="1219200" cy="1533525"/>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Independent Director</w:t>
                            </w:r>
                          </w:p>
                          <w:p>
                            <w:pPr>
                              <w:pStyle w:val="TableContents"/>
                              <w:jc w:val="left"/>
                              <w:rPr/>
                            </w:pPr>
                            <w:r>
                              <w:rPr>
                                <w:rFonts w:ascii="Arial" w:hAnsi="Arial"/>
                                <w:color w:val="FFFFFF"/>
                                <w:sz w:val="20"/>
                              </w:rPr>
                              <w:t>Director Since: </w:t>
                            </w:r>
                            <w:r>
                              <w:rPr>
                                <w:rStyle w:val="StrongEmphasis"/>
                                <w:rFonts w:ascii="Arial" w:hAnsi="Arial"/>
                                <w:color w:val="FFFFFF"/>
                                <w:sz w:val="20"/>
                              </w:rPr>
                              <w:t xml:space="preserve">2015 </w:t>
                            </w:r>
                          </w:p>
                          <w:p>
                            <w:pPr>
                              <w:pStyle w:val="TableContents"/>
                              <w:jc w:val="left"/>
                              <w:rPr/>
                            </w:pPr>
                            <w:r>
                              <w:rPr>
                                <w:rFonts w:ascii="Arial" w:hAnsi="Arial"/>
                                <w:color w:val="FFFFFF"/>
                                <w:sz w:val="20"/>
                              </w:rPr>
                              <w:t>Age: </w:t>
                            </w:r>
                            <w:r>
                              <w:rPr>
                                <w:rStyle w:val="StrongEmphasis"/>
                                <w:rFonts w:ascii="Arial" w:hAnsi="Arial"/>
                                <w:color w:val="FFFFFF"/>
                                <w:sz w:val="20"/>
                              </w:rPr>
                              <w:t xml:space="preserve">69 </w:t>
                            </w:r>
                          </w:p>
                          <w:p>
                            <w:pPr>
                              <w:pStyle w:val="TableContents"/>
                              <w:jc w:val="left"/>
                              <w:rPr>
                                <w:rFonts w:ascii="Arial" w:hAnsi="Arial"/>
                                <w:color w:val="FFFFFF"/>
                                <w:sz w:val="20"/>
                              </w:rPr>
                            </w:pPr>
                            <w:r>
                              <w:rPr>
                                <w:rFonts w:ascii="Arial" w:hAnsi="Arial"/>
                                <w:color w:val="FFFFFF"/>
                                <w:sz w:val="20"/>
                              </w:rPr>
                              <w:t>SL Green</w:t>
                              <w:br/>
                              <w:t>Board Service:</w:t>
                            </w:r>
                          </w:p>
                          <w:p>
                            <w:pPr>
                              <w:pStyle w:val="TableContents"/>
                              <w:spacing w:before="0" w:after="0"/>
                              <w:ind w:left="0" w:right="0" w:hanging="290"/>
                              <w:jc w:val="left"/>
                              <w:rPr/>
                            </w:pPr>
                            <w:r>
                              <w:rPr>
                                <w:color w:val="FFFFFF"/>
                              </w:rPr>
                              <w:t>●</w:t>
                            </w:r>
                            <w:r>
                              <w:rPr>
                                <w:rStyle w:val="StrongEmphasis"/>
                                <w:rFonts w:ascii="arial" w:hAnsi="arial"/>
                                <w:color w:val="FFFFFF"/>
                                <w:sz w:val="20"/>
                              </w:rPr>
                              <w:t>Audit Committee</w:t>
                            </w:r>
                          </w:p>
                          <w:p>
                            <w:pPr>
                              <w:pStyle w:val="TableContents"/>
                              <w:spacing w:before="0" w:after="0"/>
                              <w:ind w:left="0" w:right="0" w:hanging="290"/>
                              <w:jc w:val="left"/>
                              <w:rPr/>
                            </w:pPr>
                            <w:r>
                              <w:rPr>
                                <w:color w:val="FFFFFF"/>
                              </w:rPr>
                              <w:t>●</w:t>
                            </w:r>
                            <w:r>
                              <w:rPr>
                                <w:rStyle w:val="StrongEmphasis"/>
                                <w:rFonts w:ascii="arial" w:hAnsi="arial"/>
                                <w:color w:val="FFFFFF"/>
                                <w:sz w:val="20"/>
                              </w:rPr>
                              <w:t>Nominating and Corporate Governance Committee</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501" w:type="dxa"/>
                            <w:tcBorders/>
                            <w:shd w:fill="auto" w:val="clear"/>
                            <w:tcMar>
                              <w:right w:w="0" w:type="dxa"/>
                            </w:tcMar>
                            <w:vAlign w:val="center"/>
                          </w:tcPr>
                          <w:p>
                            <w:pPr>
                              <w:pStyle w:val="TableContents"/>
                              <w:spacing w:before="0" w:after="283"/>
                              <w:jc w:val="left"/>
                              <w:rPr/>
                            </w:pPr>
                            <w:r>
                              <w:rPr/>
                              <w:t> </w:t>
                            </w:r>
                          </w:p>
                        </w:tc>
                        <w:tc>
                          <w:tcPr>
                            <w:tcW w:w="4363"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olumn">
                  <wp:align>right</wp:align>
                </wp:positionH>
                <wp:positionV relativeFrom="line">
                  <wp:posOffset>635</wp:posOffset>
                </wp:positionV>
                <wp:extent cx="4600575" cy="8765540"/>
                <wp:effectExtent l="0" t="0" r="0" b="0"/>
                <wp:wrapSquare wrapText="largest"/>
                <wp:docPr id="219" name="Frame12"/>
                <a:graphic xmlns:a="http://schemas.openxmlformats.org/drawingml/2006/main">
                  <a:graphicData uri="http://schemas.microsoft.com/office/word/2010/wordprocessingShape">
                    <wps:wsp>
                      <wps:cNvSpPr txBox="1"/>
                      <wps:spPr>
                        <a:xfrm>
                          <a:off x="0" y="0"/>
                          <a:ext cx="4600575" cy="8765540"/>
                        </a:xfrm>
                        <a:prstGeom prst="rect"/>
                      </wps:spPr>
                      <wps:txbx>
                        <w:txbxContent>
                          <w:tbl>
                            <w:tblPr>
                              <w:tblW w:w="10205" w:type="dxa"/>
                              <w:jc w:val="left"/>
                              <w:tblInd w:w="0" w:type="dxa"/>
                              <w:tblCellMar>
                                <w:top w:w="0" w:type="dxa"/>
                                <w:left w:w="0" w:type="dxa"/>
                                <w:bottom w:w="0" w:type="dxa"/>
                                <w:right w:w="0" w:type="dxa"/>
                              </w:tblCellMar>
                            </w:tblPr>
                            <w:tblGrid>
                              <w:gridCol w:w="957"/>
                              <w:gridCol w:w="3758"/>
                              <w:gridCol w:w="1051"/>
                              <w:gridCol w:w="4439"/>
                            </w:tblGrid>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Ms. Atkins has deep expertise in many areas, including executive leadership and operational experience in various technology, durable goods, energy efficiency infrastructure and retail industries, as well as significant public board experience, which gives her broad experience and thought leadership in corporate governance matters generally, including executive compensation and evolving best practices in sustainability and enterprise risk management.</w:t>
                                  </w:r>
                                </w:p>
                              </w:tc>
                            </w:tr>
                            <w:tr>
                              <w:trPr/>
                              <w:tc>
                                <w:tcPr>
                                  <w:tcW w:w="957" w:type="dxa"/>
                                  <w:tcBorders/>
                                  <w:shd w:fill="auto" w:val="clear"/>
                                  <w:vAlign w:val="center"/>
                                </w:tcPr>
                                <w:p>
                                  <w:pPr>
                                    <w:pStyle w:val="TableContents"/>
                                    <w:spacing w:before="0" w:after="283"/>
                                    <w:jc w:val="left"/>
                                    <w:rPr/>
                                  </w:pPr>
                                  <w:r>
                                    <w:rPr/>
                                    <w:t> </w:t>
                                  </w:r>
                                </w:p>
                              </w:tc>
                              <w:tc>
                                <w:tcPr>
                                  <w:tcW w:w="3758"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4439" w:type="dxa"/>
                                  <w:tcBorders/>
                                  <w:shd w:fill="auto" w:val="clear"/>
                                  <w:vAlign w:val="center"/>
                                </w:tcPr>
                                <w:p>
                                  <w:pPr>
                                    <w:pStyle w:val="TableContents"/>
                                    <w:spacing w:before="0" w:after="283"/>
                                    <w:rPr>
                                      <w:sz w:val="4"/>
                                      <w:szCs w:val="4"/>
                                    </w:rPr>
                                  </w:pPr>
                                  <w:r>
                                    <w:rPr>
                                      <w:sz w:val="4"/>
                                      <w:szCs w:val="4"/>
                                    </w:rPr>
                                  </w:r>
                                </w:p>
                              </w:tc>
                            </w:tr>
                            <w:tr>
                              <w:trPr/>
                              <w:tc>
                                <w:tcPr>
                                  <w:tcW w:w="957"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758"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051"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443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2"/>
                                    </w:rPr>
                                    <w:t>Professional Experience</w:t>
                                  </w:r>
                                </w:p>
                                <w:p>
                                  <w:pPr>
                                    <w:pStyle w:val="TableContents"/>
                                    <w:spacing w:before="0" w:after="0"/>
                                    <w:ind w:left="0" w:right="0" w:hanging="290"/>
                                    <w:jc w:val="left"/>
                                    <w:rPr/>
                                  </w:pPr>
                                  <w:r>
                                    <w:rPr>
                                      <w:color w:val="000000"/>
                                    </w:rPr>
                                    <w:t>●</w:t>
                                  </w:r>
                                  <w:r>
                                    <w:rPr>
                                      <w:rFonts w:ascii="Arial" w:hAnsi="Arial"/>
                                      <w:sz w:val="20"/>
                                    </w:rPr>
                                    <w:t xml:space="preserve">Chief Executive Officer of Baja Corp, an independent venture capital firm focused on technology, renewable energy and life sciences industries, since 1994 </w:t>
                                  </w:r>
                                </w:p>
                                <w:p>
                                  <w:pPr>
                                    <w:pStyle w:val="TableContents"/>
                                    <w:spacing w:before="0" w:after="0"/>
                                    <w:ind w:left="0" w:right="0" w:hanging="290"/>
                                    <w:jc w:val="left"/>
                                    <w:rPr/>
                                  </w:pPr>
                                  <w:r>
                                    <w:rPr>
                                      <w:color w:val="000000"/>
                                    </w:rPr>
                                    <w:t>●</w:t>
                                  </w:r>
                                  <w:r>
                                    <w:rPr>
                                      <w:rFonts w:ascii="Arial" w:hAnsi="Arial"/>
                                      <w:sz w:val="20"/>
                                    </w:rPr>
                                    <w:t>Chief Executive Officer and Chairman of the Board of Directors of Clear Standards, Inc., a provider of energy management solutions, from February 2009 to August 2009, when Clear Standards was acquired by SAP AG, a business software company</w:t>
                                  </w:r>
                                </w:p>
                                <w:p>
                                  <w:pPr>
                                    <w:pStyle w:val="TableContents"/>
                                    <w:spacing w:before="0" w:after="0"/>
                                    <w:ind w:left="0" w:right="0" w:hanging="290"/>
                                    <w:jc w:val="left"/>
                                    <w:rPr/>
                                  </w:pPr>
                                  <w:r>
                                    <w:rPr>
                                      <w:color w:val="000000"/>
                                    </w:rPr>
                                    <w:t>●</w:t>
                                  </w:r>
                                  <w:r>
                                    <w:rPr>
                                      <w:rFonts w:ascii="Arial" w:hAnsi="Arial"/>
                                      <w:sz w:val="20"/>
                                    </w:rPr>
                                    <w:t>Chairman and Chief Executive Officer of NCI, Inc., a functional food/nutraceutical company, from 1991 to 1993</w:t>
                                  </w:r>
                                </w:p>
                                <w:p>
                                  <w:pPr>
                                    <w:pStyle w:val="TableContents"/>
                                    <w:spacing w:before="0" w:after="0"/>
                                    <w:ind w:left="0" w:right="0" w:hanging="290"/>
                                    <w:jc w:val="left"/>
                                    <w:rPr/>
                                  </w:pPr>
                                  <w:r>
                                    <w:rPr>
                                      <w:color w:val="000000"/>
                                    </w:rPr>
                                    <w:t>●</w:t>
                                  </w:r>
                                  <w:r>
                                    <w:rPr>
                                      <w:rFonts w:ascii="Arial" w:hAnsi="Arial"/>
                                      <w:sz w:val="20"/>
                                    </w:rPr>
                                    <w:t xml:space="preserve">Co-founded Ascend Communications, Inc. in 1989, member of its Board of Directors and Executive Vice President of sales, marketing, professional services and international operations prior to its acquisition by Lucent Technologies </w:t>
                                  </w:r>
                                </w:p>
                                <w:p>
                                  <w:pPr>
                                    <w:pStyle w:val="TableContents"/>
                                    <w:spacing w:before="0" w:after="0"/>
                                    <w:ind w:left="0" w:right="0" w:hanging="290"/>
                                    <w:jc w:val="left"/>
                                    <w:rPr/>
                                  </w:pPr>
                                  <w:r>
                                    <w:rPr>
                                      <w:color w:val="000000"/>
                                    </w:rPr>
                                    <w:t>●</w:t>
                                  </w:r>
                                  <w:r>
                                    <w:rPr>
                                      <w:rFonts w:ascii="Arial" w:hAnsi="Arial"/>
                                      <w:sz w:val="20"/>
                                    </w:rPr>
                                    <w:t>Formerly an advisor to SAP SE, an advisor to British Telecom and a presidential-appointee to the Pension Benefit Guaranty Corporation advisory committee</w:t>
                                  </w:r>
                                </w:p>
                                <w:p>
                                  <w:pPr>
                                    <w:pStyle w:val="TableContents"/>
                                    <w:spacing w:before="0" w:after="0"/>
                                    <w:ind w:left="0" w:right="0" w:hanging="290"/>
                                    <w:jc w:val="left"/>
                                    <w:rPr/>
                                  </w:pPr>
                                  <w:r>
                                    <w:rPr>
                                      <w:color w:val="000000"/>
                                    </w:rPr>
                                    <w:t>●</w:t>
                                  </w:r>
                                  <w:r>
                                    <w:rPr>
                                      <w:rFonts w:ascii="Arial" w:hAnsi="Arial"/>
                                      <w:sz w:val="20"/>
                                    </w:rPr>
                                    <w:t>Former member of the Board of Directors of Covetrus, Inc., February 2019 to September 2019; Schneider Electric, SA, April 2011 to April 2019; Cognizant Technology Solutions Corporation, April 2017 to October 2018; HD Supply, Inc., September 2013 to April 2018; Polycom, Inc., 1999 to April 2016; Darden Restaurants, Inc., October 2014 to September 2015</w:t>
                                  </w:r>
                                </w:p>
                                <w:p>
                                  <w:pPr>
                                    <w:pStyle w:val="TableContents"/>
                                    <w:ind w:left="0" w:right="0" w:hanging="290"/>
                                    <w:jc w:val="left"/>
                                    <w:rPr/>
                                  </w:pPr>
                                  <w:r>
                                    <w:rPr>
                                      <w:color w:val="000000"/>
                                    </w:rPr>
                                    <w:t>●</w:t>
                                  </w:r>
                                  <w:r>
                                    <w:rPr>
                                      <w:rFonts w:ascii="Arial" w:hAnsi="Arial"/>
                                      <w:sz w:val="20"/>
                                    </w:rPr>
                                    <w:t>B.A. from the University of Massachusetts</w:t>
                                  </w:r>
                                </w:p>
                                <w:p>
                                  <w:pPr>
                                    <w:pStyle w:val="TableContents"/>
                                    <w:jc w:val="left"/>
                                    <w:rPr/>
                                  </w:pPr>
                                  <w:r>
                                    <w:rPr>
                                      <w:rStyle w:val="StrongEmphasis"/>
                                      <w:rFonts w:ascii="Arial" w:hAnsi="Arial"/>
                                      <w:color w:val="1A2343"/>
                                      <w:sz w:val="22"/>
                                    </w:rPr>
                                    <w:t>Other Public Board Directorships</w:t>
                                  </w:r>
                                </w:p>
                                <w:p>
                                  <w:pPr>
                                    <w:pStyle w:val="TableContents"/>
                                    <w:spacing w:before="0" w:after="0"/>
                                    <w:ind w:left="0" w:right="0" w:hanging="290"/>
                                    <w:jc w:val="left"/>
                                    <w:rPr/>
                                  </w:pPr>
                                  <w:r>
                                    <w:rPr>
                                      <w:color w:val="000000"/>
                                    </w:rPr>
                                    <w:t>●</w:t>
                                  </w:r>
                                  <w:r>
                                    <w:rPr>
                                      <w:rFonts w:ascii="Arial" w:hAnsi="Arial"/>
                                      <w:sz w:val="20"/>
                                    </w:rPr>
                                    <w:t>Enovix Corporation since July 2021</w:t>
                                  </w:r>
                                </w:p>
                                <w:p>
                                  <w:pPr>
                                    <w:pStyle w:val="TableContents"/>
                                    <w:spacing w:before="0" w:after="0"/>
                                    <w:ind w:left="0" w:right="0" w:hanging="290"/>
                                    <w:jc w:val="left"/>
                                    <w:rPr/>
                                  </w:pPr>
                                  <w:r>
                                    <w:rPr>
                                      <w:color w:val="000000"/>
                                    </w:rPr>
                                    <w:t>●</w:t>
                                  </w:r>
                                  <w:r>
                                    <w:rPr>
                                      <w:rFonts w:ascii="Arial" w:hAnsi="Arial"/>
                                      <w:sz w:val="20"/>
                                    </w:rPr>
                                    <w:t>Solaredge Technologies, Inc. since June 2021</w:t>
                                  </w:r>
                                </w:p>
                                <w:p>
                                  <w:pPr>
                                    <w:pStyle w:val="TableContents"/>
                                    <w:spacing w:before="0" w:after="0"/>
                                    <w:ind w:left="0" w:right="0" w:hanging="290"/>
                                    <w:jc w:val="left"/>
                                    <w:rPr/>
                                  </w:pPr>
                                  <w:r>
                                    <w:rPr>
                                      <w:color w:val="000000"/>
                                    </w:rPr>
                                    <w:t>●</w:t>
                                  </w:r>
                                  <w:r>
                                    <w:rPr>
                                      <w:rFonts w:ascii="Arial" w:hAnsi="Arial"/>
                                      <w:sz w:val="20"/>
                                    </w:rPr>
                                    <w:t>Wynn Resorts Ltd. since April 2018</w:t>
                                  </w:r>
                                </w:p>
                              </w:tc>
                            </w:tr>
                            <w:tr>
                              <w:trPr/>
                              <w:tc>
                                <w:tcPr>
                                  <w:tcW w:w="957" w:type="dxa"/>
                                  <w:tcBorders/>
                                  <w:shd w:fill="auto" w:val="clear"/>
                                  <w:vAlign w:val="center"/>
                                </w:tcPr>
                                <w:p>
                                  <w:pPr>
                                    <w:pStyle w:val="TableContents"/>
                                    <w:spacing w:before="0" w:after="283"/>
                                    <w:jc w:val="left"/>
                                    <w:rPr/>
                                  </w:pPr>
                                  <w:r>
                                    <w:rPr/>
                                    <w:t> </w:t>
                                  </w:r>
                                </w:p>
                              </w:tc>
                              <w:tc>
                                <w:tcPr>
                                  <w:tcW w:w="3758"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4439" w:type="dxa"/>
                                  <w:tcBorders/>
                                  <w:shd w:fill="auto" w:val="clear"/>
                                  <w:vAlign w:val="center"/>
                                </w:tcPr>
                                <w:p>
                                  <w:pPr>
                                    <w:pStyle w:val="TableContents"/>
                                    <w:spacing w:before="0" w:after="283"/>
                                    <w:rPr>
                                      <w:sz w:val="4"/>
                                      <w:szCs w:val="4"/>
                                    </w:rPr>
                                  </w:pPr>
                                  <w:r>
                                    <w:rPr>
                                      <w:sz w:val="4"/>
                                      <w:szCs w:val="4"/>
                                    </w:rPr>
                                  </w:r>
                                </w:p>
                              </w:tc>
                            </w:tr>
                            <w:tr>
                              <w:trPr/>
                              <w:tc>
                                <w:tcPr>
                                  <w:tcW w:w="957"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758"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051"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443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957" w:type="dxa"/>
                                  <w:tcBorders/>
                                  <w:shd w:fill="auto" w:val="clear"/>
                                  <w:vAlign w:val="center"/>
                                </w:tcPr>
                                <w:p>
                                  <w:pPr>
                                    <w:pStyle w:val="TableContents"/>
                                    <w:spacing w:before="0" w:after="283"/>
                                    <w:jc w:val="center"/>
                                    <w:rPr/>
                                  </w:pPr>
                                  <w:r>
                                    <w:rPr/>
                                    <w:drawing>
                                      <wp:inline distT="0" distB="0" distL="0" distR="0">
                                        <wp:extent cx="295275" cy="323850"/>
                                        <wp:effectExtent l="0" t="0" r="0" b="0"/>
                                        <wp:docPr id="22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83" descr=""/>
                                                <pic:cNvPicPr>
                                                  <a:picLocks noChangeAspect="1" noChangeArrowheads="1"/>
                                                </pic:cNvPicPr>
                                              </pic:nvPicPr>
                                              <pic:blipFill>
                                                <a:blip r:embed="rId184"/>
                                                <a:srcRect l="-3414" t="-3111" r="-3414" b="-3111"/>
                                                <a:stretch>
                                                  <a:fillRect/>
                                                </a:stretch>
                                              </pic:blipFill>
                                              <pic:spPr bwMode="auto">
                                                <a:xfrm>
                                                  <a:off x="0" y="0"/>
                                                  <a:ext cx="295275" cy="323850"/>
                                                </a:xfrm>
                                                <a:prstGeom prst="rect">
                                                  <a:avLst/>
                                                </a:prstGeom>
                                                <a:ln w="635">
                                                  <a:solidFill>
                                                    <a:srgbClr val="000000"/>
                                                  </a:solidFill>
                                                </a:ln>
                                              </pic:spPr>
                                            </pic:pic>
                                          </a:graphicData>
                                        </a:graphic>
                                      </wp:inline>
                                    </w:drawing>
                                  </w:r>
                                </w:p>
                              </w:tc>
                              <w:tc>
                                <w:tcPr>
                                  <w:tcW w:w="3758"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c>
                                <w:tcPr>
                                  <w:tcW w:w="1051" w:type="dxa"/>
                                  <w:tcBorders/>
                                  <w:shd w:fill="auto" w:val="clear"/>
                                  <w:vAlign w:val="center"/>
                                </w:tcPr>
                                <w:p>
                                  <w:pPr>
                                    <w:pStyle w:val="TableContents"/>
                                    <w:spacing w:before="0" w:after="283"/>
                                    <w:jc w:val="center"/>
                                    <w:rPr/>
                                  </w:pPr>
                                  <w:r>
                                    <w:rPr/>
                                    <w:drawing>
                                      <wp:inline distT="0" distB="0" distL="0" distR="0">
                                        <wp:extent cx="352425" cy="342900"/>
                                        <wp:effectExtent l="0" t="0" r="0" b="0"/>
                                        <wp:docPr id="221"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84" descr=""/>
                                                <pic:cNvPicPr>
                                                  <a:picLocks noChangeAspect="1" noChangeArrowheads="1"/>
                                                </pic:cNvPicPr>
                                              </pic:nvPicPr>
                                              <pic:blipFill>
                                                <a:blip r:embed="rId185"/>
                                                <a:srcRect l="-2860" t="-2938" r="-2860" b="-2938"/>
                                                <a:stretch>
                                                  <a:fillRect/>
                                                </a:stretch>
                                              </pic:blipFill>
                                              <pic:spPr bwMode="auto">
                                                <a:xfrm>
                                                  <a:off x="0" y="0"/>
                                                  <a:ext cx="352425" cy="342900"/>
                                                </a:xfrm>
                                                <a:prstGeom prst="rect">
                                                  <a:avLst/>
                                                </a:prstGeom>
                                                <a:ln w="635">
                                                  <a:solidFill>
                                                    <a:srgbClr val="000000"/>
                                                  </a:solidFill>
                                                </a:ln>
                                              </pic:spPr>
                                            </pic:pic>
                                          </a:graphicData>
                                        </a:graphic>
                                      </wp:inline>
                                    </w:drawing>
                                  </w:r>
                                </w:p>
                              </w:tc>
                              <w:tc>
                                <w:tcPr>
                                  <w:tcW w:w="4439" w:type="dxa"/>
                                  <w:tcBorders/>
                                  <w:shd w:fill="auto" w:val="clear"/>
                                  <w:vAlign w:val="center"/>
                                </w:tcPr>
                                <w:p>
                                  <w:pPr>
                                    <w:pStyle w:val="TableContents"/>
                                    <w:spacing w:before="0" w:after="283"/>
                                    <w:jc w:val="left"/>
                                    <w:rPr>
                                      <w:rFonts w:ascii="Arial" w:hAnsi="Arial"/>
                                      <w:sz w:val="20"/>
                                    </w:rPr>
                                  </w:pPr>
                                  <w:r>
                                    <w:rPr>
                                      <w:rFonts w:ascii="Arial" w:hAnsi="Arial"/>
                                      <w:sz w:val="20"/>
                                    </w:rPr>
                                    <w:t>Finance/Capital Markets</w:t>
                                  </w:r>
                                </w:p>
                              </w:tc>
                            </w:tr>
                            <w:tr>
                              <w:trPr/>
                              <w:tc>
                                <w:tcPr>
                                  <w:tcW w:w="957" w:type="dxa"/>
                                  <w:tcBorders/>
                                  <w:shd w:fill="auto" w:val="clear"/>
                                  <w:vAlign w:val="center"/>
                                </w:tcPr>
                                <w:p>
                                  <w:pPr>
                                    <w:pStyle w:val="TableContents"/>
                                    <w:spacing w:before="0" w:after="283"/>
                                    <w:jc w:val="center"/>
                                    <w:rPr/>
                                  </w:pPr>
                                  <w:r>
                                    <w:rPr/>
                                    <w:drawing>
                                      <wp:inline distT="0" distB="0" distL="0" distR="0">
                                        <wp:extent cx="333375" cy="342900"/>
                                        <wp:effectExtent l="0" t="0" r="0" b="0"/>
                                        <wp:docPr id="222"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85" descr=""/>
                                                <pic:cNvPicPr>
                                                  <a:picLocks noChangeAspect="1" noChangeArrowheads="1"/>
                                                </pic:cNvPicPr>
                                              </pic:nvPicPr>
                                              <pic:blipFill>
                                                <a:blip r:embed="rId186"/>
                                                <a:srcRect l="-3023" t="-2938" r="-3023" b="-2938"/>
                                                <a:stretch>
                                                  <a:fillRect/>
                                                </a:stretch>
                                              </pic:blipFill>
                                              <pic:spPr bwMode="auto">
                                                <a:xfrm>
                                                  <a:off x="0" y="0"/>
                                                  <a:ext cx="333375" cy="342900"/>
                                                </a:xfrm>
                                                <a:prstGeom prst="rect">
                                                  <a:avLst/>
                                                </a:prstGeom>
                                                <a:ln w="635">
                                                  <a:solidFill>
                                                    <a:srgbClr val="000000"/>
                                                  </a:solidFill>
                                                </a:ln>
                                              </pic:spPr>
                                            </pic:pic>
                                          </a:graphicData>
                                        </a:graphic>
                                      </wp:inline>
                                    </w:drawing>
                                  </w:r>
                                </w:p>
                              </w:tc>
                              <w:tc>
                                <w:tcPr>
                                  <w:tcW w:w="3758"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1051" w:type="dxa"/>
                                  <w:tcBorders/>
                                  <w:shd w:fill="auto" w:val="clear"/>
                                  <w:vAlign w:val="center"/>
                                </w:tcPr>
                                <w:p>
                                  <w:pPr>
                                    <w:pStyle w:val="TableContents"/>
                                    <w:spacing w:before="0" w:after="283"/>
                                    <w:jc w:val="center"/>
                                    <w:rPr/>
                                  </w:pPr>
                                  <w:r>
                                    <w:rPr/>
                                    <w:drawing>
                                      <wp:inline distT="0" distB="0" distL="0" distR="0">
                                        <wp:extent cx="400050" cy="400050"/>
                                        <wp:effectExtent l="0" t="0" r="0" b="0"/>
                                        <wp:docPr id="223"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86" descr=""/>
                                                <pic:cNvPicPr>
                                                  <a:picLocks noChangeAspect="1" noChangeArrowheads="1"/>
                                                </pic:cNvPicPr>
                                              </pic:nvPicPr>
                                              <pic:blipFill>
                                                <a:blip r:embed="rId187"/>
                                                <a:srcRect l="-2520" t="-2520" r="-2520" b="-2520"/>
                                                <a:stretch>
                                                  <a:fillRect/>
                                                </a:stretch>
                                              </pic:blipFill>
                                              <pic:spPr bwMode="auto">
                                                <a:xfrm>
                                                  <a:off x="0" y="0"/>
                                                  <a:ext cx="400050" cy="400050"/>
                                                </a:xfrm>
                                                <a:prstGeom prst="rect">
                                                  <a:avLst/>
                                                </a:prstGeom>
                                                <a:ln w="635">
                                                  <a:solidFill>
                                                    <a:srgbClr val="000000"/>
                                                  </a:solidFill>
                                                </a:ln>
                                              </pic:spPr>
                                            </pic:pic>
                                          </a:graphicData>
                                        </a:graphic>
                                      </wp:inline>
                                    </w:drawing>
                                  </w:r>
                                </w:p>
                              </w:tc>
                              <w:tc>
                                <w:tcPr>
                                  <w:tcW w:w="4439" w:type="dxa"/>
                                  <w:tcBorders/>
                                  <w:shd w:fill="auto" w:val="clear"/>
                                  <w:vAlign w:val="center"/>
                                </w:tcPr>
                                <w:p>
                                  <w:pPr>
                                    <w:pStyle w:val="TableContents"/>
                                    <w:spacing w:before="0" w:after="283"/>
                                    <w:jc w:val="left"/>
                                    <w:rPr>
                                      <w:rFonts w:ascii="Arial" w:hAnsi="Arial"/>
                                      <w:sz w:val="20"/>
                                    </w:rPr>
                                  </w:pPr>
                                  <w:r>
                                    <w:rPr>
                                      <w:rFonts w:ascii="Arial" w:hAnsi="Arial"/>
                                      <w:sz w:val="20"/>
                                    </w:rPr>
                                    <w:t>Public Company Board Service/ Corporate Governance</w:t>
                                  </w:r>
                                </w:p>
                              </w:tc>
                            </w:tr>
                            <w:tr>
                              <w:trPr/>
                              <w:tc>
                                <w:tcPr>
                                  <w:tcW w:w="957" w:type="dxa"/>
                                  <w:tcBorders/>
                                  <w:shd w:fill="auto" w:val="clear"/>
                                  <w:vAlign w:val="center"/>
                                </w:tcPr>
                                <w:p>
                                  <w:pPr>
                                    <w:pStyle w:val="TableContents"/>
                                    <w:spacing w:before="0" w:after="283"/>
                                    <w:jc w:val="center"/>
                                    <w:rPr/>
                                  </w:pPr>
                                  <w:r>
                                    <w:rPr/>
                                    <w:drawing>
                                      <wp:inline distT="0" distB="0" distL="0" distR="0">
                                        <wp:extent cx="333375" cy="323850"/>
                                        <wp:effectExtent l="0" t="0" r="0" b="0"/>
                                        <wp:docPr id="224"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87" descr=""/>
                                                <pic:cNvPicPr>
                                                  <a:picLocks noChangeAspect="1" noChangeArrowheads="1"/>
                                                </pic:cNvPicPr>
                                              </pic:nvPicPr>
                                              <pic:blipFill>
                                                <a:blip r:embed="rId188"/>
                                                <a:srcRect l="-3023" t="-3111" r="-3023" b="-3111"/>
                                                <a:stretch>
                                                  <a:fillRect/>
                                                </a:stretch>
                                              </pic:blipFill>
                                              <pic:spPr bwMode="auto">
                                                <a:xfrm>
                                                  <a:off x="0" y="0"/>
                                                  <a:ext cx="333375" cy="323850"/>
                                                </a:xfrm>
                                                <a:prstGeom prst="rect">
                                                  <a:avLst/>
                                                </a:prstGeom>
                                                <a:ln w="635">
                                                  <a:solidFill>
                                                    <a:srgbClr val="000000"/>
                                                  </a:solidFill>
                                                </a:ln>
                                              </pic:spPr>
                                            </pic:pic>
                                          </a:graphicData>
                                        </a:graphic>
                                      </wp:inline>
                                    </w:drawing>
                                  </w:r>
                                </w:p>
                              </w:tc>
                              <w:tc>
                                <w:tcPr>
                                  <w:tcW w:w="3758" w:type="dxa"/>
                                  <w:tcBorders/>
                                  <w:shd w:fill="auto" w:val="clear"/>
                                  <w:vAlign w:val="center"/>
                                </w:tcPr>
                                <w:p>
                                  <w:pPr>
                                    <w:pStyle w:val="TableContents"/>
                                    <w:spacing w:before="0" w:after="283"/>
                                    <w:jc w:val="left"/>
                                    <w:rPr>
                                      <w:rFonts w:ascii="Arial" w:hAnsi="Arial"/>
                                      <w:sz w:val="20"/>
                                    </w:rPr>
                                  </w:pPr>
                                  <w:r>
                                    <w:rPr>
                                      <w:rFonts w:ascii="Arial" w:hAnsi="Arial"/>
                                      <w:sz w:val="20"/>
                                    </w:rPr>
                                    <w:t>Experience Over Several Business Cycles</w:t>
                                  </w:r>
                                </w:p>
                              </w:tc>
                              <w:tc>
                                <w:tcPr>
                                  <w:tcW w:w="1051" w:type="dxa"/>
                                  <w:tcBorders/>
                                  <w:shd w:fill="auto" w:val="clear"/>
                                  <w:vAlign w:val="center"/>
                                </w:tcPr>
                                <w:p>
                                  <w:pPr>
                                    <w:pStyle w:val="TableContents"/>
                                    <w:spacing w:before="0" w:after="283"/>
                                    <w:jc w:val="center"/>
                                    <w:rPr/>
                                  </w:pPr>
                                  <w:r>
                                    <w:rPr/>
                                    <w:drawing>
                                      <wp:inline distT="0" distB="0" distL="0" distR="0">
                                        <wp:extent cx="323850" cy="342900"/>
                                        <wp:effectExtent l="0" t="0" r="0" b="0"/>
                                        <wp:docPr id="225"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88" descr=""/>
                                                <pic:cNvPicPr>
                                                  <a:picLocks noChangeAspect="1" noChangeArrowheads="1"/>
                                                </pic:cNvPicPr>
                                              </pic:nvPicPr>
                                              <pic:blipFill>
                                                <a:blip r:embed="rId189"/>
                                                <a:srcRect l="-3111" t="-2938" r="-3111" b="-2938"/>
                                                <a:stretch>
                                                  <a:fillRect/>
                                                </a:stretch>
                                              </pic:blipFill>
                                              <pic:spPr bwMode="auto">
                                                <a:xfrm>
                                                  <a:off x="0" y="0"/>
                                                  <a:ext cx="323850" cy="342900"/>
                                                </a:xfrm>
                                                <a:prstGeom prst="rect">
                                                  <a:avLst/>
                                                </a:prstGeom>
                                                <a:ln w="635">
                                                  <a:solidFill>
                                                    <a:srgbClr val="000000"/>
                                                  </a:solidFill>
                                                </a:ln>
                                              </pic:spPr>
                                            </pic:pic>
                                          </a:graphicData>
                                        </a:graphic>
                                      </wp:inline>
                                    </w:drawing>
                                  </w:r>
                                </w:p>
                              </w:tc>
                              <w:tc>
                                <w:tcPr>
                                  <w:tcW w:w="4439" w:type="dxa"/>
                                  <w:tcBorders/>
                                  <w:shd w:fill="auto" w:val="clear"/>
                                  <w:vAlign w:val="center"/>
                                </w:tcPr>
                                <w:p>
                                  <w:pPr>
                                    <w:pStyle w:val="TableContents"/>
                                    <w:spacing w:before="0" w:after="283"/>
                                    <w:jc w:val="left"/>
                                    <w:rPr>
                                      <w:rFonts w:ascii="Arial" w:hAnsi="Arial"/>
                                      <w:sz w:val="20"/>
                                    </w:rPr>
                                  </w:pPr>
                                  <w:r>
                                    <w:rPr>
                                      <w:rFonts w:ascii="Arial" w:hAnsi="Arial"/>
                                      <w:sz w:val="20"/>
                                    </w:rPr>
                                    <w:t>Accounting</w:t>
                                  </w:r>
                                </w:p>
                              </w:tc>
                            </w:tr>
                            <w:tr>
                              <w:trPr/>
                              <w:tc>
                                <w:tcPr>
                                  <w:tcW w:w="957" w:type="dxa"/>
                                  <w:tcBorders/>
                                  <w:shd w:fill="auto" w:val="clear"/>
                                  <w:vAlign w:val="center"/>
                                </w:tcPr>
                                <w:p>
                                  <w:pPr>
                                    <w:pStyle w:val="TableContents"/>
                                    <w:spacing w:before="0" w:after="283"/>
                                    <w:jc w:val="center"/>
                                    <w:rPr/>
                                  </w:pPr>
                                  <w:r>
                                    <w:rPr/>
                                    <w:drawing>
                                      <wp:inline distT="0" distB="0" distL="0" distR="0">
                                        <wp:extent cx="390525" cy="323850"/>
                                        <wp:effectExtent l="0" t="0" r="0" b="0"/>
                                        <wp:docPr id="226"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89" descr=""/>
                                                <pic:cNvPicPr>
                                                  <a:picLocks noChangeAspect="1" noChangeArrowheads="1"/>
                                                </pic:cNvPicPr>
                                              </pic:nvPicPr>
                                              <pic:blipFill>
                                                <a:blip r:embed="rId190"/>
                                                <a:srcRect l="-2580" t="-3111" r="-2580" b="-3111"/>
                                                <a:stretch>
                                                  <a:fillRect/>
                                                </a:stretch>
                                              </pic:blipFill>
                                              <pic:spPr bwMode="auto">
                                                <a:xfrm>
                                                  <a:off x="0" y="0"/>
                                                  <a:ext cx="390525" cy="323850"/>
                                                </a:xfrm>
                                                <a:prstGeom prst="rect">
                                                  <a:avLst/>
                                                </a:prstGeom>
                                                <a:ln w="635">
                                                  <a:solidFill>
                                                    <a:srgbClr val="000000"/>
                                                  </a:solidFill>
                                                </a:ln>
                                              </pic:spPr>
                                            </pic:pic>
                                          </a:graphicData>
                                        </a:graphic>
                                      </wp:inline>
                                    </w:drawing>
                                  </w:r>
                                </w:p>
                              </w:tc>
                              <w:tc>
                                <w:tcPr>
                                  <w:tcW w:w="3758" w:type="dxa"/>
                                  <w:tcBorders/>
                                  <w:shd w:fill="auto" w:val="clear"/>
                                  <w:vAlign w:val="center"/>
                                </w:tcPr>
                                <w:p>
                                  <w:pPr>
                                    <w:pStyle w:val="TableContents"/>
                                    <w:spacing w:before="0" w:after="283"/>
                                    <w:jc w:val="left"/>
                                    <w:rPr>
                                      <w:rFonts w:ascii="Arial" w:hAnsi="Arial"/>
                                      <w:sz w:val="20"/>
                                    </w:rPr>
                                  </w:pPr>
                                  <w:r>
                                    <w:rPr>
                                      <w:rFonts w:ascii="Arial" w:hAnsi="Arial"/>
                                      <w:sz w:val="20"/>
                                    </w:rPr>
                                    <w:t>Technology/Cybersecurity</w:t>
                                  </w:r>
                                </w:p>
                              </w:tc>
                              <w:tc>
                                <w:tcPr>
                                  <w:tcW w:w="1051" w:type="dxa"/>
                                  <w:tcBorders/>
                                  <w:shd w:fill="auto" w:val="clear"/>
                                  <w:vAlign w:val="center"/>
                                </w:tcPr>
                                <w:p>
                                  <w:pPr>
                                    <w:pStyle w:val="TableContents"/>
                                    <w:spacing w:before="0" w:after="283"/>
                                    <w:jc w:val="center"/>
                                    <w:rPr/>
                                  </w:pPr>
                                  <w:r>
                                    <w:rPr/>
                                    <w:drawing>
                                      <wp:inline distT="0" distB="0" distL="0" distR="0">
                                        <wp:extent cx="428625" cy="419100"/>
                                        <wp:effectExtent l="0" t="0" r="0" b="0"/>
                                        <wp:docPr id="227"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90" descr=""/>
                                                <pic:cNvPicPr>
                                                  <a:picLocks noChangeAspect="1" noChangeArrowheads="1"/>
                                                </pic:cNvPicPr>
                                              </pic:nvPicPr>
                                              <pic:blipFill>
                                                <a:blip r:embed="rId191"/>
                                                <a:srcRect l="-2350" t="-2405" r="-2350" b="-2405"/>
                                                <a:stretch>
                                                  <a:fillRect/>
                                                </a:stretch>
                                              </pic:blipFill>
                                              <pic:spPr bwMode="auto">
                                                <a:xfrm>
                                                  <a:off x="0" y="0"/>
                                                  <a:ext cx="428625" cy="419100"/>
                                                </a:xfrm>
                                                <a:prstGeom prst="rect">
                                                  <a:avLst/>
                                                </a:prstGeom>
                                                <a:ln w="635">
                                                  <a:solidFill>
                                                    <a:srgbClr val="000000"/>
                                                  </a:solidFill>
                                                </a:ln>
                                              </pic:spPr>
                                            </pic:pic>
                                          </a:graphicData>
                                        </a:graphic>
                                      </wp:inline>
                                    </w:drawing>
                                  </w:r>
                                </w:p>
                              </w:tc>
                              <w:tc>
                                <w:tcPr>
                                  <w:tcW w:w="4439" w:type="dxa"/>
                                  <w:tcBorders/>
                                  <w:shd w:fill="auto" w:val="clear"/>
                                  <w:vAlign w:val="center"/>
                                </w:tcPr>
                                <w:p>
                                  <w:pPr>
                                    <w:pStyle w:val="TableContents"/>
                                    <w:spacing w:before="0" w:after="283"/>
                                    <w:jc w:val="left"/>
                                    <w:rPr>
                                      <w:rFonts w:ascii="Arial" w:hAnsi="Arial"/>
                                      <w:sz w:val="20"/>
                                    </w:rPr>
                                  </w:pPr>
                                  <w:r>
                                    <w:rPr>
                                      <w:rFonts w:ascii="Arial" w:hAnsi="Arial"/>
                                      <w:sz w:val="20"/>
                                    </w:rPr>
                                    <w:t>Diversity</w:t>
                                  </w:r>
                                </w:p>
                              </w:tc>
                            </w:tr>
                          </w:tbl>
                          <w:p>
                            <w:pPr>
                              <w:pStyle w:val="TextBody"/>
                              <w:spacing w:before="0" w:after="283"/>
                              <w:rPr/>
                            </w:pPr>
                            <w:r>
                              <w:rPr/>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690.2pt;mso-wrap-distance-left:0pt;mso-wrap-distance-right:0pt;mso-wrap-distance-top:0pt;mso-wrap-distance-bottom:0pt;margin-top:0pt;mso-position-vertical:top;mso-position-vertical-relative:text;margin-left:148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957"/>
                        <w:gridCol w:w="3758"/>
                        <w:gridCol w:w="1051"/>
                        <w:gridCol w:w="4439"/>
                      </w:tblGrid>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Ms. Atkins has deep expertise in many areas, including executive leadership and operational experience in various technology, durable goods, energy efficiency infrastructure and retail industries, as well as significant public board experience, which gives her broad experience and thought leadership in corporate governance matters generally, including executive compensation and evolving best practices in sustainability and enterprise risk management.</w:t>
                            </w:r>
                          </w:p>
                        </w:tc>
                      </w:tr>
                      <w:tr>
                        <w:trPr/>
                        <w:tc>
                          <w:tcPr>
                            <w:tcW w:w="957" w:type="dxa"/>
                            <w:tcBorders/>
                            <w:shd w:fill="auto" w:val="clear"/>
                            <w:vAlign w:val="center"/>
                          </w:tcPr>
                          <w:p>
                            <w:pPr>
                              <w:pStyle w:val="TableContents"/>
                              <w:spacing w:before="0" w:after="283"/>
                              <w:jc w:val="left"/>
                              <w:rPr/>
                            </w:pPr>
                            <w:r>
                              <w:rPr/>
                              <w:t> </w:t>
                            </w:r>
                          </w:p>
                        </w:tc>
                        <w:tc>
                          <w:tcPr>
                            <w:tcW w:w="3758"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4439" w:type="dxa"/>
                            <w:tcBorders/>
                            <w:shd w:fill="auto" w:val="clear"/>
                            <w:vAlign w:val="center"/>
                          </w:tcPr>
                          <w:p>
                            <w:pPr>
                              <w:pStyle w:val="TableContents"/>
                              <w:spacing w:before="0" w:after="283"/>
                              <w:rPr>
                                <w:sz w:val="4"/>
                                <w:szCs w:val="4"/>
                              </w:rPr>
                            </w:pPr>
                            <w:r>
                              <w:rPr>
                                <w:sz w:val="4"/>
                                <w:szCs w:val="4"/>
                              </w:rPr>
                            </w:r>
                          </w:p>
                        </w:tc>
                      </w:tr>
                      <w:tr>
                        <w:trPr/>
                        <w:tc>
                          <w:tcPr>
                            <w:tcW w:w="957"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758"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051"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443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2"/>
                              </w:rPr>
                              <w:t>Professional Experience</w:t>
                            </w:r>
                          </w:p>
                          <w:p>
                            <w:pPr>
                              <w:pStyle w:val="TableContents"/>
                              <w:spacing w:before="0" w:after="0"/>
                              <w:ind w:left="0" w:right="0" w:hanging="290"/>
                              <w:jc w:val="left"/>
                              <w:rPr/>
                            </w:pPr>
                            <w:r>
                              <w:rPr>
                                <w:color w:val="000000"/>
                              </w:rPr>
                              <w:t>●</w:t>
                            </w:r>
                            <w:r>
                              <w:rPr>
                                <w:rFonts w:ascii="Arial" w:hAnsi="Arial"/>
                                <w:sz w:val="20"/>
                              </w:rPr>
                              <w:t xml:space="preserve">Chief Executive Officer of Baja Corp, an independent venture capital firm focused on technology, renewable energy and life sciences industries, since 1994 </w:t>
                            </w:r>
                          </w:p>
                          <w:p>
                            <w:pPr>
                              <w:pStyle w:val="TableContents"/>
                              <w:spacing w:before="0" w:after="0"/>
                              <w:ind w:left="0" w:right="0" w:hanging="290"/>
                              <w:jc w:val="left"/>
                              <w:rPr/>
                            </w:pPr>
                            <w:r>
                              <w:rPr>
                                <w:color w:val="000000"/>
                              </w:rPr>
                              <w:t>●</w:t>
                            </w:r>
                            <w:r>
                              <w:rPr>
                                <w:rFonts w:ascii="Arial" w:hAnsi="Arial"/>
                                <w:sz w:val="20"/>
                              </w:rPr>
                              <w:t>Chief Executive Officer and Chairman of the Board of Directors of Clear Standards, Inc., a provider of energy management solutions, from February 2009 to August 2009, when Clear Standards was acquired by SAP AG, a business software company</w:t>
                            </w:r>
                          </w:p>
                          <w:p>
                            <w:pPr>
                              <w:pStyle w:val="TableContents"/>
                              <w:spacing w:before="0" w:after="0"/>
                              <w:ind w:left="0" w:right="0" w:hanging="290"/>
                              <w:jc w:val="left"/>
                              <w:rPr/>
                            </w:pPr>
                            <w:r>
                              <w:rPr>
                                <w:color w:val="000000"/>
                              </w:rPr>
                              <w:t>●</w:t>
                            </w:r>
                            <w:r>
                              <w:rPr>
                                <w:rFonts w:ascii="Arial" w:hAnsi="Arial"/>
                                <w:sz w:val="20"/>
                              </w:rPr>
                              <w:t>Chairman and Chief Executive Officer of NCI, Inc., a functional food/nutraceutical company, from 1991 to 1993</w:t>
                            </w:r>
                          </w:p>
                          <w:p>
                            <w:pPr>
                              <w:pStyle w:val="TableContents"/>
                              <w:spacing w:before="0" w:after="0"/>
                              <w:ind w:left="0" w:right="0" w:hanging="290"/>
                              <w:jc w:val="left"/>
                              <w:rPr/>
                            </w:pPr>
                            <w:r>
                              <w:rPr>
                                <w:color w:val="000000"/>
                              </w:rPr>
                              <w:t>●</w:t>
                            </w:r>
                            <w:r>
                              <w:rPr>
                                <w:rFonts w:ascii="Arial" w:hAnsi="Arial"/>
                                <w:sz w:val="20"/>
                              </w:rPr>
                              <w:t xml:space="preserve">Co-founded Ascend Communications, Inc. in 1989, member of its Board of Directors and Executive Vice President of sales, marketing, professional services and international operations prior to its acquisition by Lucent Technologies </w:t>
                            </w:r>
                          </w:p>
                          <w:p>
                            <w:pPr>
                              <w:pStyle w:val="TableContents"/>
                              <w:spacing w:before="0" w:after="0"/>
                              <w:ind w:left="0" w:right="0" w:hanging="290"/>
                              <w:jc w:val="left"/>
                              <w:rPr/>
                            </w:pPr>
                            <w:r>
                              <w:rPr>
                                <w:color w:val="000000"/>
                              </w:rPr>
                              <w:t>●</w:t>
                            </w:r>
                            <w:r>
                              <w:rPr>
                                <w:rFonts w:ascii="Arial" w:hAnsi="Arial"/>
                                <w:sz w:val="20"/>
                              </w:rPr>
                              <w:t>Formerly an advisor to SAP SE, an advisor to British Telecom and a presidential-appointee to the Pension Benefit Guaranty Corporation advisory committee</w:t>
                            </w:r>
                          </w:p>
                          <w:p>
                            <w:pPr>
                              <w:pStyle w:val="TableContents"/>
                              <w:spacing w:before="0" w:after="0"/>
                              <w:ind w:left="0" w:right="0" w:hanging="290"/>
                              <w:jc w:val="left"/>
                              <w:rPr/>
                            </w:pPr>
                            <w:r>
                              <w:rPr>
                                <w:color w:val="000000"/>
                              </w:rPr>
                              <w:t>●</w:t>
                            </w:r>
                            <w:r>
                              <w:rPr>
                                <w:rFonts w:ascii="Arial" w:hAnsi="Arial"/>
                                <w:sz w:val="20"/>
                              </w:rPr>
                              <w:t>Former member of the Board of Directors of Covetrus, Inc., February 2019 to September 2019; Schneider Electric, SA, April 2011 to April 2019; Cognizant Technology Solutions Corporation, April 2017 to October 2018; HD Supply, Inc., September 2013 to April 2018; Polycom, Inc., 1999 to April 2016; Darden Restaurants, Inc., October 2014 to September 2015</w:t>
                            </w:r>
                          </w:p>
                          <w:p>
                            <w:pPr>
                              <w:pStyle w:val="TableContents"/>
                              <w:ind w:left="0" w:right="0" w:hanging="290"/>
                              <w:jc w:val="left"/>
                              <w:rPr/>
                            </w:pPr>
                            <w:r>
                              <w:rPr>
                                <w:color w:val="000000"/>
                              </w:rPr>
                              <w:t>●</w:t>
                            </w:r>
                            <w:r>
                              <w:rPr>
                                <w:rFonts w:ascii="Arial" w:hAnsi="Arial"/>
                                <w:sz w:val="20"/>
                              </w:rPr>
                              <w:t>B.A. from the University of Massachusetts</w:t>
                            </w:r>
                          </w:p>
                          <w:p>
                            <w:pPr>
                              <w:pStyle w:val="TableContents"/>
                              <w:jc w:val="left"/>
                              <w:rPr/>
                            </w:pPr>
                            <w:r>
                              <w:rPr>
                                <w:rStyle w:val="StrongEmphasis"/>
                                <w:rFonts w:ascii="Arial" w:hAnsi="Arial"/>
                                <w:color w:val="1A2343"/>
                                <w:sz w:val="22"/>
                              </w:rPr>
                              <w:t>Other Public Board Directorships</w:t>
                            </w:r>
                          </w:p>
                          <w:p>
                            <w:pPr>
                              <w:pStyle w:val="TableContents"/>
                              <w:spacing w:before="0" w:after="0"/>
                              <w:ind w:left="0" w:right="0" w:hanging="290"/>
                              <w:jc w:val="left"/>
                              <w:rPr/>
                            </w:pPr>
                            <w:r>
                              <w:rPr>
                                <w:color w:val="000000"/>
                              </w:rPr>
                              <w:t>●</w:t>
                            </w:r>
                            <w:r>
                              <w:rPr>
                                <w:rFonts w:ascii="Arial" w:hAnsi="Arial"/>
                                <w:sz w:val="20"/>
                              </w:rPr>
                              <w:t>Enovix Corporation since July 2021</w:t>
                            </w:r>
                          </w:p>
                          <w:p>
                            <w:pPr>
                              <w:pStyle w:val="TableContents"/>
                              <w:spacing w:before="0" w:after="0"/>
                              <w:ind w:left="0" w:right="0" w:hanging="290"/>
                              <w:jc w:val="left"/>
                              <w:rPr/>
                            </w:pPr>
                            <w:r>
                              <w:rPr>
                                <w:color w:val="000000"/>
                              </w:rPr>
                              <w:t>●</w:t>
                            </w:r>
                            <w:r>
                              <w:rPr>
                                <w:rFonts w:ascii="Arial" w:hAnsi="Arial"/>
                                <w:sz w:val="20"/>
                              </w:rPr>
                              <w:t>Solaredge Technologies, Inc. since June 2021</w:t>
                            </w:r>
                          </w:p>
                          <w:p>
                            <w:pPr>
                              <w:pStyle w:val="TableContents"/>
                              <w:spacing w:before="0" w:after="0"/>
                              <w:ind w:left="0" w:right="0" w:hanging="290"/>
                              <w:jc w:val="left"/>
                              <w:rPr/>
                            </w:pPr>
                            <w:r>
                              <w:rPr>
                                <w:color w:val="000000"/>
                              </w:rPr>
                              <w:t>●</w:t>
                            </w:r>
                            <w:r>
                              <w:rPr>
                                <w:rFonts w:ascii="Arial" w:hAnsi="Arial"/>
                                <w:sz w:val="20"/>
                              </w:rPr>
                              <w:t>Wynn Resorts Ltd. since April 2018</w:t>
                            </w:r>
                          </w:p>
                        </w:tc>
                      </w:tr>
                      <w:tr>
                        <w:trPr/>
                        <w:tc>
                          <w:tcPr>
                            <w:tcW w:w="957" w:type="dxa"/>
                            <w:tcBorders/>
                            <w:shd w:fill="auto" w:val="clear"/>
                            <w:vAlign w:val="center"/>
                          </w:tcPr>
                          <w:p>
                            <w:pPr>
                              <w:pStyle w:val="TableContents"/>
                              <w:spacing w:before="0" w:after="283"/>
                              <w:jc w:val="left"/>
                              <w:rPr/>
                            </w:pPr>
                            <w:r>
                              <w:rPr/>
                              <w:t> </w:t>
                            </w:r>
                          </w:p>
                        </w:tc>
                        <w:tc>
                          <w:tcPr>
                            <w:tcW w:w="3758"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4439" w:type="dxa"/>
                            <w:tcBorders/>
                            <w:shd w:fill="auto" w:val="clear"/>
                            <w:vAlign w:val="center"/>
                          </w:tcPr>
                          <w:p>
                            <w:pPr>
                              <w:pStyle w:val="TableContents"/>
                              <w:spacing w:before="0" w:after="283"/>
                              <w:rPr>
                                <w:sz w:val="4"/>
                                <w:szCs w:val="4"/>
                              </w:rPr>
                            </w:pPr>
                            <w:r>
                              <w:rPr>
                                <w:sz w:val="4"/>
                                <w:szCs w:val="4"/>
                              </w:rPr>
                            </w:r>
                          </w:p>
                        </w:tc>
                      </w:tr>
                      <w:tr>
                        <w:trPr/>
                        <w:tc>
                          <w:tcPr>
                            <w:tcW w:w="957"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758"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051"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443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957" w:type="dxa"/>
                            <w:tcBorders/>
                            <w:shd w:fill="auto" w:val="clear"/>
                            <w:vAlign w:val="center"/>
                          </w:tcPr>
                          <w:p>
                            <w:pPr>
                              <w:pStyle w:val="TableContents"/>
                              <w:spacing w:before="0" w:after="283"/>
                              <w:jc w:val="center"/>
                              <w:rPr/>
                            </w:pPr>
                            <w:r>
                              <w:rPr/>
                              <w:drawing>
                                <wp:inline distT="0" distB="0" distL="0" distR="0">
                                  <wp:extent cx="295275" cy="323850"/>
                                  <wp:effectExtent l="0" t="0" r="0" b="0"/>
                                  <wp:docPr id="228"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83" descr=""/>
                                          <pic:cNvPicPr>
                                            <a:picLocks noChangeAspect="1" noChangeArrowheads="1"/>
                                          </pic:cNvPicPr>
                                        </pic:nvPicPr>
                                        <pic:blipFill>
                                          <a:blip r:embed="rId184"/>
                                          <a:srcRect l="-3414" t="-3111" r="-3414" b="-3111"/>
                                          <a:stretch>
                                            <a:fillRect/>
                                          </a:stretch>
                                        </pic:blipFill>
                                        <pic:spPr bwMode="auto">
                                          <a:xfrm>
                                            <a:off x="0" y="0"/>
                                            <a:ext cx="295275" cy="323850"/>
                                          </a:xfrm>
                                          <a:prstGeom prst="rect">
                                            <a:avLst/>
                                          </a:prstGeom>
                                          <a:ln w="635">
                                            <a:solidFill>
                                              <a:srgbClr val="000000"/>
                                            </a:solidFill>
                                          </a:ln>
                                        </pic:spPr>
                                      </pic:pic>
                                    </a:graphicData>
                                  </a:graphic>
                                </wp:inline>
                              </w:drawing>
                            </w:r>
                          </w:p>
                        </w:tc>
                        <w:tc>
                          <w:tcPr>
                            <w:tcW w:w="3758"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c>
                          <w:tcPr>
                            <w:tcW w:w="1051" w:type="dxa"/>
                            <w:tcBorders/>
                            <w:shd w:fill="auto" w:val="clear"/>
                            <w:vAlign w:val="center"/>
                          </w:tcPr>
                          <w:p>
                            <w:pPr>
                              <w:pStyle w:val="TableContents"/>
                              <w:spacing w:before="0" w:after="283"/>
                              <w:jc w:val="center"/>
                              <w:rPr/>
                            </w:pPr>
                            <w:r>
                              <w:rPr/>
                              <w:drawing>
                                <wp:inline distT="0" distB="0" distL="0" distR="0">
                                  <wp:extent cx="352425" cy="342900"/>
                                  <wp:effectExtent l="0" t="0" r="0" b="0"/>
                                  <wp:docPr id="229"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84" descr=""/>
                                          <pic:cNvPicPr>
                                            <a:picLocks noChangeAspect="1" noChangeArrowheads="1"/>
                                          </pic:cNvPicPr>
                                        </pic:nvPicPr>
                                        <pic:blipFill>
                                          <a:blip r:embed="rId185"/>
                                          <a:srcRect l="-2860" t="-2938" r="-2860" b="-2938"/>
                                          <a:stretch>
                                            <a:fillRect/>
                                          </a:stretch>
                                        </pic:blipFill>
                                        <pic:spPr bwMode="auto">
                                          <a:xfrm>
                                            <a:off x="0" y="0"/>
                                            <a:ext cx="352425" cy="342900"/>
                                          </a:xfrm>
                                          <a:prstGeom prst="rect">
                                            <a:avLst/>
                                          </a:prstGeom>
                                          <a:ln w="635">
                                            <a:solidFill>
                                              <a:srgbClr val="000000"/>
                                            </a:solidFill>
                                          </a:ln>
                                        </pic:spPr>
                                      </pic:pic>
                                    </a:graphicData>
                                  </a:graphic>
                                </wp:inline>
                              </w:drawing>
                            </w:r>
                          </w:p>
                        </w:tc>
                        <w:tc>
                          <w:tcPr>
                            <w:tcW w:w="4439" w:type="dxa"/>
                            <w:tcBorders/>
                            <w:shd w:fill="auto" w:val="clear"/>
                            <w:vAlign w:val="center"/>
                          </w:tcPr>
                          <w:p>
                            <w:pPr>
                              <w:pStyle w:val="TableContents"/>
                              <w:spacing w:before="0" w:after="283"/>
                              <w:jc w:val="left"/>
                              <w:rPr>
                                <w:rFonts w:ascii="Arial" w:hAnsi="Arial"/>
                                <w:sz w:val="20"/>
                              </w:rPr>
                            </w:pPr>
                            <w:r>
                              <w:rPr>
                                <w:rFonts w:ascii="Arial" w:hAnsi="Arial"/>
                                <w:sz w:val="20"/>
                              </w:rPr>
                              <w:t>Finance/Capital Markets</w:t>
                            </w:r>
                          </w:p>
                        </w:tc>
                      </w:tr>
                      <w:tr>
                        <w:trPr/>
                        <w:tc>
                          <w:tcPr>
                            <w:tcW w:w="957" w:type="dxa"/>
                            <w:tcBorders/>
                            <w:shd w:fill="auto" w:val="clear"/>
                            <w:vAlign w:val="center"/>
                          </w:tcPr>
                          <w:p>
                            <w:pPr>
                              <w:pStyle w:val="TableContents"/>
                              <w:spacing w:before="0" w:after="283"/>
                              <w:jc w:val="center"/>
                              <w:rPr/>
                            </w:pPr>
                            <w:r>
                              <w:rPr/>
                              <w:drawing>
                                <wp:inline distT="0" distB="0" distL="0" distR="0">
                                  <wp:extent cx="333375" cy="342900"/>
                                  <wp:effectExtent l="0" t="0" r="0" b="0"/>
                                  <wp:docPr id="230"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85" descr=""/>
                                          <pic:cNvPicPr>
                                            <a:picLocks noChangeAspect="1" noChangeArrowheads="1"/>
                                          </pic:cNvPicPr>
                                        </pic:nvPicPr>
                                        <pic:blipFill>
                                          <a:blip r:embed="rId186"/>
                                          <a:srcRect l="-3023" t="-2938" r="-3023" b="-2938"/>
                                          <a:stretch>
                                            <a:fillRect/>
                                          </a:stretch>
                                        </pic:blipFill>
                                        <pic:spPr bwMode="auto">
                                          <a:xfrm>
                                            <a:off x="0" y="0"/>
                                            <a:ext cx="333375" cy="342900"/>
                                          </a:xfrm>
                                          <a:prstGeom prst="rect">
                                            <a:avLst/>
                                          </a:prstGeom>
                                          <a:ln w="635">
                                            <a:solidFill>
                                              <a:srgbClr val="000000"/>
                                            </a:solidFill>
                                          </a:ln>
                                        </pic:spPr>
                                      </pic:pic>
                                    </a:graphicData>
                                  </a:graphic>
                                </wp:inline>
                              </w:drawing>
                            </w:r>
                          </w:p>
                        </w:tc>
                        <w:tc>
                          <w:tcPr>
                            <w:tcW w:w="3758"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1051" w:type="dxa"/>
                            <w:tcBorders/>
                            <w:shd w:fill="auto" w:val="clear"/>
                            <w:vAlign w:val="center"/>
                          </w:tcPr>
                          <w:p>
                            <w:pPr>
                              <w:pStyle w:val="TableContents"/>
                              <w:spacing w:before="0" w:after="283"/>
                              <w:jc w:val="center"/>
                              <w:rPr/>
                            </w:pPr>
                            <w:r>
                              <w:rPr/>
                              <w:drawing>
                                <wp:inline distT="0" distB="0" distL="0" distR="0">
                                  <wp:extent cx="400050" cy="400050"/>
                                  <wp:effectExtent l="0" t="0" r="0" b="0"/>
                                  <wp:docPr id="231"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86" descr=""/>
                                          <pic:cNvPicPr>
                                            <a:picLocks noChangeAspect="1" noChangeArrowheads="1"/>
                                          </pic:cNvPicPr>
                                        </pic:nvPicPr>
                                        <pic:blipFill>
                                          <a:blip r:embed="rId187"/>
                                          <a:srcRect l="-2520" t="-2520" r="-2520" b="-2520"/>
                                          <a:stretch>
                                            <a:fillRect/>
                                          </a:stretch>
                                        </pic:blipFill>
                                        <pic:spPr bwMode="auto">
                                          <a:xfrm>
                                            <a:off x="0" y="0"/>
                                            <a:ext cx="400050" cy="400050"/>
                                          </a:xfrm>
                                          <a:prstGeom prst="rect">
                                            <a:avLst/>
                                          </a:prstGeom>
                                          <a:ln w="635">
                                            <a:solidFill>
                                              <a:srgbClr val="000000"/>
                                            </a:solidFill>
                                          </a:ln>
                                        </pic:spPr>
                                      </pic:pic>
                                    </a:graphicData>
                                  </a:graphic>
                                </wp:inline>
                              </w:drawing>
                            </w:r>
                          </w:p>
                        </w:tc>
                        <w:tc>
                          <w:tcPr>
                            <w:tcW w:w="4439" w:type="dxa"/>
                            <w:tcBorders/>
                            <w:shd w:fill="auto" w:val="clear"/>
                            <w:vAlign w:val="center"/>
                          </w:tcPr>
                          <w:p>
                            <w:pPr>
                              <w:pStyle w:val="TableContents"/>
                              <w:spacing w:before="0" w:after="283"/>
                              <w:jc w:val="left"/>
                              <w:rPr>
                                <w:rFonts w:ascii="Arial" w:hAnsi="Arial"/>
                                <w:sz w:val="20"/>
                              </w:rPr>
                            </w:pPr>
                            <w:r>
                              <w:rPr>
                                <w:rFonts w:ascii="Arial" w:hAnsi="Arial"/>
                                <w:sz w:val="20"/>
                              </w:rPr>
                              <w:t>Public Company Board Service/ Corporate Governance</w:t>
                            </w:r>
                          </w:p>
                        </w:tc>
                      </w:tr>
                      <w:tr>
                        <w:trPr/>
                        <w:tc>
                          <w:tcPr>
                            <w:tcW w:w="957" w:type="dxa"/>
                            <w:tcBorders/>
                            <w:shd w:fill="auto" w:val="clear"/>
                            <w:vAlign w:val="center"/>
                          </w:tcPr>
                          <w:p>
                            <w:pPr>
                              <w:pStyle w:val="TableContents"/>
                              <w:spacing w:before="0" w:after="283"/>
                              <w:jc w:val="center"/>
                              <w:rPr/>
                            </w:pPr>
                            <w:r>
                              <w:rPr/>
                              <w:drawing>
                                <wp:inline distT="0" distB="0" distL="0" distR="0">
                                  <wp:extent cx="333375" cy="323850"/>
                                  <wp:effectExtent l="0" t="0" r="0" b="0"/>
                                  <wp:docPr id="232"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87" descr=""/>
                                          <pic:cNvPicPr>
                                            <a:picLocks noChangeAspect="1" noChangeArrowheads="1"/>
                                          </pic:cNvPicPr>
                                        </pic:nvPicPr>
                                        <pic:blipFill>
                                          <a:blip r:embed="rId188"/>
                                          <a:srcRect l="-3023" t="-3111" r="-3023" b="-3111"/>
                                          <a:stretch>
                                            <a:fillRect/>
                                          </a:stretch>
                                        </pic:blipFill>
                                        <pic:spPr bwMode="auto">
                                          <a:xfrm>
                                            <a:off x="0" y="0"/>
                                            <a:ext cx="333375" cy="323850"/>
                                          </a:xfrm>
                                          <a:prstGeom prst="rect">
                                            <a:avLst/>
                                          </a:prstGeom>
                                          <a:ln w="635">
                                            <a:solidFill>
                                              <a:srgbClr val="000000"/>
                                            </a:solidFill>
                                          </a:ln>
                                        </pic:spPr>
                                      </pic:pic>
                                    </a:graphicData>
                                  </a:graphic>
                                </wp:inline>
                              </w:drawing>
                            </w:r>
                          </w:p>
                        </w:tc>
                        <w:tc>
                          <w:tcPr>
                            <w:tcW w:w="3758" w:type="dxa"/>
                            <w:tcBorders/>
                            <w:shd w:fill="auto" w:val="clear"/>
                            <w:vAlign w:val="center"/>
                          </w:tcPr>
                          <w:p>
                            <w:pPr>
                              <w:pStyle w:val="TableContents"/>
                              <w:spacing w:before="0" w:after="283"/>
                              <w:jc w:val="left"/>
                              <w:rPr>
                                <w:rFonts w:ascii="Arial" w:hAnsi="Arial"/>
                                <w:sz w:val="20"/>
                              </w:rPr>
                            </w:pPr>
                            <w:r>
                              <w:rPr>
                                <w:rFonts w:ascii="Arial" w:hAnsi="Arial"/>
                                <w:sz w:val="20"/>
                              </w:rPr>
                              <w:t>Experience Over Several Business Cycles</w:t>
                            </w:r>
                          </w:p>
                        </w:tc>
                        <w:tc>
                          <w:tcPr>
                            <w:tcW w:w="1051" w:type="dxa"/>
                            <w:tcBorders/>
                            <w:shd w:fill="auto" w:val="clear"/>
                            <w:vAlign w:val="center"/>
                          </w:tcPr>
                          <w:p>
                            <w:pPr>
                              <w:pStyle w:val="TableContents"/>
                              <w:spacing w:before="0" w:after="283"/>
                              <w:jc w:val="center"/>
                              <w:rPr/>
                            </w:pPr>
                            <w:r>
                              <w:rPr/>
                              <w:drawing>
                                <wp:inline distT="0" distB="0" distL="0" distR="0">
                                  <wp:extent cx="323850" cy="342900"/>
                                  <wp:effectExtent l="0" t="0" r="0" b="0"/>
                                  <wp:docPr id="233"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88" descr=""/>
                                          <pic:cNvPicPr>
                                            <a:picLocks noChangeAspect="1" noChangeArrowheads="1"/>
                                          </pic:cNvPicPr>
                                        </pic:nvPicPr>
                                        <pic:blipFill>
                                          <a:blip r:embed="rId189"/>
                                          <a:srcRect l="-3111" t="-2938" r="-3111" b="-2938"/>
                                          <a:stretch>
                                            <a:fillRect/>
                                          </a:stretch>
                                        </pic:blipFill>
                                        <pic:spPr bwMode="auto">
                                          <a:xfrm>
                                            <a:off x="0" y="0"/>
                                            <a:ext cx="323850" cy="342900"/>
                                          </a:xfrm>
                                          <a:prstGeom prst="rect">
                                            <a:avLst/>
                                          </a:prstGeom>
                                          <a:ln w="635">
                                            <a:solidFill>
                                              <a:srgbClr val="000000"/>
                                            </a:solidFill>
                                          </a:ln>
                                        </pic:spPr>
                                      </pic:pic>
                                    </a:graphicData>
                                  </a:graphic>
                                </wp:inline>
                              </w:drawing>
                            </w:r>
                          </w:p>
                        </w:tc>
                        <w:tc>
                          <w:tcPr>
                            <w:tcW w:w="4439" w:type="dxa"/>
                            <w:tcBorders/>
                            <w:shd w:fill="auto" w:val="clear"/>
                            <w:vAlign w:val="center"/>
                          </w:tcPr>
                          <w:p>
                            <w:pPr>
                              <w:pStyle w:val="TableContents"/>
                              <w:spacing w:before="0" w:after="283"/>
                              <w:jc w:val="left"/>
                              <w:rPr>
                                <w:rFonts w:ascii="Arial" w:hAnsi="Arial"/>
                                <w:sz w:val="20"/>
                              </w:rPr>
                            </w:pPr>
                            <w:r>
                              <w:rPr>
                                <w:rFonts w:ascii="Arial" w:hAnsi="Arial"/>
                                <w:sz w:val="20"/>
                              </w:rPr>
                              <w:t>Accounting</w:t>
                            </w:r>
                          </w:p>
                        </w:tc>
                      </w:tr>
                      <w:tr>
                        <w:trPr/>
                        <w:tc>
                          <w:tcPr>
                            <w:tcW w:w="957" w:type="dxa"/>
                            <w:tcBorders/>
                            <w:shd w:fill="auto" w:val="clear"/>
                            <w:vAlign w:val="center"/>
                          </w:tcPr>
                          <w:p>
                            <w:pPr>
                              <w:pStyle w:val="TableContents"/>
                              <w:spacing w:before="0" w:after="283"/>
                              <w:jc w:val="center"/>
                              <w:rPr/>
                            </w:pPr>
                            <w:r>
                              <w:rPr/>
                              <w:drawing>
                                <wp:inline distT="0" distB="0" distL="0" distR="0">
                                  <wp:extent cx="390525" cy="323850"/>
                                  <wp:effectExtent l="0" t="0" r="0" b="0"/>
                                  <wp:docPr id="234"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89" descr=""/>
                                          <pic:cNvPicPr>
                                            <a:picLocks noChangeAspect="1" noChangeArrowheads="1"/>
                                          </pic:cNvPicPr>
                                        </pic:nvPicPr>
                                        <pic:blipFill>
                                          <a:blip r:embed="rId190"/>
                                          <a:srcRect l="-2580" t="-3111" r="-2580" b="-3111"/>
                                          <a:stretch>
                                            <a:fillRect/>
                                          </a:stretch>
                                        </pic:blipFill>
                                        <pic:spPr bwMode="auto">
                                          <a:xfrm>
                                            <a:off x="0" y="0"/>
                                            <a:ext cx="390525" cy="323850"/>
                                          </a:xfrm>
                                          <a:prstGeom prst="rect">
                                            <a:avLst/>
                                          </a:prstGeom>
                                          <a:ln w="635">
                                            <a:solidFill>
                                              <a:srgbClr val="000000"/>
                                            </a:solidFill>
                                          </a:ln>
                                        </pic:spPr>
                                      </pic:pic>
                                    </a:graphicData>
                                  </a:graphic>
                                </wp:inline>
                              </w:drawing>
                            </w:r>
                          </w:p>
                        </w:tc>
                        <w:tc>
                          <w:tcPr>
                            <w:tcW w:w="3758" w:type="dxa"/>
                            <w:tcBorders/>
                            <w:shd w:fill="auto" w:val="clear"/>
                            <w:vAlign w:val="center"/>
                          </w:tcPr>
                          <w:p>
                            <w:pPr>
                              <w:pStyle w:val="TableContents"/>
                              <w:spacing w:before="0" w:after="283"/>
                              <w:jc w:val="left"/>
                              <w:rPr>
                                <w:rFonts w:ascii="Arial" w:hAnsi="Arial"/>
                                <w:sz w:val="20"/>
                              </w:rPr>
                            </w:pPr>
                            <w:r>
                              <w:rPr>
                                <w:rFonts w:ascii="Arial" w:hAnsi="Arial"/>
                                <w:sz w:val="20"/>
                              </w:rPr>
                              <w:t>Technology/Cybersecurity</w:t>
                            </w:r>
                          </w:p>
                        </w:tc>
                        <w:tc>
                          <w:tcPr>
                            <w:tcW w:w="1051" w:type="dxa"/>
                            <w:tcBorders/>
                            <w:shd w:fill="auto" w:val="clear"/>
                            <w:vAlign w:val="center"/>
                          </w:tcPr>
                          <w:p>
                            <w:pPr>
                              <w:pStyle w:val="TableContents"/>
                              <w:spacing w:before="0" w:after="283"/>
                              <w:jc w:val="center"/>
                              <w:rPr/>
                            </w:pPr>
                            <w:r>
                              <w:rPr/>
                              <w:drawing>
                                <wp:inline distT="0" distB="0" distL="0" distR="0">
                                  <wp:extent cx="428625" cy="419100"/>
                                  <wp:effectExtent l="0" t="0" r="0" b="0"/>
                                  <wp:docPr id="235"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90" descr=""/>
                                          <pic:cNvPicPr>
                                            <a:picLocks noChangeAspect="1" noChangeArrowheads="1"/>
                                          </pic:cNvPicPr>
                                        </pic:nvPicPr>
                                        <pic:blipFill>
                                          <a:blip r:embed="rId191"/>
                                          <a:srcRect l="-2350" t="-2405" r="-2350" b="-2405"/>
                                          <a:stretch>
                                            <a:fillRect/>
                                          </a:stretch>
                                        </pic:blipFill>
                                        <pic:spPr bwMode="auto">
                                          <a:xfrm>
                                            <a:off x="0" y="0"/>
                                            <a:ext cx="428625" cy="419100"/>
                                          </a:xfrm>
                                          <a:prstGeom prst="rect">
                                            <a:avLst/>
                                          </a:prstGeom>
                                          <a:ln w="635">
                                            <a:solidFill>
                                              <a:srgbClr val="000000"/>
                                            </a:solidFill>
                                          </a:ln>
                                        </pic:spPr>
                                      </pic:pic>
                                    </a:graphicData>
                                  </a:graphic>
                                </wp:inline>
                              </w:drawing>
                            </w:r>
                          </w:p>
                        </w:tc>
                        <w:tc>
                          <w:tcPr>
                            <w:tcW w:w="4439" w:type="dxa"/>
                            <w:tcBorders/>
                            <w:shd w:fill="auto" w:val="clear"/>
                            <w:vAlign w:val="center"/>
                          </w:tcPr>
                          <w:p>
                            <w:pPr>
                              <w:pStyle w:val="TableContents"/>
                              <w:spacing w:before="0" w:after="283"/>
                              <w:jc w:val="left"/>
                              <w:rPr>
                                <w:rFonts w:ascii="Arial" w:hAnsi="Arial"/>
                                <w:sz w:val="20"/>
                              </w:rPr>
                            </w:pPr>
                            <w:r>
                              <w:rPr>
                                <w:rFonts w:ascii="Arial" w:hAnsi="Arial"/>
                                <w:sz w:val="20"/>
                              </w:rPr>
                              <w:t>Diversity</w:t>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14</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0" w:after="0"/>
        <w:rPr/>
      </w:pPr>
      <w:r>
        <w:rPr/>
      </w: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1619885" cy="4856480"/>
                <wp:effectExtent l="0" t="0" r="0" b="0"/>
                <wp:wrapSquare wrapText="largest"/>
                <wp:docPr id="236" name="Frame13"/>
                <a:graphic xmlns:a="http://schemas.openxmlformats.org/drawingml/2006/main">
                  <a:graphicData uri="http://schemas.microsoft.com/office/word/2010/wordprocessingShape">
                    <wps:wsp>
                      <wps:cNvSpPr txBox="1"/>
                      <wps:spPr>
                        <a:xfrm>
                          <a:off x="0" y="0"/>
                          <a:ext cx="1619885" cy="4856480"/>
                        </a:xfrm>
                        <a:prstGeom prst="rect"/>
                      </wps:spPr>
                      <wps:txbx>
                        <w:txbxContent>
                          <w:tbl>
                            <w:tblPr>
                              <w:tblW w:w="5044" w:type="dxa"/>
                              <w:jc w:val="left"/>
                              <w:tblInd w:w="0" w:type="dxa"/>
                              <w:tblCellMar>
                                <w:top w:w="0" w:type="dxa"/>
                                <w:left w:w="0" w:type="dxa"/>
                                <w:bottom w:w="0" w:type="dxa"/>
                                <w:right w:w="28" w:type="dxa"/>
                              </w:tblCellMar>
                            </w:tblPr>
                            <w:tblGrid>
                              <w:gridCol w:w="502"/>
                              <w:gridCol w:w="4362"/>
                              <w:gridCol w:w="180"/>
                            </w:tblGrid>
                            <w:tr>
                              <w:trPr/>
                              <w:tc>
                                <w:tcPr>
                                  <w:tcW w:w="502" w:type="dxa"/>
                                  <w:tcBorders>
                                    <w:right w:val="single" w:sz="32" w:space="0" w:color="8EAD3C"/>
                                  </w:tcBorders>
                                  <w:shd w:fill="auto" w:val="clear"/>
                                  <w:vAlign w:val="center"/>
                                </w:tcPr>
                                <w:p>
                                  <w:pPr>
                                    <w:pStyle w:val="TableContents"/>
                                    <w:spacing w:before="0" w:after="283"/>
                                    <w:jc w:val="left"/>
                                    <w:rPr/>
                                  </w:pPr>
                                  <w:r>
                                    <w:rPr/>
                                    <w:t>   </w:t>
                                  </w:r>
                                </w:p>
                              </w:tc>
                              <w:tc>
                                <w:tcPr>
                                  <w:tcW w:w="4362"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4864" w:type="dxa"/>
                                  <w:gridSpan w:val="2"/>
                                  <w:tcBorders/>
                                  <w:shd w:fill="1A2343" w:val="clear"/>
                                  <w:tcMar>
                                    <w:right w:w="0" w:type="dxa"/>
                                  </w:tcMar>
                                  <w:vAlign w:val="center"/>
                                </w:tcPr>
                                <w:p>
                                  <w:pPr>
                                    <w:pStyle w:val="TableContents"/>
                                    <w:jc w:val="left"/>
                                    <w:rPr>
                                      <w:rFonts w:ascii="Arial" w:hAnsi="Arial"/>
                                      <w:b/>
                                      <w:color w:val="FFFFFF"/>
                                      <w:sz w:val="24"/>
                                    </w:rPr>
                                  </w:pPr>
                                  <w:r>
                                    <w:rPr>
                                      <w:rFonts w:ascii="Arial" w:hAnsi="Arial"/>
                                      <w:b/>
                                      <w:color w:val="FFFFFF"/>
                                      <w:sz w:val="24"/>
                                    </w:rPr>
                                    <w:t>CAROL N.</w:t>
                                    <w:br/>
                                    <w:t>BROWN</w:t>
                                  </w:r>
                                </w:p>
                                <w:p>
                                  <w:pPr>
                                    <w:pStyle w:val="TableContents"/>
                                    <w:jc w:val="left"/>
                                    <w:rPr/>
                                  </w:pPr>
                                  <w:r>
                                    <w:rPr/>
                                    <w:drawing>
                                      <wp:inline distT="0" distB="0" distL="0" distR="0">
                                        <wp:extent cx="1181100" cy="1476375"/>
                                        <wp:effectExtent l="0" t="0" r="0" b="0"/>
                                        <wp:docPr id="237"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91" descr=""/>
                                                <pic:cNvPicPr>
                                                  <a:picLocks noChangeAspect="1" noChangeArrowheads="1"/>
                                                </pic:cNvPicPr>
                                              </pic:nvPicPr>
                                              <pic:blipFill>
                                                <a:blip r:embed="rId192"/>
                                                <a:srcRect l="-853" t="-682" r="-853" b="-682"/>
                                                <a:stretch>
                                                  <a:fillRect/>
                                                </a:stretch>
                                              </pic:blipFill>
                                              <pic:spPr bwMode="auto">
                                                <a:xfrm>
                                                  <a:off x="0" y="0"/>
                                                  <a:ext cx="1181100" cy="1476375"/>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Independent Director</w:t>
                                  </w:r>
                                </w:p>
                                <w:p>
                                  <w:pPr>
                                    <w:pStyle w:val="TableContents"/>
                                    <w:jc w:val="left"/>
                                    <w:rPr/>
                                  </w:pPr>
                                  <w:r>
                                    <w:rPr>
                                      <w:rFonts w:ascii="Arial" w:hAnsi="Arial"/>
                                      <w:color w:val="FFFFFF"/>
                                      <w:sz w:val="20"/>
                                    </w:rPr>
                                    <w:t xml:space="preserve">Director Since: </w:t>
                                  </w:r>
                                  <w:r>
                                    <w:rPr>
                                      <w:rStyle w:val="StrongEmphasis"/>
                                      <w:rFonts w:ascii="Arial" w:hAnsi="Arial"/>
                                      <w:color w:val="FFFFFF"/>
                                      <w:sz w:val="20"/>
                                    </w:rPr>
                                    <w:t xml:space="preserve">2022 </w:t>
                                  </w:r>
                                </w:p>
                                <w:p>
                                  <w:pPr>
                                    <w:pStyle w:val="TableContents"/>
                                    <w:jc w:val="left"/>
                                    <w:rPr/>
                                  </w:pPr>
                                  <w:r>
                                    <w:rPr>
                                      <w:rFonts w:ascii="Arial" w:hAnsi="Arial"/>
                                      <w:color w:val="FFFFFF"/>
                                      <w:sz w:val="20"/>
                                    </w:rPr>
                                    <w:t xml:space="preserve">Age: </w:t>
                                  </w:r>
                                  <w:r>
                                    <w:rPr>
                                      <w:rStyle w:val="StrongEmphasis"/>
                                      <w:rFonts w:ascii="Arial" w:hAnsi="Arial"/>
                                      <w:color w:val="FFFFFF"/>
                                      <w:sz w:val="20"/>
                                    </w:rPr>
                                    <w:t xml:space="preserve">53 </w:t>
                                  </w:r>
                                </w:p>
                                <w:p>
                                  <w:pPr>
                                    <w:pStyle w:val="TableContents"/>
                                    <w:jc w:val="left"/>
                                    <w:rPr>
                                      <w:rFonts w:ascii="Arial" w:hAnsi="Arial"/>
                                      <w:color w:val="FFFFFF"/>
                                      <w:sz w:val="20"/>
                                    </w:rPr>
                                  </w:pPr>
                                  <w:r>
                                    <w:rPr>
                                      <w:rFonts w:ascii="Arial" w:hAnsi="Arial"/>
                                      <w:color w:val="FFFFFF"/>
                                      <w:sz w:val="20"/>
                                    </w:rPr>
                                    <w:t>SL Green</w:t>
                                    <w:br/>
                                    <w:t>Board Service</w:t>
                                  </w:r>
                                  <w:r>
                                    <w:rPr>
                                      <w:rFonts w:ascii="Arial" w:hAnsi="Arial"/>
                                      <w:color w:val="FFFFFF"/>
                                      <w:position w:val="7"/>
                                      <w:sz w:val="16"/>
                                      <w:sz w:val="20"/>
                                    </w:rPr>
                                    <w:t>(1)</w:t>
                                  </w:r>
                                  <w:r>
                                    <w:rPr>
                                      <w:rFonts w:ascii="Arial" w:hAnsi="Arial"/>
                                      <w:color w:val="FFFFFF"/>
                                      <w:sz w:val="20"/>
                                    </w:rPr>
                                    <w:t>:</w:t>
                                  </w:r>
                                </w:p>
                                <w:p>
                                  <w:pPr>
                                    <w:pStyle w:val="TableContents"/>
                                    <w:spacing w:before="0" w:after="0"/>
                                    <w:ind w:left="0" w:right="0" w:hanging="290"/>
                                    <w:jc w:val="left"/>
                                    <w:rPr/>
                                  </w:pPr>
                                  <w:r>
                                    <w:rPr>
                                      <w:color w:val="FFFFFF"/>
                                    </w:rPr>
                                    <w:t>●</w:t>
                                  </w:r>
                                  <w:r>
                                    <w:rPr>
                                      <w:rStyle w:val="StrongEmphasis"/>
                                      <w:rFonts w:ascii="arial" w:hAnsi="arial"/>
                                      <w:color w:val="FFFFFF"/>
                                      <w:sz w:val="20"/>
                                    </w:rPr>
                                    <w:t>Nominating and Corporate Governance Committee</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502" w:type="dxa"/>
                                  <w:tcBorders/>
                                  <w:shd w:fill="auto" w:val="clear"/>
                                  <w:tcMar>
                                    <w:right w:w="0" w:type="dxa"/>
                                  </w:tcMar>
                                  <w:vAlign w:val="center"/>
                                </w:tcPr>
                                <w:p>
                                  <w:pPr>
                                    <w:pStyle w:val="TableContents"/>
                                    <w:spacing w:before="0" w:after="283"/>
                                    <w:jc w:val="left"/>
                                    <w:rPr/>
                                  </w:pPr>
                                  <w:r>
                                    <w:rPr/>
                                    <w:t> </w:t>
                                  </w:r>
                                </w:p>
                              </w:tc>
                              <w:tc>
                                <w:tcPr>
                                  <w:tcW w:w="4362"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25000</wp14:pctWidth>
                </wp14:sizeRelH>
              </wp:anchor>
            </w:drawing>
          </mc:Choice>
          <mc:Fallback>
            <w:pict>
              <v:rect style="position:absolute;rotation:0;width:127.55pt;height:382.4pt;mso-wrap-distance-left:0pt;mso-wrap-distance-right:0pt;mso-wrap-distance-top:0pt;mso-wrap-distance-bottom:0pt;margin-top:0pt;mso-position-vertical:top;mso-position-vertical-relative:text;margin-left:0pt;mso-position-horizontal:left;mso-position-horizontal-relative:text">
                <v:textbox>
                  <w:txbxContent>
                    <w:tbl>
                      <w:tblPr>
                        <w:tblW w:w="5044" w:type="dxa"/>
                        <w:jc w:val="left"/>
                        <w:tblInd w:w="0" w:type="dxa"/>
                        <w:tblCellMar>
                          <w:top w:w="0" w:type="dxa"/>
                          <w:left w:w="0" w:type="dxa"/>
                          <w:bottom w:w="0" w:type="dxa"/>
                          <w:right w:w="28" w:type="dxa"/>
                        </w:tblCellMar>
                      </w:tblPr>
                      <w:tblGrid>
                        <w:gridCol w:w="502"/>
                        <w:gridCol w:w="4362"/>
                        <w:gridCol w:w="180"/>
                      </w:tblGrid>
                      <w:tr>
                        <w:trPr/>
                        <w:tc>
                          <w:tcPr>
                            <w:tcW w:w="502" w:type="dxa"/>
                            <w:tcBorders>
                              <w:right w:val="single" w:sz="32" w:space="0" w:color="8EAD3C"/>
                            </w:tcBorders>
                            <w:shd w:fill="auto" w:val="clear"/>
                            <w:vAlign w:val="center"/>
                          </w:tcPr>
                          <w:p>
                            <w:pPr>
                              <w:pStyle w:val="TableContents"/>
                              <w:spacing w:before="0" w:after="283"/>
                              <w:jc w:val="left"/>
                              <w:rPr/>
                            </w:pPr>
                            <w:r>
                              <w:rPr/>
                              <w:t>   </w:t>
                            </w:r>
                          </w:p>
                        </w:tc>
                        <w:tc>
                          <w:tcPr>
                            <w:tcW w:w="4362"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4864" w:type="dxa"/>
                            <w:gridSpan w:val="2"/>
                            <w:tcBorders/>
                            <w:shd w:fill="1A2343" w:val="clear"/>
                            <w:tcMar>
                              <w:right w:w="0" w:type="dxa"/>
                            </w:tcMar>
                            <w:vAlign w:val="center"/>
                          </w:tcPr>
                          <w:p>
                            <w:pPr>
                              <w:pStyle w:val="TableContents"/>
                              <w:jc w:val="left"/>
                              <w:rPr>
                                <w:rFonts w:ascii="Arial" w:hAnsi="Arial"/>
                                <w:b/>
                                <w:color w:val="FFFFFF"/>
                                <w:sz w:val="24"/>
                              </w:rPr>
                            </w:pPr>
                            <w:r>
                              <w:rPr>
                                <w:rFonts w:ascii="Arial" w:hAnsi="Arial"/>
                                <w:b/>
                                <w:color w:val="FFFFFF"/>
                                <w:sz w:val="24"/>
                              </w:rPr>
                              <w:t>CAROL N.</w:t>
                              <w:br/>
                              <w:t>BROWN</w:t>
                            </w:r>
                          </w:p>
                          <w:p>
                            <w:pPr>
                              <w:pStyle w:val="TableContents"/>
                              <w:jc w:val="left"/>
                              <w:rPr/>
                            </w:pPr>
                            <w:r>
                              <w:rPr/>
                              <w:drawing>
                                <wp:inline distT="0" distB="0" distL="0" distR="0">
                                  <wp:extent cx="1181100" cy="1476375"/>
                                  <wp:effectExtent l="0" t="0" r="0" b="0"/>
                                  <wp:docPr id="238"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91" descr=""/>
                                          <pic:cNvPicPr>
                                            <a:picLocks noChangeAspect="1" noChangeArrowheads="1"/>
                                          </pic:cNvPicPr>
                                        </pic:nvPicPr>
                                        <pic:blipFill>
                                          <a:blip r:embed="rId192"/>
                                          <a:srcRect l="-853" t="-682" r="-853" b="-682"/>
                                          <a:stretch>
                                            <a:fillRect/>
                                          </a:stretch>
                                        </pic:blipFill>
                                        <pic:spPr bwMode="auto">
                                          <a:xfrm>
                                            <a:off x="0" y="0"/>
                                            <a:ext cx="1181100" cy="1476375"/>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Independent Director</w:t>
                            </w:r>
                          </w:p>
                          <w:p>
                            <w:pPr>
                              <w:pStyle w:val="TableContents"/>
                              <w:jc w:val="left"/>
                              <w:rPr/>
                            </w:pPr>
                            <w:r>
                              <w:rPr>
                                <w:rFonts w:ascii="Arial" w:hAnsi="Arial"/>
                                <w:color w:val="FFFFFF"/>
                                <w:sz w:val="20"/>
                              </w:rPr>
                              <w:t xml:space="preserve">Director Since: </w:t>
                            </w:r>
                            <w:r>
                              <w:rPr>
                                <w:rStyle w:val="StrongEmphasis"/>
                                <w:rFonts w:ascii="Arial" w:hAnsi="Arial"/>
                                <w:color w:val="FFFFFF"/>
                                <w:sz w:val="20"/>
                              </w:rPr>
                              <w:t xml:space="preserve">2022 </w:t>
                            </w:r>
                          </w:p>
                          <w:p>
                            <w:pPr>
                              <w:pStyle w:val="TableContents"/>
                              <w:jc w:val="left"/>
                              <w:rPr/>
                            </w:pPr>
                            <w:r>
                              <w:rPr>
                                <w:rFonts w:ascii="Arial" w:hAnsi="Arial"/>
                                <w:color w:val="FFFFFF"/>
                                <w:sz w:val="20"/>
                              </w:rPr>
                              <w:t xml:space="preserve">Age: </w:t>
                            </w:r>
                            <w:r>
                              <w:rPr>
                                <w:rStyle w:val="StrongEmphasis"/>
                                <w:rFonts w:ascii="Arial" w:hAnsi="Arial"/>
                                <w:color w:val="FFFFFF"/>
                                <w:sz w:val="20"/>
                              </w:rPr>
                              <w:t xml:space="preserve">53 </w:t>
                            </w:r>
                          </w:p>
                          <w:p>
                            <w:pPr>
                              <w:pStyle w:val="TableContents"/>
                              <w:jc w:val="left"/>
                              <w:rPr>
                                <w:rFonts w:ascii="Arial" w:hAnsi="Arial"/>
                                <w:color w:val="FFFFFF"/>
                                <w:sz w:val="20"/>
                              </w:rPr>
                            </w:pPr>
                            <w:r>
                              <w:rPr>
                                <w:rFonts w:ascii="Arial" w:hAnsi="Arial"/>
                                <w:color w:val="FFFFFF"/>
                                <w:sz w:val="20"/>
                              </w:rPr>
                              <w:t>SL Green</w:t>
                              <w:br/>
                              <w:t>Board Service</w:t>
                            </w:r>
                            <w:r>
                              <w:rPr>
                                <w:rFonts w:ascii="Arial" w:hAnsi="Arial"/>
                                <w:color w:val="FFFFFF"/>
                                <w:position w:val="7"/>
                                <w:sz w:val="16"/>
                                <w:sz w:val="20"/>
                              </w:rPr>
                              <w:t>(1)</w:t>
                            </w:r>
                            <w:r>
                              <w:rPr>
                                <w:rFonts w:ascii="Arial" w:hAnsi="Arial"/>
                                <w:color w:val="FFFFFF"/>
                                <w:sz w:val="20"/>
                              </w:rPr>
                              <w:t>:</w:t>
                            </w:r>
                          </w:p>
                          <w:p>
                            <w:pPr>
                              <w:pStyle w:val="TableContents"/>
                              <w:spacing w:before="0" w:after="0"/>
                              <w:ind w:left="0" w:right="0" w:hanging="290"/>
                              <w:jc w:val="left"/>
                              <w:rPr/>
                            </w:pPr>
                            <w:r>
                              <w:rPr>
                                <w:color w:val="FFFFFF"/>
                              </w:rPr>
                              <w:t>●</w:t>
                            </w:r>
                            <w:r>
                              <w:rPr>
                                <w:rStyle w:val="StrongEmphasis"/>
                                <w:rFonts w:ascii="arial" w:hAnsi="arial"/>
                                <w:color w:val="FFFFFF"/>
                                <w:sz w:val="20"/>
                              </w:rPr>
                              <w:t>Nominating and Corporate Governance Committee</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502" w:type="dxa"/>
                            <w:tcBorders/>
                            <w:shd w:fill="auto" w:val="clear"/>
                            <w:tcMar>
                              <w:right w:w="0" w:type="dxa"/>
                            </w:tcMar>
                            <w:vAlign w:val="center"/>
                          </w:tcPr>
                          <w:p>
                            <w:pPr>
                              <w:pStyle w:val="TableContents"/>
                              <w:spacing w:before="0" w:after="283"/>
                              <w:jc w:val="left"/>
                              <w:rPr/>
                            </w:pPr>
                            <w:r>
                              <w:rPr/>
                              <w:t> </w:t>
                            </w:r>
                          </w:p>
                        </w:tc>
                        <w:tc>
                          <w:tcPr>
                            <w:tcW w:w="4362"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olumn">
                  <wp:align>right</wp:align>
                </wp:positionH>
                <wp:positionV relativeFrom="line">
                  <wp:posOffset>635</wp:posOffset>
                </wp:positionV>
                <wp:extent cx="4600575" cy="7073265"/>
                <wp:effectExtent l="0" t="0" r="0" b="0"/>
                <wp:wrapSquare wrapText="largest"/>
                <wp:docPr id="239" name="Frame14"/>
                <a:graphic xmlns:a="http://schemas.openxmlformats.org/drawingml/2006/main">
                  <a:graphicData uri="http://schemas.microsoft.com/office/word/2010/wordprocessingShape">
                    <wps:wsp>
                      <wps:cNvSpPr txBox="1"/>
                      <wps:spPr>
                        <a:xfrm>
                          <a:off x="0" y="0"/>
                          <a:ext cx="4600575" cy="7073265"/>
                        </a:xfrm>
                        <a:prstGeom prst="rect"/>
                      </wps:spPr>
                      <wps:txbx>
                        <w:txbxContent>
                          <w:tbl>
                            <w:tblPr>
                              <w:tblW w:w="10205" w:type="dxa"/>
                              <w:jc w:val="left"/>
                              <w:tblInd w:w="0" w:type="dxa"/>
                              <w:tblCellMar>
                                <w:top w:w="0" w:type="dxa"/>
                                <w:left w:w="0" w:type="dxa"/>
                                <w:bottom w:w="0" w:type="dxa"/>
                                <w:right w:w="0" w:type="dxa"/>
                              </w:tblCellMar>
                            </w:tblPr>
                            <w:tblGrid>
                              <w:gridCol w:w="1097"/>
                              <w:gridCol w:w="3471"/>
                              <w:gridCol w:w="1204"/>
                              <w:gridCol w:w="4433"/>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Ms. Brown’s extensive experience in academia, including teaching and writing in the areas of property, land use planning, real estate transactions, and housing law, bring a unique and valuable perspective to the Board.</w:t>
                                  </w:r>
                                </w:p>
                              </w:tc>
                            </w:tr>
                            <w:tr>
                              <w:trPr/>
                              <w:tc>
                                <w:tcPr>
                                  <w:tcW w:w="1097" w:type="dxa"/>
                                  <w:tcBorders/>
                                  <w:shd w:fill="auto" w:val="clear"/>
                                  <w:vAlign w:val="center"/>
                                </w:tcPr>
                                <w:p>
                                  <w:pPr>
                                    <w:pStyle w:val="TableContents"/>
                                    <w:spacing w:before="0" w:after="283"/>
                                    <w:jc w:val="left"/>
                                    <w:rPr/>
                                  </w:pPr>
                                  <w:r>
                                    <w:rPr/>
                                    <w:t> </w:t>
                                  </w:r>
                                </w:p>
                              </w:tc>
                              <w:tc>
                                <w:tcPr>
                                  <w:tcW w:w="3471"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4433" w:type="dxa"/>
                                  <w:tcBorders/>
                                  <w:shd w:fill="auto" w:val="clear"/>
                                  <w:vAlign w:val="center"/>
                                </w:tcPr>
                                <w:p>
                                  <w:pPr>
                                    <w:pStyle w:val="TableContents"/>
                                    <w:spacing w:before="0" w:after="283"/>
                                    <w:rPr>
                                      <w:sz w:val="4"/>
                                      <w:szCs w:val="4"/>
                                    </w:rPr>
                                  </w:pPr>
                                  <w:r>
                                    <w:rPr>
                                      <w:sz w:val="4"/>
                                      <w:szCs w:val="4"/>
                                    </w:rPr>
                                  </w:r>
                                </w:p>
                              </w:tc>
                            </w:tr>
                            <w:tr>
                              <w:trPr/>
                              <w:tc>
                                <w:tcPr>
                                  <w:tcW w:w="1097"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471"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204"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4433"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2"/>
                                    </w:rPr>
                                    <w:t>Professional Experience</w:t>
                                  </w:r>
                                </w:p>
                                <w:p>
                                  <w:pPr>
                                    <w:pStyle w:val="TableContents"/>
                                    <w:spacing w:before="0" w:after="0"/>
                                    <w:ind w:left="0" w:right="0" w:hanging="290"/>
                                    <w:jc w:val="left"/>
                                    <w:rPr/>
                                  </w:pPr>
                                  <w:r>
                                    <w:rPr>
                                      <w:color w:val="000000"/>
                                    </w:rPr>
                                    <w:t>●</w:t>
                                  </w:r>
                                  <w:r>
                                    <w:rPr>
                                      <w:rFonts w:ascii="Arial" w:hAnsi="Arial"/>
                                      <w:sz w:val="20"/>
                                    </w:rPr>
                                    <w:t xml:space="preserve">Professor at the University of Richmond School of Law since 2012, teaching Property Law Survey, Housing Law, Land Use Planning, and Real Estate Transactions </w:t>
                                  </w:r>
                                </w:p>
                                <w:p>
                                  <w:pPr>
                                    <w:pStyle w:val="TableContents"/>
                                    <w:spacing w:before="0" w:after="0"/>
                                    <w:ind w:left="0" w:right="0" w:hanging="290"/>
                                    <w:jc w:val="left"/>
                                    <w:rPr/>
                                  </w:pPr>
                                  <w:r>
                                    <w:rPr>
                                      <w:color w:val="000000"/>
                                    </w:rPr>
                                    <w:t>●</w:t>
                                  </w:r>
                                  <w:r>
                                    <w:rPr>
                                      <w:rFonts w:ascii="Arial" w:hAnsi="Arial"/>
                                      <w:sz w:val="20"/>
                                    </w:rPr>
                                    <w:t xml:space="preserve">Former Professor at the University of North Carolina School of Law from 2008 to 2012 and Associate Professor from 2007 to 2008 </w:t>
                                  </w:r>
                                </w:p>
                                <w:p>
                                  <w:pPr>
                                    <w:pStyle w:val="TableContents"/>
                                    <w:spacing w:before="0" w:after="0"/>
                                    <w:ind w:left="0" w:right="0" w:hanging="290"/>
                                    <w:jc w:val="left"/>
                                    <w:rPr/>
                                  </w:pPr>
                                  <w:r>
                                    <w:rPr>
                                      <w:color w:val="000000"/>
                                    </w:rPr>
                                    <w:t>●</w:t>
                                  </w:r>
                                  <w:r>
                                    <w:rPr>
                                      <w:rFonts w:ascii="Arial" w:hAnsi="Arial"/>
                                      <w:sz w:val="20"/>
                                    </w:rPr>
                                    <w:t xml:space="preserve">Former Associate Professor of Law at the University of Alabama School of Law, and Assistant Professor from 2001 to 2004 </w:t>
                                  </w:r>
                                </w:p>
                                <w:p>
                                  <w:pPr>
                                    <w:pStyle w:val="TableContents"/>
                                    <w:spacing w:before="0" w:after="0"/>
                                    <w:ind w:left="0" w:right="0" w:hanging="290"/>
                                    <w:jc w:val="left"/>
                                    <w:rPr/>
                                  </w:pPr>
                                  <w:r>
                                    <w:rPr>
                                      <w:color w:val="000000"/>
                                    </w:rPr>
                                    <w:t>●</w:t>
                                  </w:r>
                                  <w:r>
                                    <w:rPr>
                                      <w:rFonts w:ascii="Arial" w:hAnsi="Arial"/>
                                      <w:sz w:val="20"/>
                                    </w:rPr>
                                    <w:t xml:space="preserve">Former Associate at Sirote &amp; Permutt, P.C. in Birmingham, Alabama focusing on general business, real estate, and consumer finance </w:t>
                                  </w:r>
                                </w:p>
                                <w:p>
                                  <w:pPr>
                                    <w:pStyle w:val="TableContents"/>
                                    <w:spacing w:before="0" w:after="0"/>
                                    <w:ind w:left="0" w:right="0" w:hanging="290"/>
                                    <w:jc w:val="left"/>
                                    <w:rPr/>
                                  </w:pPr>
                                  <w:r>
                                    <w:rPr>
                                      <w:color w:val="000000"/>
                                    </w:rPr>
                                    <w:t>●</w:t>
                                  </w:r>
                                  <w:r>
                                    <w:rPr>
                                      <w:rFonts w:ascii="Arial" w:hAnsi="Arial"/>
                                      <w:sz w:val="20"/>
                                    </w:rPr>
                                    <w:t>Former Associate at McGuire, Woods, Battle &amp; Bootle, L.L.P. in Richmond, Virginia focusing on labor and employment discrimination</w:t>
                                  </w:r>
                                </w:p>
                                <w:p>
                                  <w:pPr>
                                    <w:pStyle w:val="TableContents"/>
                                    <w:spacing w:before="0" w:after="0"/>
                                    <w:ind w:left="0" w:right="0" w:hanging="290"/>
                                    <w:jc w:val="left"/>
                                    <w:rPr/>
                                  </w:pPr>
                                  <w:r>
                                    <w:rPr>
                                      <w:color w:val="000000"/>
                                    </w:rPr>
                                    <w:t>●</w:t>
                                  </w:r>
                                  <w:r>
                                    <w:rPr>
                                      <w:rFonts w:ascii="Arial" w:hAnsi="Arial"/>
                                      <w:sz w:val="20"/>
                                    </w:rPr>
                                    <w:t>Former Judicial Law Clerk for the Honorable Sharon L. Blackburn, United States District Court, Northern District of Alabama</w:t>
                                  </w:r>
                                </w:p>
                                <w:p>
                                  <w:pPr>
                                    <w:pStyle w:val="TableContents"/>
                                    <w:spacing w:before="0" w:after="0"/>
                                    <w:ind w:left="0" w:right="0" w:hanging="290"/>
                                    <w:jc w:val="left"/>
                                    <w:rPr/>
                                  </w:pPr>
                                  <w:r>
                                    <w:rPr>
                                      <w:color w:val="000000"/>
                                    </w:rPr>
                                    <w:t>●</w:t>
                                  </w:r>
                                  <w:r>
                                    <w:rPr>
                                      <w:rFonts w:ascii="Arial" w:hAnsi="Arial"/>
                                      <w:sz w:val="20"/>
                                    </w:rPr>
                                    <w:t xml:space="preserve">B.A. from Duke University and J.D./L.L.M. from Duke University School of Law </w:t>
                                  </w:r>
                                </w:p>
                              </w:tc>
                            </w:tr>
                            <w:tr>
                              <w:trPr/>
                              <w:tc>
                                <w:tcPr>
                                  <w:tcW w:w="1097" w:type="dxa"/>
                                  <w:tcBorders/>
                                  <w:shd w:fill="auto" w:val="clear"/>
                                  <w:vAlign w:val="center"/>
                                </w:tcPr>
                                <w:p>
                                  <w:pPr>
                                    <w:pStyle w:val="TableContents"/>
                                    <w:spacing w:before="0" w:after="283"/>
                                    <w:jc w:val="left"/>
                                    <w:rPr/>
                                  </w:pPr>
                                  <w:r>
                                    <w:rPr/>
                                    <w:t> </w:t>
                                  </w:r>
                                </w:p>
                              </w:tc>
                              <w:tc>
                                <w:tcPr>
                                  <w:tcW w:w="3471"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4433" w:type="dxa"/>
                                  <w:tcBorders/>
                                  <w:shd w:fill="auto" w:val="clear"/>
                                  <w:vAlign w:val="center"/>
                                </w:tcPr>
                                <w:p>
                                  <w:pPr>
                                    <w:pStyle w:val="TableContents"/>
                                    <w:spacing w:before="0" w:after="283"/>
                                    <w:rPr>
                                      <w:sz w:val="4"/>
                                      <w:szCs w:val="4"/>
                                    </w:rPr>
                                  </w:pPr>
                                  <w:r>
                                    <w:rPr>
                                      <w:sz w:val="4"/>
                                      <w:szCs w:val="4"/>
                                    </w:rPr>
                                  </w:r>
                                </w:p>
                              </w:tc>
                            </w:tr>
                            <w:tr>
                              <w:trPr/>
                              <w:tc>
                                <w:tcPr>
                                  <w:tcW w:w="1097"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471"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204"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4433"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1097" w:type="dxa"/>
                                  <w:tcBorders/>
                                  <w:shd w:fill="auto" w:val="clear"/>
                                  <w:vAlign w:val="center"/>
                                </w:tcPr>
                                <w:p>
                                  <w:pPr>
                                    <w:pStyle w:val="TableContents"/>
                                    <w:spacing w:before="0" w:after="283"/>
                                    <w:jc w:val="center"/>
                                    <w:rPr/>
                                  </w:pPr>
                                  <w:r>
                                    <w:rPr/>
                                    <w:drawing>
                                      <wp:inline distT="0" distB="0" distL="0" distR="0">
                                        <wp:extent cx="333375" cy="342900"/>
                                        <wp:effectExtent l="0" t="0" r="0" b="0"/>
                                        <wp:docPr id="240"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92" descr=""/>
                                                <pic:cNvPicPr>
                                                  <a:picLocks noChangeAspect="1" noChangeArrowheads="1"/>
                                                </pic:cNvPicPr>
                                              </pic:nvPicPr>
                                              <pic:blipFill>
                                                <a:blip r:embed="rId193"/>
                                                <a:srcRect l="-3023" t="-2938" r="-3023" b="-2938"/>
                                                <a:stretch>
                                                  <a:fillRect/>
                                                </a:stretch>
                                              </pic:blipFill>
                                              <pic:spPr bwMode="auto">
                                                <a:xfrm>
                                                  <a:off x="0" y="0"/>
                                                  <a:ext cx="333375" cy="342900"/>
                                                </a:xfrm>
                                                <a:prstGeom prst="rect">
                                                  <a:avLst/>
                                                </a:prstGeom>
                                                <a:ln w="635">
                                                  <a:solidFill>
                                                    <a:srgbClr val="000000"/>
                                                  </a:solidFill>
                                                </a:ln>
                                              </pic:spPr>
                                            </pic:pic>
                                          </a:graphicData>
                                        </a:graphic>
                                      </wp:inline>
                                    </w:drawing>
                                  </w:r>
                                </w:p>
                              </w:tc>
                              <w:tc>
                                <w:tcPr>
                                  <w:tcW w:w="3471"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1204" w:type="dxa"/>
                                  <w:tcBorders/>
                                  <w:shd w:fill="auto" w:val="clear"/>
                                  <w:vAlign w:val="center"/>
                                </w:tcPr>
                                <w:p>
                                  <w:pPr>
                                    <w:pStyle w:val="TableContents"/>
                                    <w:spacing w:before="0" w:after="283"/>
                                    <w:jc w:val="center"/>
                                    <w:rPr/>
                                  </w:pPr>
                                  <w:r>
                                    <w:rPr/>
                                    <w:drawing>
                                      <wp:inline distT="0" distB="0" distL="0" distR="0">
                                        <wp:extent cx="352425" cy="333375"/>
                                        <wp:effectExtent l="0" t="0" r="0" b="0"/>
                                        <wp:docPr id="241"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93" descr=""/>
                                                <pic:cNvPicPr>
                                                  <a:picLocks noChangeAspect="1" noChangeArrowheads="1"/>
                                                </pic:cNvPicPr>
                                              </pic:nvPicPr>
                                              <pic:blipFill>
                                                <a:blip r:embed="rId194"/>
                                                <a:srcRect l="-2860" t="-3023" r="-2860" b="-3023"/>
                                                <a:stretch>
                                                  <a:fillRect/>
                                                </a:stretch>
                                              </pic:blipFill>
                                              <pic:spPr bwMode="auto">
                                                <a:xfrm>
                                                  <a:off x="0" y="0"/>
                                                  <a:ext cx="352425" cy="333375"/>
                                                </a:xfrm>
                                                <a:prstGeom prst="rect">
                                                  <a:avLst/>
                                                </a:prstGeom>
                                                <a:ln w="635">
                                                  <a:solidFill>
                                                    <a:srgbClr val="000000"/>
                                                  </a:solidFill>
                                                </a:ln>
                                              </pic:spPr>
                                            </pic:pic>
                                          </a:graphicData>
                                        </a:graphic>
                                      </wp:inline>
                                    </w:drawing>
                                  </w:r>
                                </w:p>
                              </w:tc>
                              <w:tc>
                                <w:tcPr>
                                  <w:tcW w:w="4433" w:type="dxa"/>
                                  <w:tcBorders/>
                                  <w:shd w:fill="auto" w:val="clear"/>
                                  <w:vAlign w:val="center"/>
                                </w:tcPr>
                                <w:p>
                                  <w:pPr>
                                    <w:pStyle w:val="TableContents"/>
                                    <w:spacing w:before="0" w:after="283"/>
                                    <w:jc w:val="left"/>
                                    <w:rPr>
                                      <w:rFonts w:ascii="Arial" w:hAnsi="Arial"/>
                                      <w:sz w:val="20"/>
                                    </w:rPr>
                                  </w:pPr>
                                  <w:r>
                                    <w:rPr>
                                      <w:rFonts w:ascii="Arial" w:hAnsi="Arial"/>
                                      <w:sz w:val="20"/>
                                    </w:rPr>
                                    <w:t>REIT/Real Estate Industry</w:t>
                                  </w:r>
                                </w:p>
                              </w:tc>
                            </w:tr>
                            <w:tr>
                              <w:trPr/>
                              <w:tc>
                                <w:tcPr>
                                  <w:tcW w:w="1097" w:type="dxa"/>
                                  <w:tcBorders/>
                                  <w:shd w:fill="auto" w:val="clear"/>
                                  <w:vAlign w:val="center"/>
                                </w:tcPr>
                                <w:p>
                                  <w:pPr>
                                    <w:pStyle w:val="TableContents"/>
                                    <w:spacing w:before="0" w:after="283"/>
                                    <w:jc w:val="center"/>
                                    <w:rPr/>
                                  </w:pPr>
                                  <w:r>
                                    <w:rPr/>
                                    <w:drawing>
                                      <wp:inline distT="0" distB="0" distL="0" distR="0">
                                        <wp:extent cx="361950" cy="266700"/>
                                        <wp:effectExtent l="0" t="0" r="0" b="0"/>
                                        <wp:docPr id="242"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94" descr=""/>
                                                <pic:cNvPicPr>
                                                  <a:picLocks noChangeAspect="1" noChangeArrowheads="1"/>
                                                </pic:cNvPicPr>
                                              </pic:nvPicPr>
                                              <pic:blipFill>
                                                <a:blip r:embed="rId195"/>
                                                <a:srcRect l="-2786" t="-3778" r="-2786" b="-3778"/>
                                                <a:stretch>
                                                  <a:fillRect/>
                                                </a:stretch>
                                              </pic:blipFill>
                                              <pic:spPr bwMode="auto">
                                                <a:xfrm>
                                                  <a:off x="0" y="0"/>
                                                  <a:ext cx="361950" cy="266700"/>
                                                </a:xfrm>
                                                <a:prstGeom prst="rect">
                                                  <a:avLst/>
                                                </a:prstGeom>
                                                <a:ln w="635">
                                                  <a:solidFill>
                                                    <a:srgbClr val="000000"/>
                                                  </a:solidFill>
                                                </a:ln>
                                              </pic:spPr>
                                            </pic:pic>
                                          </a:graphicData>
                                        </a:graphic>
                                      </wp:inline>
                                    </w:drawing>
                                  </w:r>
                                </w:p>
                              </w:tc>
                              <w:tc>
                                <w:tcPr>
                                  <w:tcW w:w="3471" w:type="dxa"/>
                                  <w:tcBorders/>
                                  <w:shd w:fill="auto" w:val="clear"/>
                                  <w:vAlign w:val="center"/>
                                </w:tcPr>
                                <w:p>
                                  <w:pPr>
                                    <w:pStyle w:val="TableContents"/>
                                    <w:spacing w:before="0" w:after="283"/>
                                    <w:jc w:val="left"/>
                                    <w:rPr>
                                      <w:rFonts w:ascii="Arial" w:hAnsi="Arial"/>
                                      <w:sz w:val="20"/>
                                    </w:rPr>
                                  </w:pPr>
                                  <w:r>
                                    <w:rPr>
                                      <w:rFonts w:ascii="Arial" w:hAnsi="Arial"/>
                                      <w:sz w:val="20"/>
                                    </w:rPr>
                                    <w:t>Academia</w:t>
                                  </w:r>
                                </w:p>
                              </w:tc>
                              <w:tc>
                                <w:tcPr>
                                  <w:tcW w:w="1204" w:type="dxa"/>
                                  <w:tcBorders/>
                                  <w:shd w:fill="auto" w:val="clear"/>
                                  <w:vAlign w:val="center"/>
                                </w:tcPr>
                                <w:p>
                                  <w:pPr>
                                    <w:pStyle w:val="TableContents"/>
                                    <w:spacing w:before="0" w:after="283"/>
                                    <w:jc w:val="center"/>
                                    <w:rPr/>
                                  </w:pPr>
                                  <w:r>
                                    <w:rPr/>
                                    <w:drawing>
                                      <wp:inline distT="0" distB="0" distL="0" distR="0">
                                        <wp:extent cx="333375" cy="361950"/>
                                        <wp:effectExtent l="0" t="0" r="0" b="0"/>
                                        <wp:docPr id="243"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95" descr=""/>
                                                <pic:cNvPicPr>
                                                  <a:picLocks noChangeAspect="1" noChangeArrowheads="1"/>
                                                </pic:cNvPicPr>
                                              </pic:nvPicPr>
                                              <pic:blipFill>
                                                <a:blip r:embed="rId196"/>
                                                <a:srcRect l="-3023" t="-2786" r="-3023" b="-2786"/>
                                                <a:stretch>
                                                  <a:fillRect/>
                                                </a:stretch>
                                              </pic:blipFill>
                                              <pic:spPr bwMode="auto">
                                                <a:xfrm>
                                                  <a:off x="0" y="0"/>
                                                  <a:ext cx="333375" cy="361950"/>
                                                </a:xfrm>
                                                <a:prstGeom prst="rect">
                                                  <a:avLst/>
                                                </a:prstGeom>
                                                <a:ln w="635">
                                                  <a:solidFill>
                                                    <a:srgbClr val="000000"/>
                                                  </a:solidFill>
                                                </a:ln>
                                              </pic:spPr>
                                            </pic:pic>
                                          </a:graphicData>
                                        </a:graphic>
                                      </wp:inline>
                                    </w:drawing>
                                  </w:r>
                                </w:p>
                              </w:tc>
                              <w:tc>
                                <w:tcPr>
                                  <w:tcW w:w="4433" w:type="dxa"/>
                                  <w:tcBorders/>
                                  <w:shd w:fill="auto" w:val="clear"/>
                                  <w:vAlign w:val="center"/>
                                </w:tcPr>
                                <w:p>
                                  <w:pPr>
                                    <w:pStyle w:val="TableContents"/>
                                    <w:spacing w:before="0" w:after="283"/>
                                    <w:jc w:val="left"/>
                                    <w:rPr>
                                      <w:rFonts w:ascii="Arial" w:hAnsi="Arial"/>
                                      <w:sz w:val="20"/>
                                    </w:rPr>
                                  </w:pPr>
                                  <w:r>
                                    <w:rPr>
                                      <w:rFonts w:ascii="Arial" w:hAnsi="Arial"/>
                                      <w:sz w:val="20"/>
                                    </w:rPr>
                                    <w:t>Government/Regulatory Experience</w:t>
                                  </w:r>
                                </w:p>
                              </w:tc>
                            </w:tr>
                            <w:tr>
                              <w:trPr/>
                              <w:tc>
                                <w:tcPr>
                                  <w:tcW w:w="1097" w:type="dxa"/>
                                  <w:tcBorders/>
                                  <w:shd w:fill="auto" w:val="clear"/>
                                  <w:vAlign w:val="center"/>
                                </w:tcPr>
                                <w:p>
                                  <w:pPr>
                                    <w:pStyle w:val="TableContents"/>
                                    <w:spacing w:before="0" w:after="283"/>
                                    <w:jc w:val="center"/>
                                    <w:rPr/>
                                  </w:pPr>
                                  <w:r>
                                    <w:rPr/>
                                    <w:drawing>
                                      <wp:inline distT="0" distB="0" distL="0" distR="0">
                                        <wp:extent cx="390525" cy="323850"/>
                                        <wp:effectExtent l="0" t="0" r="0" b="0"/>
                                        <wp:docPr id="244"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96" descr=""/>
                                                <pic:cNvPicPr>
                                                  <a:picLocks noChangeAspect="1" noChangeArrowheads="1"/>
                                                </pic:cNvPicPr>
                                              </pic:nvPicPr>
                                              <pic:blipFill>
                                                <a:blip r:embed="rId197"/>
                                                <a:srcRect l="-2580" t="-3111" r="-2580" b="-3111"/>
                                                <a:stretch>
                                                  <a:fillRect/>
                                                </a:stretch>
                                              </pic:blipFill>
                                              <pic:spPr bwMode="auto">
                                                <a:xfrm>
                                                  <a:off x="0" y="0"/>
                                                  <a:ext cx="390525" cy="323850"/>
                                                </a:xfrm>
                                                <a:prstGeom prst="rect">
                                                  <a:avLst/>
                                                </a:prstGeom>
                                                <a:ln w="635">
                                                  <a:solidFill>
                                                    <a:srgbClr val="000000"/>
                                                  </a:solidFill>
                                                </a:ln>
                                              </pic:spPr>
                                            </pic:pic>
                                          </a:graphicData>
                                        </a:graphic>
                                      </wp:inline>
                                    </w:drawing>
                                  </w:r>
                                </w:p>
                              </w:tc>
                              <w:tc>
                                <w:tcPr>
                                  <w:tcW w:w="3471" w:type="dxa"/>
                                  <w:tcBorders/>
                                  <w:shd w:fill="auto" w:val="clear"/>
                                  <w:vAlign w:val="center"/>
                                </w:tcPr>
                                <w:p>
                                  <w:pPr>
                                    <w:pStyle w:val="TableContents"/>
                                    <w:spacing w:before="0" w:after="283"/>
                                    <w:jc w:val="left"/>
                                    <w:rPr>
                                      <w:rFonts w:ascii="Arial" w:hAnsi="Arial"/>
                                      <w:sz w:val="20"/>
                                    </w:rPr>
                                  </w:pPr>
                                  <w:r>
                                    <w:rPr>
                                      <w:rFonts w:ascii="Arial" w:hAnsi="Arial"/>
                                      <w:sz w:val="20"/>
                                    </w:rPr>
                                    <w:t>Technology/Cybersecurity</w:t>
                                  </w:r>
                                </w:p>
                              </w:tc>
                              <w:tc>
                                <w:tcPr>
                                  <w:tcW w:w="1204" w:type="dxa"/>
                                  <w:tcBorders/>
                                  <w:shd w:fill="auto" w:val="clear"/>
                                  <w:vAlign w:val="center"/>
                                </w:tcPr>
                                <w:p>
                                  <w:pPr>
                                    <w:pStyle w:val="TableContents"/>
                                    <w:spacing w:before="0" w:after="283"/>
                                    <w:jc w:val="center"/>
                                    <w:rPr/>
                                  </w:pPr>
                                  <w:r>
                                    <w:rPr/>
                                    <w:drawing>
                                      <wp:inline distT="0" distB="0" distL="0" distR="0">
                                        <wp:extent cx="428625" cy="419100"/>
                                        <wp:effectExtent l="0" t="0" r="0" b="0"/>
                                        <wp:docPr id="245"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97" descr=""/>
                                                <pic:cNvPicPr>
                                                  <a:picLocks noChangeAspect="1" noChangeArrowheads="1"/>
                                                </pic:cNvPicPr>
                                              </pic:nvPicPr>
                                              <pic:blipFill>
                                                <a:blip r:embed="rId198"/>
                                                <a:srcRect l="-2350" t="-2405" r="-2350" b="-2405"/>
                                                <a:stretch>
                                                  <a:fillRect/>
                                                </a:stretch>
                                              </pic:blipFill>
                                              <pic:spPr bwMode="auto">
                                                <a:xfrm>
                                                  <a:off x="0" y="0"/>
                                                  <a:ext cx="428625" cy="419100"/>
                                                </a:xfrm>
                                                <a:prstGeom prst="rect">
                                                  <a:avLst/>
                                                </a:prstGeom>
                                                <a:ln w="635">
                                                  <a:solidFill>
                                                    <a:srgbClr val="000000"/>
                                                  </a:solidFill>
                                                </a:ln>
                                              </pic:spPr>
                                            </pic:pic>
                                          </a:graphicData>
                                        </a:graphic>
                                      </wp:inline>
                                    </w:drawing>
                                  </w:r>
                                </w:p>
                              </w:tc>
                              <w:tc>
                                <w:tcPr>
                                  <w:tcW w:w="4433" w:type="dxa"/>
                                  <w:tcBorders/>
                                  <w:shd w:fill="auto" w:val="clear"/>
                                  <w:vAlign w:val="center"/>
                                </w:tcPr>
                                <w:p>
                                  <w:pPr>
                                    <w:pStyle w:val="TableContents"/>
                                    <w:spacing w:before="0" w:after="283"/>
                                    <w:jc w:val="left"/>
                                    <w:rPr>
                                      <w:rFonts w:ascii="Arial" w:hAnsi="Arial"/>
                                      <w:sz w:val="20"/>
                                    </w:rPr>
                                  </w:pPr>
                                  <w:r>
                                    <w:rPr>
                                      <w:rFonts w:ascii="Arial" w:hAnsi="Arial"/>
                                      <w:sz w:val="20"/>
                                    </w:rPr>
                                    <w:t>Diversity</w:t>
                                  </w:r>
                                </w:p>
                              </w:tc>
                            </w:tr>
                          </w:tbl>
                          <w:tbl>
                            <w:tblPr>
                              <w:tblW w:w="8200" w:type="dxa"/>
                              <w:jc w:val="left"/>
                              <w:tblInd w:w="0" w:type="dxa"/>
                              <w:tblCellMar>
                                <w:top w:w="0" w:type="dxa"/>
                                <w:left w:w="0" w:type="dxa"/>
                                <w:bottom w:w="0" w:type="dxa"/>
                                <w:right w:w="0" w:type="dxa"/>
                              </w:tblCellMar>
                            </w:tblPr>
                            <w:tblGrid>
                              <w:gridCol w:w="200"/>
                              <w:gridCol w:w="8000"/>
                            </w:tblGrid>
                            <w:tr>
                              <w:trPr/>
                              <w:tc>
                                <w:tcPr>
                                  <w:tcW w:w="200"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8000" w:type="dxa"/>
                                  <w:tcBorders/>
                                  <w:shd w:fill="auto" w:val="clear"/>
                                  <w:vAlign w:val="center"/>
                                </w:tcPr>
                                <w:p>
                                  <w:pPr>
                                    <w:pStyle w:val="TableContents"/>
                                    <w:spacing w:before="0" w:after="283"/>
                                    <w:jc w:val="left"/>
                                    <w:rPr>
                                      <w:rFonts w:ascii="Arial" w:hAnsi="Arial"/>
                                      <w:strike w:val="false"/>
                                      <w:dstrike w:val="false"/>
                                      <w:sz w:val="15"/>
                                      <w:u w:val="none"/>
                                      <w:effect w:val="none"/>
                                    </w:rPr>
                                  </w:pPr>
                                  <w:r>
                                    <w:rPr>
                                      <w:rFonts w:ascii="Arial" w:hAnsi="Arial"/>
                                      <w:strike w:val="false"/>
                                      <w:dstrike w:val="false"/>
                                      <w:sz w:val="15"/>
                                      <w:u w:val="none"/>
                                      <w:effect w:val="none"/>
                                    </w:rPr>
                                    <w:t>If Ms. Brown is reelected, she will join the Compensation Committee, effective as of the date of the annual meeting.</w:t>
                                  </w:r>
                                </w:p>
                              </w:tc>
                            </w:tr>
                          </w:tbl>
                          <w:p>
                            <w:pPr>
                              <w:pStyle w:val="TextBody"/>
                              <w:spacing w:before="0" w:after="283"/>
                              <w:rPr/>
                            </w:pPr>
                            <w:r>
                              <w:rPr/>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556.95pt;mso-wrap-distance-left:0pt;mso-wrap-distance-right:0pt;mso-wrap-distance-top:0pt;mso-wrap-distance-bottom:0pt;margin-top:0pt;mso-position-vertical:top;mso-position-vertical-relative:text;margin-left:148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1097"/>
                        <w:gridCol w:w="3471"/>
                        <w:gridCol w:w="1204"/>
                        <w:gridCol w:w="4433"/>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Ms. Brown’s extensive experience in academia, including teaching and writing in the areas of property, land use planning, real estate transactions, and housing law, bring a unique and valuable perspective to the Board.</w:t>
                            </w:r>
                          </w:p>
                        </w:tc>
                      </w:tr>
                      <w:tr>
                        <w:trPr/>
                        <w:tc>
                          <w:tcPr>
                            <w:tcW w:w="1097" w:type="dxa"/>
                            <w:tcBorders/>
                            <w:shd w:fill="auto" w:val="clear"/>
                            <w:vAlign w:val="center"/>
                          </w:tcPr>
                          <w:p>
                            <w:pPr>
                              <w:pStyle w:val="TableContents"/>
                              <w:spacing w:before="0" w:after="283"/>
                              <w:jc w:val="left"/>
                              <w:rPr/>
                            </w:pPr>
                            <w:r>
                              <w:rPr/>
                              <w:t> </w:t>
                            </w:r>
                          </w:p>
                        </w:tc>
                        <w:tc>
                          <w:tcPr>
                            <w:tcW w:w="3471"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4433" w:type="dxa"/>
                            <w:tcBorders/>
                            <w:shd w:fill="auto" w:val="clear"/>
                            <w:vAlign w:val="center"/>
                          </w:tcPr>
                          <w:p>
                            <w:pPr>
                              <w:pStyle w:val="TableContents"/>
                              <w:spacing w:before="0" w:after="283"/>
                              <w:rPr>
                                <w:sz w:val="4"/>
                                <w:szCs w:val="4"/>
                              </w:rPr>
                            </w:pPr>
                            <w:r>
                              <w:rPr>
                                <w:sz w:val="4"/>
                                <w:szCs w:val="4"/>
                              </w:rPr>
                            </w:r>
                          </w:p>
                        </w:tc>
                      </w:tr>
                      <w:tr>
                        <w:trPr/>
                        <w:tc>
                          <w:tcPr>
                            <w:tcW w:w="1097"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471"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204"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4433"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2"/>
                              </w:rPr>
                              <w:t>Professional Experience</w:t>
                            </w:r>
                          </w:p>
                          <w:p>
                            <w:pPr>
                              <w:pStyle w:val="TableContents"/>
                              <w:spacing w:before="0" w:after="0"/>
                              <w:ind w:left="0" w:right="0" w:hanging="290"/>
                              <w:jc w:val="left"/>
                              <w:rPr/>
                            </w:pPr>
                            <w:r>
                              <w:rPr>
                                <w:color w:val="000000"/>
                              </w:rPr>
                              <w:t>●</w:t>
                            </w:r>
                            <w:r>
                              <w:rPr>
                                <w:rFonts w:ascii="Arial" w:hAnsi="Arial"/>
                                <w:sz w:val="20"/>
                              </w:rPr>
                              <w:t xml:space="preserve">Professor at the University of Richmond School of Law since 2012, teaching Property Law Survey, Housing Law, Land Use Planning, and Real Estate Transactions </w:t>
                            </w:r>
                          </w:p>
                          <w:p>
                            <w:pPr>
                              <w:pStyle w:val="TableContents"/>
                              <w:spacing w:before="0" w:after="0"/>
                              <w:ind w:left="0" w:right="0" w:hanging="290"/>
                              <w:jc w:val="left"/>
                              <w:rPr/>
                            </w:pPr>
                            <w:r>
                              <w:rPr>
                                <w:color w:val="000000"/>
                              </w:rPr>
                              <w:t>●</w:t>
                            </w:r>
                            <w:r>
                              <w:rPr>
                                <w:rFonts w:ascii="Arial" w:hAnsi="Arial"/>
                                <w:sz w:val="20"/>
                              </w:rPr>
                              <w:t xml:space="preserve">Former Professor at the University of North Carolina School of Law from 2008 to 2012 and Associate Professor from 2007 to 2008 </w:t>
                            </w:r>
                          </w:p>
                          <w:p>
                            <w:pPr>
                              <w:pStyle w:val="TableContents"/>
                              <w:spacing w:before="0" w:after="0"/>
                              <w:ind w:left="0" w:right="0" w:hanging="290"/>
                              <w:jc w:val="left"/>
                              <w:rPr/>
                            </w:pPr>
                            <w:r>
                              <w:rPr>
                                <w:color w:val="000000"/>
                              </w:rPr>
                              <w:t>●</w:t>
                            </w:r>
                            <w:r>
                              <w:rPr>
                                <w:rFonts w:ascii="Arial" w:hAnsi="Arial"/>
                                <w:sz w:val="20"/>
                              </w:rPr>
                              <w:t xml:space="preserve">Former Associate Professor of Law at the University of Alabama School of Law, and Assistant Professor from 2001 to 2004 </w:t>
                            </w:r>
                          </w:p>
                          <w:p>
                            <w:pPr>
                              <w:pStyle w:val="TableContents"/>
                              <w:spacing w:before="0" w:after="0"/>
                              <w:ind w:left="0" w:right="0" w:hanging="290"/>
                              <w:jc w:val="left"/>
                              <w:rPr/>
                            </w:pPr>
                            <w:r>
                              <w:rPr>
                                <w:color w:val="000000"/>
                              </w:rPr>
                              <w:t>●</w:t>
                            </w:r>
                            <w:r>
                              <w:rPr>
                                <w:rFonts w:ascii="Arial" w:hAnsi="Arial"/>
                                <w:sz w:val="20"/>
                              </w:rPr>
                              <w:t xml:space="preserve">Former Associate at Sirote &amp; Permutt, P.C. in Birmingham, Alabama focusing on general business, real estate, and consumer finance </w:t>
                            </w:r>
                          </w:p>
                          <w:p>
                            <w:pPr>
                              <w:pStyle w:val="TableContents"/>
                              <w:spacing w:before="0" w:after="0"/>
                              <w:ind w:left="0" w:right="0" w:hanging="290"/>
                              <w:jc w:val="left"/>
                              <w:rPr/>
                            </w:pPr>
                            <w:r>
                              <w:rPr>
                                <w:color w:val="000000"/>
                              </w:rPr>
                              <w:t>●</w:t>
                            </w:r>
                            <w:r>
                              <w:rPr>
                                <w:rFonts w:ascii="Arial" w:hAnsi="Arial"/>
                                <w:sz w:val="20"/>
                              </w:rPr>
                              <w:t>Former Associate at McGuire, Woods, Battle &amp; Bootle, L.L.P. in Richmond, Virginia focusing on labor and employment discrimination</w:t>
                            </w:r>
                          </w:p>
                          <w:p>
                            <w:pPr>
                              <w:pStyle w:val="TableContents"/>
                              <w:spacing w:before="0" w:after="0"/>
                              <w:ind w:left="0" w:right="0" w:hanging="290"/>
                              <w:jc w:val="left"/>
                              <w:rPr/>
                            </w:pPr>
                            <w:r>
                              <w:rPr>
                                <w:color w:val="000000"/>
                              </w:rPr>
                              <w:t>●</w:t>
                            </w:r>
                            <w:r>
                              <w:rPr>
                                <w:rFonts w:ascii="Arial" w:hAnsi="Arial"/>
                                <w:sz w:val="20"/>
                              </w:rPr>
                              <w:t>Former Judicial Law Clerk for the Honorable Sharon L. Blackburn, United States District Court, Northern District of Alabama</w:t>
                            </w:r>
                          </w:p>
                          <w:p>
                            <w:pPr>
                              <w:pStyle w:val="TableContents"/>
                              <w:spacing w:before="0" w:after="0"/>
                              <w:ind w:left="0" w:right="0" w:hanging="290"/>
                              <w:jc w:val="left"/>
                              <w:rPr/>
                            </w:pPr>
                            <w:r>
                              <w:rPr>
                                <w:color w:val="000000"/>
                              </w:rPr>
                              <w:t>●</w:t>
                            </w:r>
                            <w:r>
                              <w:rPr>
                                <w:rFonts w:ascii="Arial" w:hAnsi="Arial"/>
                                <w:sz w:val="20"/>
                              </w:rPr>
                              <w:t xml:space="preserve">B.A. from Duke University and J.D./L.L.M. from Duke University School of Law </w:t>
                            </w:r>
                          </w:p>
                        </w:tc>
                      </w:tr>
                      <w:tr>
                        <w:trPr/>
                        <w:tc>
                          <w:tcPr>
                            <w:tcW w:w="1097" w:type="dxa"/>
                            <w:tcBorders/>
                            <w:shd w:fill="auto" w:val="clear"/>
                            <w:vAlign w:val="center"/>
                          </w:tcPr>
                          <w:p>
                            <w:pPr>
                              <w:pStyle w:val="TableContents"/>
                              <w:spacing w:before="0" w:after="283"/>
                              <w:jc w:val="left"/>
                              <w:rPr/>
                            </w:pPr>
                            <w:r>
                              <w:rPr/>
                              <w:t> </w:t>
                            </w:r>
                          </w:p>
                        </w:tc>
                        <w:tc>
                          <w:tcPr>
                            <w:tcW w:w="3471"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4433" w:type="dxa"/>
                            <w:tcBorders/>
                            <w:shd w:fill="auto" w:val="clear"/>
                            <w:vAlign w:val="center"/>
                          </w:tcPr>
                          <w:p>
                            <w:pPr>
                              <w:pStyle w:val="TableContents"/>
                              <w:spacing w:before="0" w:after="283"/>
                              <w:rPr>
                                <w:sz w:val="4"/>
                                <w:szCs w:val="4"/>
                              </w:rPr>
                            </w:pPr>
                            <w:r>
                              <w:rPr>
                                <w:sz w:val="4"/>
                                <w:szCs w:val="4"/>
                              </w:rPr>
                            </w:r>
                          </w:p>
                        </w:tc>
                      </w:tr>
                      <w:tr>
                        <w:trPr/>
                        <w:tc>
                          <w:tcPr>
                            <w:tcW w:w="1097"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471"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204"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4433"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1097" w:type="dxa"/>
                            <w:tcBorders/>
                            <w:shd w:fill="auto" w:val="clear"/>
                            <w:vAlign w:val="center"/>
                          </w:tcPr>
                          <w:p>
                            <w:pPr>
                              <w:pStyle w:val="TableContents"/>
                              <w:spacing w:before="0" w:after="283"/>
                              <w:jc w:val="center"/>
                              <w:rPr/>
                            </w:pPr>
                            <w:r>
                              <w:rPr/>
                              <w:drawing>
                                <wp:inline distT="0" distB="0" distL="0" distR="0">
                                  <wp:extent cx="333375" cy="342900"/>
                                  <wp:effectExtent l="0" t="0" r="0" b="0"/>
                                  <wp:docPr id="24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92" descr=""/>
                                          <pic:cNvPicPr>
                                            <a:picLocks noChangeAspect="1" noChangeArrowheads="1"/>
                                          </pic:cNvPicPr>
                                        </pic:nvPicPr>
                                        <pic:blipFill>
                                          <a:blip r:embed="rId193"/>
                                          <a:srcRect l="-3023" t="-2938" r="-3023" b="-2938"/>
                                          <a:stretch>
                                            <a:fillRect/>
                                          </a:stretch>
                                        </pic:blipFill>
                                        <pic:spPr bwMode="auto">
                                          <a:xfrm>
                                            <a:off x="0" y="0"/>
                                            <a:ext cx="333375" cy="342900"/>
                                          </a:xfrm>
                                          <a:prstGeom prst="rect">
                                            <a:avLst/>
                                          </a:prstGeom>
                                          <a:ln w="635">
                                            <a:solidFill>
                                              <a:srgbClr val="000000"/>
                                            </a:solidFill>
                                          </a:ln>
                                        </pic:spPr>
                                      </pic:pic>
                                    </a:graphicData>
                                  </a:graphic>
                                </wp:inline>
                              </w:drawing>
                            </w:r>
                          </w:p>
                        </w:tc>
                        <w:tc>
                          <w:tcPr>
                            <w:tcW w:w="3471"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1204" w:type="dxa"/>
                            <w:tcBorders/>
                            <w:shd w:fill="auto" w:val="clear"/>
                            <w:vAlign w:val="center"/>
                          </w:tcPr>
                          <w:p>
                            <w:pPr>
                              <w:pStyle w:val="TableContents"/>
                              <w:spacing w:before="0" w:after="283"/>
                              <w:jc w:val="center"/>
                              <w:rPr/>
                            </w:pPr>
                            <w:r>
                              <w:rPr/>
                              <w:drawing>
                                <wp:inline distT="0" distB="0" distL="0" distR="0">
                                  <wp:extent cx="352425" cy="333375"/>
                                  <wp:effectExtent l="0" t="0" r="0" b="0"/>
                                  <wp:docPr id="247"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93" descr=""/>
                                          <pic:cNvPicPr>
                                            <a:picLocks noChangeAspect="1" noChangeArrowheads="1"/>
                                          </pic:cNvPicPr>
                                        </pic:nvPicPr>
                                        <pic:blipFill>
                                          <a:blip r:embed="rId194"/>
                                          <a:srcRect l="-2860" t="-3023" r="-2860" b="-3023"/>
                                          <a:stretch>
                                            <a:fillRect/>
                                          </a:stretch>
                                        </pic:blipFill>
                                        <pic:spPr bwMode="auto">
                                          <a:xfrm>
                                            <a:off x="0" y="0"/>
                                            <a:ext cx="352425" cy="333375"/>
                                          </a:xfrm>
                                          <a:prstGeom prst="rect">
                                            <a:avLst/>
                                          </a:prstGeom>
                                          <a:ln w="635">
                                            <a:solidFill>
                                              <a:srgbClr val="000000"/>
                                            </a:solidFill>
                                          </a:ln>
                                        </pic:spPr>
                                      </pic:pic>
                                    </a:graphicData>
                                  </a:graphic>
                                </wp:inline>
                              </w:drawing>
                            </w:r>
                          </w:p>
                        </w:tc>
                        <w:tc>
                          <w:tcPr>
                            <w:tcW w:w="4433" w:type="dxa"/>
                            <w:tcBorders/>
                            <w:shd w:fill="auto" w:val="clear"/>
                            <w:vAlign w:val="center"/>
                          </w:tcPr>
                          <w:p>
                            <w:pPr>
                              <w:pStyle w:val="TableContents"/>
                              <w:spacing w:before="0" w:after="283"/>
                              <w:jc w:val="left"/>
                              <w:rPr>
                                <w:rFonts w:ascii="Arial" w:hAnsi="Arial"/>
                                <w:sz w:val="20"/>
                              </w:rPr>
                            </w:pPr>
                            <w:r>
                              <w:rPr>
                                <w:rFonts w:ascii="Arial" w:hAnsi="Arial"/>
                                <w:sz w:val="20"/>
                              </w:rPr>
                              <w:t>REIT/Real Estate Industry</w:t>
                            </w:r>
                          </w:p>
                        </w:tc>
                      </w:tr>
                      <w:tr>
                        <w:trPr/>
                        <w:tc>
                          <w:tcPr>
                            <w:tcW w:w="1097" w:type="dxa"/>
                            <w:tcBorders/>
                            <w:shd w:fill="auto" w:val="clear"/>
                            <w:vAlign w:val="center"/>
                          </w:tcPr>
                          <w:p>
                            <w:pPr>
                              <w:pStyle w:val="TableContents"/>
                              <w:spacing w:before="0" w:after="283"/>
                              <w:jc w:val="center"/>
                              <w:rPr/>
                            </w:pPr>
                            <w:r>
                              <w:rPr/>
                              <w:drawing>
                                <wp:inline distT="0" distB="0" distL="0" distR="0">
                                  <wp:extent cx="361950" cy="266700"/>
                                  <wp:effectExtent l="0" t="0" r="0" b="0"/>
                                  <wp:docPr id="248"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94" descr=""/>
                                          <pic:cNvPicPr>
                                            <a:picLocks noChangeAspect="1" noChangeArrowheads="1"/>
                                          </pic:cNvPicPr>
                                        </pic:nvPicPr>
                                        <pic:blipFill>
                                          <a:blip r:embed="rId195"/>
                                          <a:srcRect l="-2786" t="-3778" r="-2786" b="-3778"/>
                                          <a:stretch>
                                            <a:fillRect/>
                                          </a:stretch>
                                        </pic:blipFill>
                                        <pic:spPr bwMode="auto">
                                          <a:xfrm>
                                            <a:off x="0" y="0"/>
                                            <a:ext cx="361950" cy="266700"/>
                                          </a:xfrm>
                                          <a:prstGeom prst="rect">
                                            <a:avLst/>
                                          </a:prstGeom>
                                          <a:ln w="635">
                                            <a:solidFill>
                                              <a:srgbClr val="000000"/>
                                            </a:solidFill>
                                          </a:ln>
                                        </pic:spPr>
                                      </pic:pic>
                                    </a:graphicData>
                                  </a:graphic>
                                </wp:inline>
                              </w:drawing>
                            </w:r>
                          </w:p>
                        </w:tc>
                        <w:tc>
                          <w:tcPr>
                            <w:tcW w:w="3471" w:type="dxa"/>
                            <w:tcBorders/>
                            <w:shd w:fill="auto" w:val="clear"/>
                            <w:vAlign w:val="center"/>
                          </w:tcPr>
                          <w:p>
                            <w:pPr>
                              <w:pStyle w:val="TableContents"/>
                              <w:spacing w:before="0" w:after="283"/>
                              <w:jc w:val="left"/>
                              <w:rPr>
                                <w:rFonts w:ascii="Arial" w:hAnsi="Arial"/>
                                <w:sz w:val="20"/>
                              </w:rPr>
                            </w:pPr>
                            <w:r>
                              <w:rPr>
                                <w:rFonts w:ascii="Arial" w:hAnsi="Arial"/>
                                <w:sz w:val="20"/>
                              </w:rPr>
                              <w:t>Academia</w:t>
                            </w:r>
                          </w:p>
                        </w:tc>
                        <w:tc>
                          <w:tcPr>
                            <w:tcW w:w="1204" w:type="dxa"/>
                            <w:tcBorders/>
                            <w:shd w:fill="auto" w:val="clear"/>
                            <w:vAlign w:val="center"/>
                          </w:tcPr>
                          <w:p>
                            <w:pPr>
                              <w:pStyle w:val="TableContents"/>
                              <w:spacing w:before="0" w:after="283"/>
                              <w:jc w:val="center"/>
                              <w:rPr/>
                            </w:pPr>
                            <w:r>
                              <w:rPr/>
                              <w:drawing>
                                <wp:inline distT="0" distB="0" distL="0" distR="0">
                                  <wp:extent cx="333375" cy="361950"/>
                                  <wp:effectExtent l="0" t="0" r="0" b="0"/>
                                  <wp:docPr id="249"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95" descr=""/>
                                          <pic:cNvPicPr>
                                            <a:picLocks noChangeAspect="1" noChangeArrowheads="1"/>
                                          </pic:cNvPicPr>
                                        </pic:nvPicPr>
                                        <pic:blipFill>
                                          <a:blip r:embed="rId196"/>
                                          <a:srcRect l="-3023" t="-2786" r="-3023" b="-2786"/>
                                          <a:stretch>
                                            <a:fillRect/>
                                          </a:stretch>
                                        </pic:blipFill>
                                        <pic:spPr bwMode="auto">
                                          <a:xfrm>
                                            <a:off x="0" y="0"/>
                                            <a:ext cx="333375" cy="361950"/>
                                          </a:xfrm>
                                          <a:prstGeom prst="rect">
                                            <a:avLst/>
                                          </a:prstGeom>
                                          <a:ln w="635">
                                            <a:solidFill>
                                              <a:srgbClr val="000000"/>
                                            </a:solidFill>
                                          </a:ln>
                                        </pic:spPr>
                                      </pic:pic>
                                    </a:graphicData>
                                  </a:graphic>
                                </wp:inline>
                              </w:drawing>
                            </w:r>
                          </w:p>
                        </w:tc>
                        <w:tc>
                          <w:tcPr>
                            <w:tcW w:w="4433" w:type="dxa"/>
                            <w:tcBorders/>
                            <w:shd w:fill="auto" w:val="clear"/>
                            <w:vAlign w:val="center"/>
                          </w:tcPr>
                          <w:p>
                            <w:pPr>
                              <w:pStyle w:val="TableContents"/>
                              <w:spacing w:before="0" w:after="283"/>
                              <w:jc w:val="left"/>
                              <w:rPr>
                                <w:rFonts w:ascii="Arial" w:hAnsi="Arial"/>
                                <w:sz w:val="20"/>
                              </w:rPr>
                            </w:pPr>
                            <w:r>
                              <w:rPr>
                                <w:rFonts w:ascii="Arial" w:hAnsi="Arial"/>
                                <w:sz w:val="20"/>
                              </w:rPr>
                              <w:t>Government/Regulatory Experience</w:t>
                            </w:r>
                          </w:p>
                        </w:tc>
                      </w:tr>
                      <w:tr>
                        <w:trPr/>
                        <w:tc>
                          <w:tcPr>
                            <w:tcW w:w="1097" w:type="dxa"/>
                            <w:tcBorders/>
                            <w:shd w:fill="auto" w:val="clear"/>
                            <w:vAlign w:val="center"/>
                          </w:tcPr>
                          <w:p>
                            <w:pPr>
                              <w:pStyle w:val="TableContents"/>
                              <w:spacing w:before="0" w:after="283"/>
                              <w:jc w:val="center"/>
                              <w:rPr/>
                            </w:pPr>
                            <w:r>
                              <w:rPr/>
                              <w:drawing>
                                <wp:inline distT="0" distB="0" distL="0" distR="0">
                                  <wp:extent cx="390525" cy="323850"/>
                                  <wp:effectExtent l="0" t="0" r="0" b="0"/>
                                  <wp:docPr id="25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96" descr=""/>
                                          <pic:cNvPicPr>
                                            <a:picLocks noChangeAspect="1" noChangeArrowheads="1"/>
                                          </pic:cNvPicPr>
                                        </pic:nvPicPr>
                                        <pic:blipFill>
                                          <a:blip r:embed="rId197"/>
                                          <a:srcRect l="-2580" t="-3111" r="-2580" b="-3111"/>
                                          <a:stretch>
                                            <a:fillRect/>
                                          </a:stretch>
                                        </pic:blipFill>
                                        <pic:spPr bwMode="auto">
                                          <a:xfrm>
                                            <a:off x="0" y="0"/>
                                            <a:ext cx="390525" cy="323850"/>
                                          </a:xfrm>
                                          <a:prstGeom prst="rect">
                                            <a:avLst/>
                                          </a:prstGeom>
                                          <a:ln w="635">
                                            <a:solidFill>
                                              <a:srgbClr val="000000"/>
                                            </a:solidFill>
                                          </a:ln>
                                        </pic:spPr>
                                      </pic:pic>
                                    </a:graphicData>
                                  </a:graphic>
                                </wp:inline>
                              </w:drawing>
                            </w:r>
                          </w:p>
                        </w:tc>
                        <w:tc>
                          <w:tcPr>
                            <w:tcW w:w="3471" w:type="dxa"/>
                            <w:tcBorders/>
                            <w:shd w:fill="auto" w:val="clear"/>
                            <w:vAlign w:val="center"/>
                          </w:tcPr>
                          <w:p>
                            <w:pPr>
                              <w:pStyle w:val="TableContents"/>
                              <w:spacing w:before="0" w:after="283"/>
                              <w:jc w:val="left"/>
                              <w:rPr>
                                <w:rFonts w:ascii="Arial" w:hAnsi="Arial"/>
                                <w:sz w:val="20"/>
                              </w:rPr>
                            </w:pPr>
                            <w:r>
                              <w:rPr>
                                <w:rFonts w:ascii="Arial" w:hAnsi="Arial"/>
                                <w:sz w:val="20"/>
                              </w:rPr>
                              <w:t>Technology/Cybersecurity</w:t>
                            </w:r>
                          </w:p>
                        </w:tc>
                        <w:tc>
                          <w:tcPr>
                            <w:tcW w:w="1204" w:type="dxa"/>
                            <w:tcBorders/>
                            <w:shd w:fill="auto" w:val="clear"/>
                            <w:vAlign w:val="center"/>
                          </w:tcPr>
                          <w:p>
                            <w:pPr>
                              <w:pStyle w:val="TableContents"/>
                              <w:spacing w:before="0" w:after="283"/>
                              <w:jc w:val="center"/>
                              <w:rPr/>
                            </w:pPr>
                            <w:r>
                              <w:rPr/>
                              <w:drawing>
                                <wp:inline distT="0" distB="0" distL="0" distR="0">
                                  <wp:extent cx="428625" cy="419100"/>
                                  <wp:effectExtent l="0" t="0" r="0" b="0"/>
                                  <wp:docPr id="25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97" descr=""/>
                                          <pic:cNvPicPr>
                                            <a:picLocks noChangeAspect="1" noChangeArrowheads="1"/>
                                          </pic:cNvPicPr>
                                        </pic:nvPicPr>
                                        <pic:blipFill>
                                          <a:blip r:embed="rId198"/>
                                          <a:srcRect l="-2350" t="-2405" r="-2350" b="-2405"/>
                                          <a:stretch>
                                            <a:fillRect/>
                                          </a:stretch>
                                        </pic:blipFill>
                                        <pic:spPr bwMode="auto">
                                          <a:xfrm>
                                            <a:off x="0" y="0"/>
                                            <a:ext cx="428625" cy="419100"/>
                                          </a:xfrm>
                                          <a:prstGeom prst="rect">
                                            <a:avLst/>
                                          </a:prstGeom>
                                          <a:ln w="635">
                                            <a:solidFill>
                                              <a:srgbClr val="000000"/>
                                            </a:solidFill>
                                          </a:ln>
                                        </pic:spPr>
                                      </pic:pic>
                                    </a:graphicData>
                                  </a:graphic>
                                </wp:inline>
                              </w:drawing>
                            </w:r>
                          </w:p>
                        </w:tc>
                        <w:tc>
                          <w:tcPr>
                            <w:tcW w:w="4433" w:type="dxa"/>
                            <w:tcBorders/>
                            <w:shd w:fill="auto" w:val="clear"/>
                            <w:vAlign w:val="center"/>
                          </w:tcPr>
                          <w:p>
                            <w:pPr>
                              <w:pStyle w:val="TableContents"/>
                              <w:spacing w:before="0" w:after="283"/>
                              <w:jc w:val="left"/>
                              <w:rPr>
                                <w:rFonts w:ascii="Arial" w:hAnsi="Arial"/>
                                <w:sz w:val="20"/>
                              </w:rPr>
                            </w:pPr>
                            <w:r>
                              <w:rPr>
                                <w:rFonts w:ascii="Arial" w:hAnsi="Arial"/>
                                <w:sz w:val="20"/>
                              </w:rPr>
                              <w:t>Diversity</w:t>
                            </w:r>
                          </w:p>
                        </w:tc>
                      </w:tr>
                    </w:tbl>
                    <w:tbl>
                      <w:tblPr>
                        <w:tblW w:w="8200" w:type="dxa"/>
                        <w:jc w:val="left"/>
                        <w:tblInd w:w="0" w:type="dxa"/>
                        <w:tblCellMar>
                          <w:top w:w="0" w:type="dxa"/>
                          <w:left w:w="0" w:type="dxa"/>
                          <w:bottom w:w="0" w:type="dxa"/>
                          <w:right w:w="0" w:type="dxa"/>
                        </w:tblCellMar>
                      </w:tblPr>
                      <w:tblGrid>
                        <w:gridCol w:w="200"/>
                        <w:gridCol w:w="8000"/>
                      </w:tblGrid>
                      <w:tr>
                        <w:trPr/>
                        <w:tc>
                          <w:tcPr>
                            <w:tcW w:w="200"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8000" w:type="dxa"/>
                            <w:tcBorders/>
                            <w:shd w:fill="auto" w:val="clear"/>
                            <w:vAlign w:val="center"/>
                          </w:tcPr>
                          <w:p>
                            <w:pPr>
                              <w:pStyle w:val="TableContents"/>
                              <w:spacing w:before="0" w:after="283"/>
                              <w:jc w:val="left"/>
                              <w:rPr>
                                <w:rFonts w:ascii="Arial" w:hAnsi="Arial"/>
                                <w:strike w:val="false"/>
                                <w:dstrike w:val="false"/>
                                <w:sz w:val="15"/>
                                <w:u w:val="none"/>
                                <w:effect w:val="none"/>
                              </w:rPr>
                            </w:pPr>
                            <w:r>
                              <w:rPr>
                                <w:rFonts w:ascii="Arial" w:hAnsi="Arial"/>
                                <w:strike w:val="false"/>
                                <w:dstrike w:val="false"/>
                                <w:sz w:val="15"/>
                                <w:u w:val="none"/>
                                <w:effect w:val="none"/>
                              </w:rPr>
                              <w:t>If Ms. Brown is reelected, she will join the Compensation Committee, effective as of the date of the annual meeting.</w:t>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900" w:type="dxa"/>
        <w:jc w:val="left"/>
        <w:tblInd w:w="0" w:type="dxa"/>
        <w:tblCellMar>
          <w:top w:w="0" w:type="dxa"/>
          <w:left w:w="0" w:type="dxa"/>
          <w:bottom w:w="0" w:type="dxa"/>
          <w:right w:w="0" w:type="dxa"/>
        </w:tblCellMar>
      </w:tblPr>
      <w:tblGrid>
        <w:gridCol w:w="4610"/>
        <w:gridCol w:w="290"/>
      </w:tblGrid>
      <w:tr>
        <w:trPr/>
        <w:tc>
          <w:tcPr>
            <w:tcW w:w="4610" w:type="dxa"/>
            <w:tcBorders/>
            <w:shd w:fill="auto" w:val="clear"/>
            <w:vAlign w:val="center"/>
          </w:tcPr>
          <w:p>
            <w:pPr>
              <w:pStyle w:val="TableContents"/>
              <w:spacing w:before="0" w:after="283"/>
              <w:jc w:val="left"/>
              <w:rPr>
                <w:rFonts w:ascii="Arial" w:hAnsi="Arial"/>
                <w:b/>
                <w:sz w:val="15"/>
              </w:rPr>
            </w:pPr>
            <w:r>
              <w:rPr>
                <w:rFonts w:ascii="Arial" w:hAnsi="Arial"/>
                <w:b/>
                <w:sz w:val="15"/>
              </w:rPr>
              <w:t>OUR BOARD OF DIRECTORS AND CORPORATE GOVERNANCE</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15</w:t>
            </w:r>
          </w:p>
        </w:tc>
      </w:tr>
    </w:tbl>
    <w:p>
      <w:pPr>
        <w:pStyle w:val="TextBody"/>
        <w:spacing w:before="0" w:after="0"/>
        <w:rPr/>
      </w:pPr>
      <w:r>
        <w:rPr/>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1619885" cy="5008245"/>
                <wp:effectExtent l="0" t="0" r="0" b="0"/>
                <wp:wrapSquare wrapText="largest"/>
                <wp:docPr id="252" name="Frame15"/>
                <a:graphic xmlns:a="http://schemas.openxmlformats.org/drawingml/2006/main">
                  <a:graphicData uri="http://schemas.microsoft.com/office/word/2010/wordprocessingShape">
                    <wps:wsp>
                      <wps:cNvSpPr txBox="1"/>
                      <wps:spPr>
                        <a:xfrm>
                          <a:off x="0" y="0"/>
                          <a:ext cx="1619885" cy="5008245"/>
                        </a:xfrm>
                        <a:prstGeom prst="rect"/>
                      </wps:spPr>
                      <wps:txbx>
                        <w:txbxContent>
                          <w:tbl>
                            <w:tblPr>
                              <w:tblW w:w="2764" w:type="dxa"/>
                              <w:jc w:val="left"/>
                              <w:tblInd w:w="0" w:type="dxa"/>
                              <w:tblCellMar>
                                <w:top w:w="0" w:type="dxa"/>
                                <w:left w:w="0" w:type="dxa"/>
                                <w:bottom w:w="0" w:type="dxa"/>
                                <w:right w:w="28" w:type="dxa"/>
                              </w:tblCellMar>
                            </w:tblPr>
                            <w:tblGrid>
                              <w:gridCol w:w="266"/>
                              <w:gridCol w:w="2318"/>
                              <w:gridCol w:w="180"/>
                            </w:tblGrid>
                            <w:tr>
                              <w:trPr/>
                              <w:tc>
                                <w:tcPr>
                                  <w:tcW w:w="266" w:type="dxa"/>
                                  <w:tcBorders>
                                    <w:right w:val="single" w:sz="32" w:space="0" w:color="8EAD3C"/>
                                  </w:tcBorders>
                                  <w:shd w:fill="auto" w:val="clear"/>
                                  <w:vAlign w:val="center"/>
                                </w:tcPr>
                                <w:p>
                                  <w:pPr>
                                    <w:pStyle w:val="TableContents"/>
                                    <w:spacing w:before="0" w:after="283"/>
                                    <w:jc w:val="left"/>
                                    <w:rPr/>
                                  </w:pPr>
                                  <w:r>
                                    <w:rPr/>
                                    <w:t>   </w:t>
                                  </w:r>
                                </w:p>
                              </w:tc>
                              <w:tc>
                                <w:tcPr>
                                  <w:tcW w:w="2318"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2584" w:type="dxa"/>
                                  <w:gridSpan w:val="2"/>
                                  <w:tcBorders/>
                                  <w:shd w:fill="1A2343" w:val="clear"/>
                                  <w:tcMar>
                                    <w:right w:w="0" w:type="dxa"/>
                                  </w:tcMar>
                                  <w:vAlign w:val="center"/>
                                </w:tcPr>
                                <w:p>
                                  <w:pPr>
                                    <w:pStyle w:val="TableContents"/>
                                    <w:jc w:val="left"/>
                                    <w:rPr>
                                      <w:rFonts w:ascii="Arial" w:hAnsi="Arial"/>
                                      <w:b/>
                                      <w:color w:val="FFFFFF"/>
                                      <w:sz w:val="24"/>
                                    </w:rPr>
                                  </w:pPr>
                                  <w:r>
                                    <w:rPr>
                                      <w:rFonts w:ascii="Arial" w:hAnsi="Arial"/>
                                      <w:b/>
                                      <w:color w:val="FFFFFF"/>
                                      <w:sz w:val="24"/>
                                    </w:rPr>
                                    <w:t>EDWIN T.</w:t>
                                    <w:br/>
                                    <w:t xml:space="preserve">BURTON, III </w:t>
                                  </w:r>
                                </w:p>
                                <w:p>
                                  <w:pPr>
                                    <w:pStyle w:val="TableContents"/>
                                    <w:jc w:val="left"/>
                                    <w:rPr/>
                                  </w:pPr>
                                  <w:r>
                                    <w:rPr/>
                                    <w:drawing>
                                      <wp:inline distT="0" distB="0" distL="0" distR="0">
                                        <wp:extent cx="1171575" cy="1476375"/>
                                        <wp:effectExtent l="0" t="0" r="0" b="0"/>
                                        <wp:docPr id="253"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98" descr=""/>
                                                <pic:cNvPicPr>
                                                  <a:picLocks noChangeAspect="1" noChangeArrowheads="1"/>
                                                </pic:cNvPicPr>
                                              </pic:nvPicPr>
                                              <pic:blipFill>
                                                <a:blip r:embed="rId199"/>
                                                <a:srcRect l="-860" t="-682" r="-860" b="-682"/>
                                                <a:stretch>
                                                  <a:fillRect/>
                                                </a:stretch>
                                              </pic:blipFill>
                                              <pic:spPr bwMode="auto">
                                                <a:xfrm>
                                                  <a:off x="0" y="0"/>
                                                  <a:ext cx="1171575" cy="1476375"/>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Independent Director</w:t>
                                  </w:r>
                                </w:p>
                                <w:p>
                                  <w:pPr>
                                    <w:pStyle w:val="TableContents"/>
                                    <w:jc w:val="left"/>
                                    <w:rPr/>
                                  </w:pPr>
                                  <w:r>
                                    <w:rPr>
                                      <w:rFonts w:ascii="Arial" w:hAnsi="Arial"/>
                                      <w:color w:val="FFFFFF"/>
                                      <w:sz w:val="20"/>
                                    </w:rPr>
                                    <w:t xml:space="preserve">Director Since: </w:t>
                                  </w:r>
                                  <w:r>
                                    <w:rPr>
                                      <w:rStyle w:val="StrongEmphasis"/>
                                      <w:rFonts w:ascii="Arial" w:hAnsi="Arial"/>
                                      <w:color w:val="FFFFFF"/>
                                      <w:sz w:val="20"/>
                                    </w:rPr>
                                    <w:t xml:space="preserve">1997 </w:t>
                                  </w:r>
                                </w:p>
                                <w:p>
                                  <w:pPr>
                                    <w:pStyle w:val="TableContents"/>
                                    <w:jc w:val="left"/>
                                    <w:rPr/>
                                  </w:pPr>
                                  <w:r>
                                    <w:rPr>
                                      <w:rFonts w:ascii="Arial" w:hAnsi="Arial"/>
                                      <w:color w:val="FFFFFF"/>
                                      <w:sz w:val="20"/>
                                    </w:rPr>
                                    <w:t xml:space="preserve">Age: </w:t>
                                  </w:r>
                                  <w:r>
                                    <w:rPr>
                                      <w:rStyle w:val="StrongEmphasis"/>
                                      <w:rFonts w:ascii="Arial" w:hAnsi="Arial"/>
                                      <w:color w:val="FFFFFF"/>
                                      <w:sz w:val="20"/>
                                    </w:rPr>
                                    <w:t xml:space="preserve">80 </w:t>
                                  </w:r>
                                </w:p>
                                <w:p>
                                  <w:pPr>
                                    <w:pStyle w:val="TableContents"/>
                                    <w:jc w:val="left"/>
                                    <w:rPr>
                                      <w:rFonts w:ascii="Arial" w:hAnsi="Arial"/>
                                      <w:color w:val="FFFFFF"/>
                                      <w:sz w:val="20"/>
                                    </w:rPr>
                                  </w:pPr>
                                  <w:r>
                                    <w:rPr>
                                      <w:rFonts w:ascii="Arial" w:hAnsi="Arial"/>
                                      <w:color w:val="FFFFFF"/>
                                      <w:sz w:val="20"/>
                                    </w:rPr>
                                    <w:t>SL Green</w:t>
                                    <w:br/>
                                    <w:t>Board Service:</w:t>
                                  </w:r>
                                </w:p>
                                <w:p>
                                  <w:pPr>
                                    <w:pStyle w:val="TableContents"/>
                                    <w:spacing w:before="0" w:after="0"/>
                                    <w:ind w:left="0" w:right="0" w:hanging="290"/>
                                    <w:jc w:val="left"/>
                                    <w:rPr/>
                                  </w:pPr>
                                  <w:r>
                                    <w:rPr>
                                      <w:color w:val="FFFFFF"/>
                                    </w:rPr>
                                    <w:t>●</w:t>
                                  </w:r>
                                  <w:r>
                                    <w:rPr>
                                      <w:rStyle w:val="StrongEmphasis"/>
                                      <w:rFonts w:ascii="arial" w:hAnsi="arial"/>
                                      <w:color w:val="FFFFFF"/>
                                      <w:sz w:val="20"/>
                                    </w:rPr>
                                    <w:t>Audit Committee, Chair</w:t>
                                  </w:r>
                                </w:p>
                                <w:p>
                                  <w:pPr>
                                    <w:pStyle w:val="TableContents"/>
                                    <w:spacing w:before="0" w:after="0"/>
                                    <w:ind w:left="0" w:right="0" w:hanging="290"/>
                                    <w:jc w:val="left"/>
                                    <w:rPr/>
                                  </w:pPr>
                                  <w:r>
                                    <w:rPr>
                                      <w:color w:val="FFFFFF"/>
                                    </w:rPr>
                                    <w:t>●</w:t>
                                  </w:r>
                                  <w:r>
                                    <w:rPr>
                                      <w:rStyle w:val="StrongEmphasis"/>
                                      <w:rFonts w:ascii="arial" w:hAnsi="arial"/>
                                      <w:color w:val="FFFFFF"/>
                                      <w:sz w:val="20"/>
                                    </w:rPr>
                                    <w:t>Compensation Committee</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266" w:type="dxa"/>
                                  <w:tcBorders/>
                                  <w:shd w:fill="auto" w:val="clear"/>
                                  <w:tcMar>
                                    <w:right w:w="0" w:type="dxa"/>
                                  </w:tcMar>
                                  <w:vAlign w:val="center"/>
                                </w:tcPr>
                                <w:p>
                                  <w:pPr>
                                    <w:pStyle w:val="TableContents"/>
                                    <w:spacing w:before="0" w:after="283"/>
                                    <w:jc w:val="left"/>
                                    <w:rPr/>
                                  </w:pPr>
                                  <w:r>
                                    <w:rPr/>
                                    <w:t> </w:t>
                                  </w:r>
                                </w:p>
                              </w:tc>
                              <w:tc>
                                <w:tcPr>
                                  <w:tcW w:w="2318"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25000</wp14:pctWidth>
                </wp14:sizeRelH>
              </wp:anchor>
            </w:drawing>
          </mc:Choice>
          <mc:Fallback>
            <w:pict>
              <v:rect style="position:absolute;rotation:0;width:127.55pt;height:394.35pt;mso-wrap-distance-left:0pt;mso-wrap-distance-right:0pt;mso-wrap-distance-top:0pt;mso-wrap-distance-bottom:0pt;margin-top:0pt;mso-position-vertical:top;mso-position-vertical-relative:text;margin-left:0pt;mso-position-horizontal:left;mso-position-horizontal-relative:text">
                <v:textbox>
                  <w:txbxContent>
                    <w:tbl>
                      <w:tblPr>
                        <w:tblW w:w="2764" w:type="dxa"/>
                        <w:jc w:val="left"/>
                        <w:tblInd w:w="0" w:type="dxa"/>
                        <w:tblCellMar>
                          <w:top w:w="0" w:type="dxa"/>
                          <w:left w:w="0" w:type="dxa"/>
                          <w:bottom w:w="0" w:type="dxa"/>
                          <w:right w:w="28" w:type="dxa"/>
                        </w:tblCellMar>
                      </w:tblPr>
                      <w:tblGrid>
                        <w:gridCol w:w="266"/>
                        <w:gridCol w:w="2318"/>
                        <w:gridCol w:w="180"/>
                      </w:tblGrid>
                      <w:tr>
                        <w:trPr/>
                        <w:tc>
                          <w:tcPr>
                            <w:tcW w:w="266" w:type="dxa"/>
                            <w:tcBorders>
                              <w:right w:val="single" w:sz="32" w:space="0" w:color="8EAD3C"/>
                            </w:tcBorders>
                            <w:shd w:fill="auto" w:val="clear"/>
                            <w:vAlign w:val="center"/>
                          </w:tcPr>
                          <w:p>
                            <w:pPr>
                              <w:pStyle w:val="TableContents"/>
                              <w:spacing w:before="0" w:after="283"/>
                              <w:jc w:val="left"/>
                              <w:rPr/>
                            </w:pPr>
                            <w:r>
                              <w:rPr/>
                              <w:t>   </w:t>
                            </w:r>
                          </w:p>
                        </w:tc>
                        <w:tc>
                          <w:tcPr>
                            <w:tcW w:w="2318"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2584" w:type="dxa"/>
                            <w:gridSpan w:val="2"/>
                            <w:tcBorders/>
                            <w:shd w:fill="1A2343" w:val="clear"/>
                            <w:tcMar>
                              <w:right w:w="0" w:type="dxa"/>
                            </w:tcMar>
                            <w:vAlign w:val="center"/>
                          </w:tcPr>
                          <w:p>
                            <w:pPr>
                              <w:pStyle w:val="TableContents"/>
                              <w:jc w:val="left"/>
                              <w:rPr>
                                <w:rFonts w:ascii="Arial" w:hAnsi="Arial"/>
                                <w:b/>
                                <w:color w:val="FFFFFF"/>
                                <w:sz w:val="24"/>
                              </w:rPr>
                            </w:pPr>
                            <w:r>
                              <w:rPr>
                                <w:rFonts w:ascii="Arial" w:hAnsi="Arial"/>
                                <w:b/>
                                <w:color w:val="FFFFFF"/>
                                <w:sz w:val="24"/>
                              </w:rPr>
                              <w:t>EDWIN T.</w:t>
                              <w:br/>
                              <w:t xml:space="preserve">BURTON, III </w:t>
                            </w:r>
                          </w:p>
                          <w:p>
                            <w:pPr>
                              <w:pStyle w:val="TableContents"/>
                              <w:jc w:val="left"/>
                              <w:rPr/>
                            </w:pPr>
                            <w:r>
                              <w:rPr/>
                              <w:drawing>
                                <wp:inline distT="0" distB="0" distL="0" distR="0">
                                  <wp:extent cx="1171575" cy="1476375"/>
                                  <wp:effectExtent l="0" t="0" r="0" b="0"/>
                                  <wp:docPr id="254"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98" descr=""/>
                                          <pic:cNvPicPr>
                                            <a:picLocks noChangeAspect="1" noChangeArrowheads="1"/>
                                          </pic:cNvPicPr>
                                        </pic:nvPicPr>
                                        <pic:blipFill>
                                          <a:blip r:embed="rId199"/>
                                          <a:srcRect l="-860" t="-682" r="-860" b="-682"/>
                                          <a:stretch>
                                            <a:fillRect/>
                                          </a:stretch>
                                        </pic:blipFill>
                                        <pic:spPr bwMode="auto">
                                          <a:xfrm>
                                            <a:off x="0" y="0"/>
                                            <a:ext cx="1171575" cy="1476375"/>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Independent Director</w:t>
                            </w:r>
                          </w:p>
                          <w:p>
                            <w:pPr>
                              <w:pStyle w:val="TableContents"/>
                              <w:jc w:val="left"/>
                              <w:rPr/>
                            </w:pPr>
                            <w:r>
                              <w:rPr>
                                <w:rFonts w:ascii="Arial" w:hAnsi="Arial"/>
                                <w:color w:val="FFFFFF"/>
                                <w:sz w:val="20"/>
                              </w:rPr>
                              <w:t xml:space="preserve">Director Since: </w:t>
                            </w:r>
                            <w:r>
                              <w:rPr>
                                <w:rStyle w:val="StrongEmphasis"/>
                                <w:rFonts w:ascii="Arial" w:hAnsi="Arial"/>
                                <w:color w:val="FFFFFF"/>
                                <w:sz w:val="20"/>
                              </w:rPr>
                              <w:t xml:space="preserve">1997 </w:t>
                            </w:r>
                          </w:p>
                          <w:p>
                            <w:pPr>
                              <w:pStyle w:val="TableContents"/>
                              <w:jc w:val="left"/>
                              <w:rPr/>
                            </w:pPr>
                            <w:r>
                              <w:rPr>
                                <w:rFonts w:ascii="Arial" w:hAnsi="Arial"/>
                                <w:color w:val="FFFFFF"/>
                                <w:sz w:val="20"/>
                              </w:rPr>
                              <w:t xml:space="preserve">Age: </w:t>
                            </w:r>
                            <w:r>
                              <w:rPr>
                                <w:rStyle w:val="StrongEmphasis"/>
                                <w:rFonts w:ascii="Arial" w:hAnsi="Arial"/>
                                <w:color w:val="FFFFFF"/>
                                <w:sz w:val="20"/>
                              </w:rPr>
                              <w:t xml:space="preserve">80 </w:t>
                            </w:r>
                          </w:p>
                          <w:p>
                            <w:pPr>
                              <w:pStyle w:val="TableContents"/>
                              <w:jc w:val="left"/>
                              <w:rPr>
                                <w:rFonts w:ascii="Arial" w:hAnsi="Arial"/>
                                <w:color w:val="FFFFFF"/>
                                <w:sz w:val="20"/>
                              </w:rPr>
                            </w:pPr>
                            <w:r>
                              <w:rPr>
                                <w:rFonts w:ascii="Arial" w:hAnsi="Arial"/>
                                <w:color w:val="FFFFFF"/>
                                <w:sz w:val="20"/>
                              </w:rPr>
                              <w:t>SL Green</w:t>
                              <w:br/>
                              <w:t>Board Service:</w:t>
                            </w:r>
                          </w:p>
                          <w:p>
                            <w:pPr>
                              <w:pStyle w:val="TableContents"/>
                              <w:spacing w:before="0" w:after="0"/>
                              <w:ind w:left="0" w:right="0" w:hanging="290"/>
                              <w:jc w:val="left"/>
                              <w:rPr/>
                            </w:pPr>
                            <w:r>
                              <w:rPr>
                                <w:color w:val="FFFFFF"/>
                              </w:rPr>
                              <w:t>●</w:t>
                            </w:r>
                            <w:r>
                              <w:rPr>
                                <w:rStyle w:val="StrongEmphasis"/>
                                <w:rFonts w:ascii="arial" w:hAnsi="arial"/>
                                <w:color w:val="FFFFFF"/>
                                <w:sz w:val="20"/>
                              </w:rPr>
                              <w:t>Audit Committee, Chair</w:t>
                            </w:r>
                          </w:p>
                          <w:p>
                            <w:pPr>
                              <w:pStyle w:val="TableContents"/>
                              <w:spacing w:before="0" w:after="0"/>
                              <w:ind w:left="0" w:right="0" w:hanging="290"/>
                              <w:jc w:val="left"/>
                              <w:rPr/>
                            </w:pPr>
                            <w:r>
                              <w:rPr>
                                <w:color w:val="FFFFFF"/>
                              </w:rPr>
                              <w:t>●</w:t>
                            </w:r>
                            <w:r>
                              <w:rPr>
                                <w:rStyle w:val="StrongEmphasis"/>
                                <w:rFonts w:ascii="arial" w:hAnsi="arial"/>
                                <w:color w:val="FFFFFF"/>
                                <w:sz w:val="20"/>
                              </w:rPr>
                              <w:t>Compensation Committee</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266" w:type="dxa"/>
                            <w:tcBorders/>
                            <w:shd w:fill="auto" w:val="clear"/>
                            <w:tcMar>
                              <w:right w:w="0" w:type="dxa"/>
                            </w:tcMar>
                            <w:vAlign w:val="center"/>
                          </w:tcPr>
                          <w:p>
                            <w:pPr>
                              <w:pStyle w:val="TableContents"/>
                              <w:spacing w:before="0" w:after="283"/>
                              <w:jc w:val="left"/>
                              <w:rPr/>
                            </w:pPr>
                            <w:r>
                              <w:rPr/>
                              <w:t> </w:t>
                            </w:r>
                          </w:p>
                        </w:tc>
                        <w:tc>
                          <w:tcPr>
                            <w:tcW w:w="2318"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olumn">
                  <wp:align>right</wp:align>
                </wp:positionH>
                <wp:positionV relativeFrom="line">
                  <wp:posOffset>635</wp:posOffset>
                </wp:positionV>
                <wp:extent cx="4600575" cy="8067040"/>
                <wp:effectExtent l="0" t="0" r="0" b="0"/>
                <wp:wrapSquare wrapText="largest"/>
                <wp:docPr id="255" name="Frame16"/>
                <a:graphic xmlns:a="http://schemas.openxmlformats.org/drawingml/2006/main">
                  <a:graphicData uri="http://schemas.microsoft.com/office/word/2010/wordprocessingShape">
                    <wps:wsp>
                      <wps:cNvSpPr txBox="1"/>
                      <wps:spPr>
                        <a:xfrm>
                          <a:off x="0" y="0"/>
                          <a:ext cx="4600575" cy="8067040"/>
                        </a:xfrm>
                        <a:prstGeom prst="rect"/>
                      </wps:spPr>
                      <wps:txbx>
                        <w:txbxContent>
                          <w:tbl>
                            <w:tblPr>
                              <w:tblW w:w="10205" w:type="dxa"/>
                              <w:jc w:val="left"/>
                              <w:tblInd w:w="0" w:type="dxa"/>
                              <w:tblCellMar>
                                <w:top w:w="0" w:type="dxa"/>
                                <w:left w:w="0" w:type="dxa"/>
                                <w:bottom w:w="0" w:type="dxa"/>
                                <w:right w:w="0" w:type="dxa"/>
                              </w:tblCellMar>
                            </w:tblPr>
                            <w:tblGrid>
                              <w:gridCol w:w="789"/>
                              <w:gridCol w:w="3840"/>
                              <w:gridCol w:w="947"/>
                              <w:gridCol w:w="4629"/>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 xml:space="preserve">In addition to his experience in academia as a seasoned professor of economics, Mr. Burton’s extensive skills and experience in corporate governance, financial, compensation and legal matters allow him to provide valuable financial expertise and insights into the Company’s business. </w:t>
                                  </w:r>
                                </w:p>
                              </w:tc>
                            </w:tr>
                            <w:tr>
                              <w:trPr/>
                              <w:tc>
                                <w:tcPr>
                                  <w:tcW w:w="789" w:type="dxa"/>
                                  <w:tcBorders/>
                                  <w:shd w:fill="auto" w:val="clear"/>
                                  <w:vAlign w:val="center"/>
                                </w:tcPr>
                                <w:p>
                                  <w:pPr>
                                    <w:pStyle w:val="TableContents"/>
                                    <w:spacing w:before="0" w:after="283"/>
                                    <w:jc w:val="left"/>
                                    <w:rPr/>
                                  </w:pPr>
                                  <w:r>
                                    <w:rPr/>
                                    <w:t> </w:t>
                                  </w:r>
                                </w:p>
                              </w:tc>
                              <w:tc>
                                <w:tcPr>
                                  <w:tcW w:w="3840"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4629" w:type="dxa"/>
                                  <w:tcBorders/>
                                  <w:shd w:fill="auto" w:val="clear"/>
                                  <w:vAlign w:val="center"/>
                                </w:tcPr>
                                <w:p>
                                  <w:pPr>
                                    <w:pStyle w:val="TableContents"/>
                                    <w:spacing w:before="0" w:after="283"/>
                                    <w:rPr>
                                      <w:sz w:val="4"/>
                                      <w:szCs w:val="4"/>
                                    </w:rPr>
                                  </w:pPr>
                                  <w:r>
                                    <w:rPr>
                                      <w:sz w:val="4"/>
                                      <w:szCs w:val="4"/>
                                    </w:rPr>
                                  </w:r>
                                </w:p>
                              </w:tc>
                            </w:tr>
                            <w:tr>
                              <w:trPr/>
                              <w:tc>
                                <w:tcPr>
                                  <w:tcW w:w="789"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840"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947"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462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2"/>
                                    </w:rPr>
                                    <w:t>Professional Experience</w:t>
                                  </w:r>
                                </w:p>
                                <w:p>
                                  <w:pPr>
                                    <w:pStyle w:val="TableContents"/>
                                    <w:spacing w:before="0" w:after="0"/>
                                    <w:ind w:left="0" w:right="0" w:hanging="290"/>
                                    <w:jc w:val="left"/>
                                    <w:rPr/>
                                  </w:pPr>
                                  <w:r>
                                    <w:rPr>
                                      <w:color w:val="000000"/>
                                    </w:rPr>
                                    <w:t>●</w:t>
                                  </w:r>
                                  <w:r>
                                    <w:rPr>
                                      <w:rFonts w:ascii="Arial" w:hAnsi="Arial"/>
                                      <w:sz w:val="20"/>
                                    </w:rPr>
                                    <w:t xml:space="preserve">Professor of Economics at the University of Virginia since 1988; has held teaching positions at York College, Rice University and Cornell University, and has written and lectured extensively in the field of Economics </w:t>
                                  </w:r>
                                </w:p>
                                <w:p>
                                  <w:pPr>
                                    <w:pStyle w:val="TableContents"/>
                                    <w:spacing w:before="0" w:after="0"/>
                                    <w:ind w:left="0" w:right="0" w:hanging="290"/>
                                    <w:jc w:val="left"/>
                                    <w:rPr/>
                                  </w:pPr>
                                  <w:r>
                                    <w:rPr>
                                      <w:color w:val="000000"/>
                                    </w:rPr>
                                    <w:t>●</w:t>
                                  </w:r>
                                  <w:r>
                                    <w:rPr>
                                      <w:rFonts w:ascii="Arial" w:hAnsi="Arial"/>
                                      <w:sz w:val="20"/>
                                    </w:rPr>
                                    <w:t xml:space="preserve">Consultant to numerous companies on investment strategy and investment banking </w:t>
                                  </w:r>
                                </w:p>
                                <w:p>
                                  <w:pPr>
                                    <w:pStyle w:val="TableContents"/>
                                    <w:spacing w:before="0" w:after="0"/>
                                    <w:ind w:left="0" w:right="0" w:hanging="290"/>
                                    <w:jc w:val="left"/>
                                    <w:rPr/>
                                  </w:pPr>
                                  <w:r>
                                    <w:rPr>
                                      <w:color w:val="000000"/>
                                    </w:rPr>
                                    <w:t>●</w:t>
                                  </w:r>
                                  <w:r>
                                    <w:rPr>
                                      <w:rFonts w:ascii="Arial" w:hAnsi="Arial"/>
                                      <w:sz w:val="20"/>
                                    </w:rPr>
                                    <w:t>Member of the Board of Trustees of the Virginia Retirement System for state and local employees of the Commonwealth of Virginia from 1994 to 2001 and then again from 2004 to 2014, and served as its Chairman from 1997 until March 2001</w:t>
                                  </w:r>
                                </w:p>
                                <w:p>
                                  <w:pPr>
                                    <w:pStyle w:val="TableContents"/>
                                    <w:spacing w:before="0" w:after="0"/>
                                    <w:ind w:left="0" w:right="0" w:hanging="290"/>
                                    <w:jc w:val="left"/>
                                    <w:rPr/>
                                  </w:pPr>
                                  <w:r>
                                    <w:rPr>
                                      <w:color w:val="000000"/>
                                    </w:rPr>
                                    <w:t>●</w:t>
                                  </w:r>
                                  <w:r>
                                    <w:rPr>
                                      <w:rFonts w:ascii="Arial" w:hAnsi="Arial"/>
                                      <w:sz w:val="20"/>
                                    </w:rPr>
                                    <w:t>Senior Vice President, Managing Director and director of Interstate Johnson Lane, Incorporated, an investment banking firm, where he was in charge of the Corporate Finance and Public Finance Divisions from 1994 to 1995</w:t>
                                  </w:r>
                                </w:p>
                                <w:p>
                                  <w:pPr>
                                    <w:pStyle w:val="TableContents"/>
                                    <w:spacing w:before="0" w:after="0"/>
                                    <w:ind w:left="0" w:right="0" w:hanging="290"/>
                                    <w:jc w:val="left"/>
                                    <w:rPr/>
                                  </w:pPr>
                                  <w:r>
                                    <w:rPr>
                                      <w:color w:val="000000"/>
                                    </w:rPr>
                                    <w:t>●</w:t>
                                  </w:r>
                                  <w:r>
                                    <w:rPr>
                                      <w:rFonts w:ascii="Arial" w:hAnsi="Arial"/>
                                      <w:sz w:val="20"/>
                                    </w:rPr>
                                    <w:t>President of Rothschild Financial Services, Incorporated (a subsidiary of Rothschild, Inc. of North America), an investment banking company headquartered in New York City that is involved in proprietary trading, securities lending and other investment activities from 1987 to 1994</w:t>
                                  </w:r>
                                </w:p>
                                <w:p>
                                  <w:pPr>
                                    <w:pStyle w:val="TableContents"/>
                                    <w:spacing w:before="0" w:after="0"/>
                                    <w:ind w:left="0" w:right="0" w:hanging="290"/>
                                    <w:jc w:val="left"/>
                                    <w:rPr/>
                                  </w:pPr>
                                  <w:r>
                                    <w:rPr>
                                      <w:color w:val="000000"/>
                                    </w:rPr>
                                    <w:t>●</w:t>
                                  </w:r>
                                  <w:r>
                                    <w:rPr>
                                      <w:rFonts w:ascii="Arial" w:hAnsi="Arial"/>
                                      <w:sz w:val="20"/>
                                    </w:rPr>
                                    <w:t>Consultant to the American Stock Exchange from 1985 to 1986</w:t>
                                  </w:r>
                                </w:p>
                                <w:p>
                                  <w:pPr>
                                    <w:pStyle w:val="TableContents"/>
                                    <w:spacing w:before="0" w:after="0"/>
                                    <w:ind w:left="0" w:right="0" w:hanging="290"/>
                                    <w:jc w:val="left"/>
                                    <w:rPr/>
                                  </w:pPr>
                                  <w:r>
                                    <w:rPr>
                                      <w:color w:val="000000"/>
                                    </w:rPr>
                                    <w:t>●</w:t>
                                  </w:r>
                                  <w:r>
                                    <w:rPr>
                                      <w:rFonts w:ascii="Arial" w:hAnsi="Arial"/>
                                      <w:sz w:val="20"/>
                                    </w:rPr>
                                    <w:t xml:space="preserve">Senior vice president with Smith Barney (or its corporate predecessor) from 1976 to 1984 </w:t>
                                  </w:r>
                                </w:p>
                                <w:p>
                                  <w:pPr>
                                    <w:pStyle w:val="TableContents"/>
                                    <w:spacing w:before="0" w:after="0"/>
                                    <w:ind w:left="0" w:right="0" w:hanging="290"/>
                                    <w:jc w:val="left"/>
                                    <w:rPr/>
                                  </w:pPr>
                                  <w:r>
                                    <w:rPr>
                                      <w:color w:val="000000"/>
                                    </w:rPr>
                                    <w:t>●</w:t>
                                  </w:r>
                                  <w:r>
                                    <w:rPr>
                                      <w:rFonts w:ascii="Arial" w:hAnsi="Arial"/>
                                      <w:sz w:val="20"/>
                                    </w:rPr>
                                    <w:t>Member of the Board of Directors of Chase Investors, a privately-held registered investment advisor, since 2004</w:t>
                                  </w:r>
                                </w:p>
                                <w:p>
                                  <w:pPr>
                                    <w:pStyle w:val="TableContents"/>
                                    <w:spacing w:before="0" w:after="0"/>
                                    <w:ind w:left="0" w:right="0" w:hanging="290"/>
                                    <w:jc w:val="left"/>
                                    <w:rPr/>
                                  </w:pPr>
                                  <w:r>
                                    <w:rPr>
                                      <w:color w:val="000000"/>
                                    </w:rPr>
                                    <w:t>●</w:t>
                                  </w:r>
                                  <w:r>
                                    <w:rPr>
                                      <w:rFonts w:ascii="Arial" w:hAnsi="Arial"/>
                                      <w:sz w:val="20"/>
                                    </w:rPr>
                                    <w:t>Former member of the Board of Directors of Capstar Hotel Company, a publicly-traded hotel company, Virginia National Bank, a publicly-traded commercial bank, and SNL Securities, a private securities data company</w:t>
                                  </w:r>
                                </w:p>
                                <w:p>
                                  <w:pPr>
                                    <w:pStyle w:val="TableContents"/>
                                    <w:spacing w:before="0" w:after="0"/>
                                    <w:ind w:left="0" w:right="0" w:hanging="290"/>
                                    <w:jc w:val="left"/>
                                    <w:rPr/>
                                  </w:pPr>
                                  <w:r>
                                    <w:rPr>
                                      <w:color w:val="000000"/>
                                    </w:rPr>
                                    <w:t>●</w:t>
                                  </w:r>
                                  <w:r>
                                    <w:rPr>
                                      <w:rFonts w:ascii="Arial" w:hAnsi="Arial"/>
                                      <w:sz w:val="20"/>
                                    </w:rPr>
                                    <w:t>B.A. degree in Economics from Rice University and Ph.D. degree in Economics from Northwestern University</w:t>
                                  </w:r>
                                </w:p>
                              </w:tc>
                            </w:tr>
                            <w:tr>
                              <w:trPr/>
                              <w:tc>
                                <w:tcPr>
                                  <w:tcW w:w="789" w:type="dxa"/>
                                  <w:tcBorders/>
                                  <w:shd w:fill="auto" w:val="clear"/>
                                  <w:vAlign w:val="center"/>
                                </w:tcPr>
                                <w:p>
                                  <w:pPr>
                                    <w:pStyle w:val="TableContents"/>
                                    <w:spacing w:before="0" w:after="283"/>
                                    <w:jc w:val="left"/>
                                    <w:rPr/>
                                  </w:pPr>
                                  <w:r>
                                    <w:rPr/>
                                    <w:t> </w:t>
                                  </w:r>
                                </w:p>
                              </w:tc>
                              <w:tc>
                                <w:tcPr>
                                  <w:tcW w:w="3840"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4629" w:type="dxa"/>
                                  <w:tcBorders/>
                                  <w:shd w:fill="auto" w:val="clear"/>
                                  <w:vAlign w:val="center"/>
                                </w:tcPr>
                                <w:p>
                                  <w:pPr>
                                    <w:pStyle w:val="TableContents"/>
                                    <w:spacing w:before="0" w:after="283"/>
                                    <w:rPr>
                                      <w:sz w:val="4"/>
                                      <w:szCs w:val="4"/>
                                    </w:rPr>
                                  </w:pPr>
                                  <w:r>
                                    <w:rPr>
                                      <w:sz w:val="4"/>
                                      <w:szCs w:val="4"/>
                                    </w:rPr>
                                  </w:r>
                                </w:p>
                              </w:tc>
                            </w:tr>
                            <w:tr>
                              <w:trPr/>
                              <w:tc>
                                <w:tcPr>
                                  <w:tcW w:w="789"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840"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947"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462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789" w:type="dxa"/>
                                  <w:tcBorders/>
                                  <w:shd w:fill="auto" w:val="clear"/>
                                  <w:vAlign w:val="center"/>
                                </w:tcPr>
                                <w:p>
                                  <w:pPr>
                                    <w:pStyle w:val="TableContents"/>
                                    <w:spacing w:before="0" w:after="283"/>
                                    <w:jc w:val="center"/>
                                    <w:rPr/>
                                  </w:pPr>
                                  <w:r>
                                    <w:rPr/>
                                    <w:drawing>
                                      <wp:inline distT="0" distB="0" distL="0" distR="0">
                                        <wp:extent cx="295275" cy="323850"/>
                                        <wp:effectExtent l="0" t="0" r="0" b="0"/>
                                        <wp:docPr id="256"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99" descr=""/>
                                                <pic:cNvPicPr>
                                                  <a:picLocks noChangeAspect="1" noChangeArrowheads="1"/>
                                                </pic:cNvPicPr>
                                              </pic:nvPicPr>
                                              <pic:blipFill>
                                                <a:blip r:embed="rId200"/>
                                                <a:srcRect l="-3414" t="-3111" r="-3414" b="-3111"/>
                                                <a:stretch>
                                                  <a:fillRect/>
                                                </a:stretch>
                                              </pic:blipFill>
                                              <pic:spPr bwMode="auto">
                                                <a:xfrm>
                                                  <a:off x="0" y="0"/>
                                                  <a:ext cx="295275" cy="323850"/>
                                                </a:xfrm>
                                                <a:prstGeom prst="rect">
                                                  <a:avLst/>
                                                </a:prstGeom>
                                                <a:ln w="635">
                                                  <a:solidFill>
                                                    <a:srgbClr val="000000"/>
                                                  </a:solidFill>
                                                </a:ln>
                                              </pic:spPr>
                                            </pic:pic>
                                          </a:graphicData>
                                        </a:graphic>
                                      </wp:inline>
                                    </w:drawing>
                                  </w:r>
                                </w:p>
                              </w:tc>
                              <w:tc>
                                <w:tcPr>
                                  <w:tcW w:w="3840"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c>
                                <w:tcPr>
                                  <w:tcW w:w="947" w:type="dxa"/>
                                  <w:tcBorders/>
                                  <w:shd w:fill="auto" w:val="clear"/>
                                  <w:vAlign w:val="center"/>
                                </w:tcPr>
                                <w:p>
                                  <w:pPr>
                                    <w:pStyle w:val="TableContents"/>
                                    <w:spacing w:before="0" w:after="283"/>
                                    <w:jc w:val="center"/>
                                    <w:rPr/>
                                  </w:pPr>
                                  <w:r>
                                    <w:rPr/>
                                    <w:drawing>
                                      <wp:inline distT="0" distB="0" distL="0" distR="0">
                                        <wp:extent cx="352425" cy="342900"/>
                                        <wp:effectExtent l="0" t="0" r="0" b="0"/>
                                        <wp:docPr id="257"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00" descr=""/>
                                                <pic:cNvPicPr>
                                                  <a:picLocks noChangeAspect="1" noChangeArrowheads="1"/>
                                                </pic:cNvPicPr>
                                              </pic:nvPicPr>
                                              <pic:blipFill>
                                                <a:blip r:embed="rId201"/>
                                                <a:srcRect l="-2860" t="-2938" r="-2860" b="-2938"/>
                                                <a:stretch>
                                                  <a:fillRect/>
                                                </a:stretch>
                                              </pic:blipFill>
                                              <pic:spPr bwMode="auto">
                                                <a:xfrm>
                                                  <a:off x="0" y="0"/>
                                                  <a:ext cx="352425" cy="342900"/>
                                                </a:xfrm>
                                                <a:prstGeom prst="rect">
                                                  <a:avLst/>
                                                </a:prstGeom>
                                                <a:ln w="635">
                                                  <a:solidFill>
                                                    <a:srgbClr val="000000"/>
                                                  </a:solidFill>
                                                </a:ln>
                                              </pic:spPr>
                                            </pic:pic>
                                          </a:graphicData>
                                        </a:graphic>
                                      </wp:inline>
                                    </w:drawing>
                                  </w:r>
                                </w:p>
                              </w:tc>
                              <w:tc>
                                <w:tcPr>
                                  <w:tcW w:w="4629" w:type="dxa"/>
                                  <w:tcBorders/>
                                  <w:shd w:fill="auto" w:val="clear"/>
                                  <w:vAlign w:val="center"/>
                                </w:tcPr>
                                <w:p>
                                  <w:pPr>
                                    <w:pStyle w:val="TableContents"/>
                                    <w:spacing w:before="0" w:after="283"/>
                                    <w:jc w:val="left"/>
                                    <w:rPr>
                                      <w:rFonts w:ascii="Arial" w:hAnsi="Arial"/>
                                      <w:sz w:val="20"/>
                                    </w:rPr>
                                  </w:pPr>
                                  <w:r>
                                    <w:rPr>
                                      <w:rFonts w:ascii="Arial" w:hAnsi="Arial"/>
                                      <w:sz w:val="20"/>
                                    </w:rPr>
                                    <w:t>Finance/Capital Markets</w:t>
                                  </w:r>
                                </w:p>
                              </w:tc>
                            </w:tr>
                            <w:tr>
                              <w:trPr/>
                              <w:tc>
                                <w:tcPr>
                                  <w:tcW w:w="789" w:type="dxa"/>
                                  <w:tcBorders/>
                                  <w:shd w:fill="auto" w:val="clear"/>
                                  <w:vAlign w:val="center"/>
                                </w:tcPr>
                                <w:p>
                                  <w:pPr>
                                    <w:pStyle w:val="TableContents"/>
                                    <w:spacing w:before="0" w:after="283"/>
                                    <w:jc w:val="center"/>
                                    <w:rPr/>
                                  </w:pPr>
                                  <w:r>
                                    <w:rPr/>
                                    <w:drawing>
                                      <wp:inline distT="0" distB="0" distL="0" distR="0">
                                        <wp:extent cx="333375" cy="342900"/>
                                        <wp:effectExtent l="0" t="0" r="0" b="0"/>
                                        <wp:docPr id="258"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01" descr=""/>
                                                <pic:cNvPicPr>
                                                  <a:picLocks noChangeAspect="1" noChangeArrowheads="1"/>
                                                </pic:cNvPicPr>
                                              </pic:nvPicPr>
                                              <pic:blipFill>
                                                <a:blip r:embed="rId202"/>
                                                <a:srcRect l="-3023" t="-2938" r="-3023" b="-2938"/>
                                                <a:stretch>
                                                  <a:fillRect/>
                                                </a:stretch>
                                              </pic:blipFill>
                                              <pic:spPr bwMode="auto">
                                                <a:xfrm>
                                                  <a:off x="0" y="0"/>
                                                  <a:ext cx="333375" cy="342900"/>
                                                </a:xfrm>
                                                <a:prstGeom prst="rect">
                                                  <a:avLst/>
                                                </a:prstGeom>
                                                <a:ln w="635">
                                                  <a:solidFill>
                                                    <a:srgbClr val="000000"/>
                                                  </a:solidFill>
                                                </a:ln>
                                              </pic:spPr>
                                            </pic:pic>
                                          </a:graphicData>
                                        </a:graphic>
                                      </wp:inline>
                                    </w:drawing>
                                  </w:r>
                                </w:p>
                              </w:tc>
                              <w:tc>
                                <w:tcPr>
                                  <w:tcW w:w="3840"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947" w:type="dxa"/>
                                  <w:tcBorders/>
                                  <w:shd w:fill="auto" w:val="clear"/>
                                  <w:vAlign w:val="center"/>
                                </w:tcPr>
                                <w:p>
                                  <w:pPr>
                                    <w:pStyle w:val="TableContents"/>
                                    <w:spacing w:before="0" w:after="283"/>
                                    <w:jc w:val="center"/>
                                    <w:rPr/>
                                  </w:pPr>
                                  <w:r>
                                    <w:rPr/>
                                    <w:drawing>
                                      <wp:inline distT="0" distB="0" distL="0" distR="0">
                                        <wp:extent cx="400050" cy="400050"/>
                                        <wp:effectExtent l="0" t="0" r="0" b="0"/>
                                        <wp:docPr id="259"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02" descr=""/>
                                                <pic:cNvPicPr>
                                                  <a:picLocks noChangeAspect="1" noChangeArrowheads="1"/>
                                                </pic:cNvPicPr>
                                              </pic:nvPicPr>
                                              <pic:blipFill>
                                                <a:blip r:embed="rId203"/>
                                                <a:srcRect l="-2520" t="-2520" r="-2520" b="-2520"/>
                                                <a:stretch>
                                                  <a:fillRect/>
                                                </a:stretch>
                                              </pic:blipFill>
                                              <pic:spPr bwMode="auto">
                                                <a:xfrm>
                                                  <a:off x="0" y="0"/>
                                                  <a:ext cx="400050" cy="400050"/>
                                                </a:xfrm>
                                                <a:prstGeom prst="rect">
                                                  <a:avLst/>
                                                </a:prstGeom>
                                                <a:ln w="635">
                                                  <a:solidFill>
                                                    <a:srgbClr val="000000"/>
                                                  </a:solidFill>
                                                </a:ln>
                                              </pic:spPr>
                                            </pic:pic>
                                          </a:graphicData>
                                        </a:graphic>
                                      </wp:inline>
                                    </w:drawing>
                                  </w:r>
                                </w:p>
                              </w:tc>
                              <w:tc>
                                <w:tcPr>
                                  <w:tcW w:w="4629" w:type="dxa"/>
                                  <w:tcBorders/>
                                  <w:shd w:fill="auto" w:val="clear"/>
                                  <w:vAlign w:val="center"/>
                                </w:tcPr>
                                <w:p>
                                  <w:pPr>
                                    <w:pStyle w:val="TableContents"/>
                                    <w:spacing w:before="0" w:after="283"/>
                                    <w:jc w:val="left"/>
                                    <w:rPr>
                                      <w:rFonts w:ascii="Arial" w:hAnsi="Arial"/>
                                      <w:sz w:val="20"/>
                                    </w:rPr>
                                  </w:pPr>
                                  <w:r>
                                    <w:rPr>
                                      <w:rFonts w:ascii="Arial" w:hAnsi="Arial"/>
                                      <w:sz w:val="20"/>
                                    </w:rPr>
                                    <w:t>Public Company Board Service/Corporate Governance</w:t>
                                  </w:r>
                                </w:p>
                              </w:tc>
                            </w:tr>
                            <w:tr>
                              <w:trPr/>
                              <w:tc>
                                <w:tcPr>
                                  <w:tcW w:w="789" w:type="dxa"/>
                                  <w:tcBorders/>
                                  <w:shd w:fill="auto" w:val="clear"/>
                                  <w:vAlign w:val="center"/>
                                </w:tcPr>
                                <w:p>
                                  <w:pPr>
                                    <w:pStyle w:val="TableContents"/>
                                    <w:spacing w:before="0" w:after="283"/>
                                    <w:jc w:val="center"/>
                                    <w:rPr/>
                                  </w:pPr>
                                  <w:r>
                                    <w:rPr/>
                                    <w:drawing>
                                      <wp:inline distT="0" distB="0" distL="0" distR="0">
                                        <wp:extent cx="333375" cy="323850"/>
                                        <wp:effectExtent l="0" t="0" r="0" b="0"/>
                                        <wp:docPr id="260"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03" descr=""/>
                                                <pic:cNvPicPr>
                                                  <a:picLocks noChangeAspect="1" noChangeArrowheads="1"/>
                                                </pic:cNvPicPr>
                                              </pic:nvPicPr>
                                              <pic:blipFill>
                                                <a:blip r:embed="rId204"/>
                                                <a:srcRect l="-3023" t="-3111" r="-3023" b="-3111"/>
                                                <a:stretch>
                                                  <a:fillRect/>
                                                </a:stretch>
                                              </pic:blipFill>
                                              <pic:spPr bwMode="auto">
                                                <a:xfrm>
                                                  <a:off x="0" y="0"/>
                                                  <a:ext cx="333375" cy="323850"/>
                                                </a:xfrm>
                                                <a:prstGeom prst="rect">
                                                  <a:avLst/>
                                                </a:prstGeom>
                                                <a:ln w="635">
                                                  <a:solidFill>
                                                    <a:srgbClr val="000000"/>
                                                  </a:solidFill>
                                                </a:ln>
                                              </pic:spPr>
                                            </pic:pic>
                                          </a:graphicData>
                                        </a:graphic>
                                      </wp:inline>
                                    </w:drawing>
                                  </w:r>
                                </w:p>
                              </w:tc>
                              <w:tc>
                                <w:tcPr>
                                  <w:tcW w:w="3840" w:type="dxa"/>
                                  <w:tcBorders/>
                                  <w:shd w:fill="auto" w:val="clear"/>
                                  <w:vAlign w:val="center"/>
                                </w:tcPr>
                                <w:p>
                                  <w:pPr>
                                    <w:pStyle w:val="TableContents"/>
                                    <w:spacing w:before="0" w:after="283"/>
                                    <w:jc w:val="left"/>
                                    <w:rPr>
                                      <w:rFonts w:ascii="Arial" w:hAnsi="Arial"/>
                                      <w:sz w:val="20"/>
                                    </w:rPr>
                                  </w:pPr>
                                  <w:r>
                                    <w:rPr>
                                      <w:rFonts w:ascii="Arial" w:hAnsi="Arial"/>
                                      <w:sz w:val="20"/>
                                    </w:rPr>
                                    <w:t>Experience Over Several Business Cycles</w:t>
                                  </w:r>
                                </w:p>
                              </w:tc>
                              <w:tc>
                                <w:tcPr>
                                  <w:tcW w:w="947" w:type="dxa"/>
                                  <w:tcBorders/>
                                  <w:shd w:fill="auto" w:val="clear"/>
                                  <w:vAlign w:val="center"/>
                                </w:tcPr>
                                <w:p>
                                  <w:pPr>
                                    <w:pStyle w:val="TableContents"/>
                                    <w:spacing w:before="0" w:after="283"/>
                                    <w:jc w:val="center"/>
                                    <w:rPr/>
                                  </w:pPr>
                                  <w:r>
                                    <w:rPr/>
                                    <w:drawing>
                                      <wp:inline distT="0" distB="0" distL="0" distR="0">
                                        <wp:extent cx="361950" cy="266700"/>
                                        <wp:effectExtent l="0" t="0" r="0" b="0"/>
                                        <wp:docPr id="261"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04" descr=""/>
                                                <pic:cNvPicPr>
                                                  <a:picLocks noChangeAspect="1" noChangeArrowheads="1"/>
                                                </pic:cNvPicPr>
                                              </pic:nvPicPr>
                                              <pic:blipFill>
                                                <a:blip r:embed="rId205"/>
                                                <a:srcRect l="-2786" t="-3778" r="-2786" b="-3778"/>
                                                <a:stretch>
                                                  <a:fillRect/>
                                                </a:stretch>
                                              </pic:blipFill>
                                              <pic:spPr bwMode="auto">
                                                <a:xfrm>
                                                  <a:off x="0" y="0"/>
                                                  <a:ext cx="361950" cy="266700"/>
                                                </a:xfrm>
                                                <a:prstGeom prst="rect">
                                                  <a:avLst/>
                                                </a:prstGeom>
                                                <a:ln w="635">
                                                  <a:solidFill>
                                                    <a:srgbClr val="000000"/>
                                                  </a:solidFill>
                                                </a:ln>
                                              </pic:spPr>
                                            </pic:pic>
                                          </a:graphicData>
                                        </a:graphic>
                                      </wp:inline>
                                    </w:drawing>
                                  </w:r>
                                </w:p>
                              </w:tc>
                              <w:tc>
                                <w:tcPr>
                                  <w:tcW w:w="4629" w:type="dxa"/>
                                  <w:tcBorders/>
                                  <w:shd w:fill="auto" w:val="clear"/>
                                  <w:vAlign w:val="center"/>
                                </w:tcPr>
                                <w:p>
                                  <w:pPr>
                                    <w:pStyle w:val="TableContents"/>
                                    <w:spacing w:before="0" w:after="283"/>
                                    <w:jc w:val="left"/>
                                    <w:rPr>
                                      <w:rFonts w:ascii="Arial" w:hAnsi="Arial"/>
                                      <w:sz w:val="20"/>
                                    </w:rPr>
                                  </w:pPr>
                                  <w:r>
                                    <w:rPr>
                                      <w:rFonts w:ascii="Arial" w:hAnsi="Arial"/>
                                      <w:sz w:val="20"/>
                                    </w:rPr>
                                    <w:t>Academia</w:t>
                                  </w:r>
                                </w:p>
                              </w:tc>
                            </w:tr>
                            <w:tr>
                              <w:trPr/>
                              <w:tc>
                                <w:tcPr>
                                  <w:tcW w:w="789" w:type="dxa"/>
                                  <w:tcBorders/>
                                  <w:shd w:fill="auto" w:val="clear"/>
                                  <w:vAlign w:val="center"/>
                                </w:tcPr>
                                <w:p>
                                  <w:pPr>
                                    <w:pStyle w:val="TableContents"/>
                                    <w:spacing w:before="0" w:after="283"/>
                                    <w:jc w:val="center"/>
                                    <w:rPr/>
                                  </w:pPr>
                                  <w:r>
                                    <w:rPr/>
                                    <w:drawing>
                                      <wp:inline distT="0" distB="0" distL="0" distR="0">
                                        <wp:extent cx="323850" cy="342900"/>
                                        <wp:effectExtent l="0" t="0" r="0" b="0"/>
                                        <wp:docPr id="262"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05" descr=""/>
                                                <pic:cNvPicPr>
                                                  <a:picLocks noChangeAspect="1" noChangeArrowheads="1"/>
                                                </pic:cNvPicPr>
                                              </pic:nvPicPr>
                                              <pic:blipFill>
                                                <a:blip r:embed="rId206"/>
                                                <a:srcRect l="-3111" t="-2938" r="-3111" b="-2938"/>
                                                <a:stretch>
                                                  <a:fillRect/>
                                                </a:stretch>
                                              </pic:blipFill>
                                              <pic:spPr bwMode="auto">
                                                <a:xfrm>
                                                  <a:off x="0" y="0"/>
                                                  <a:ext cx="323850" cy="342900"/>
                                                </a:xfrm>
                                                <a:prstGeom prst="rect">
                                                  <a:avLst/>
                                                </a:prstGeom>
                                                <a:ln w="635">
                                                  <a:solidFill>
                                                    <a:srgbClr val="000000"/>
                                                  </a:solidFill>
                                                </a:ln>
                                              </pic:spPr>
                                            </pic:pic>
                                          </a:graphicData>
                                        </a:graphic>
                                      </wp:inline>
                                    </w:drawing>
                                  </w:r>
                                </w:p>
                              </w:tc>
                              <w:tc>
                                <w:tcPr>
                                  <w:tcW w:w="3840" w:type="dxa"/>
                                  <w:tcBorders/>
                                  <w:shd w:fill="auto" w:val="clear"/>
                                  <w:vAlign w:val="center"/>
                                </w:tcPr>
                                <w:p>
                                  <w:pPr>
                                    <w:pStyle w:val="TableContents"/>
                                    <w:spacing w:before="0" w:after="283"/>
                                    <w:jc w:val="left"/>
                                    <w:rPr>
                                      <w:rFonts w:ascii="Arial" w:hAnsi="Arial"/>
                                      <w:sz w:val="20"/>
                                    </w:rPr>
                                  </w:pPr>
                                  <w:r>
                                    <w:rPr>
                                      <w:rFonts w:ascii="Arial" w:hAnsi="Arial"/>
                                      <w:sz w:val="20"/>
                                    </w:rPr>
                                    <w:t>Accounting</w:t>
                                  </w:r>
                                </w:p>
                              </w:tc>
                              <w:tc>
                                <w:tcPr>
                                  <w:tcW w:w="947" w:type="dxa"/>
                                  <w:tcBorders/>
                                  <w:shd w:fill="auto" w:val="clear"/>
                                  <w:vAlign w:val="center"/>
                                </w:tcPr>
                                <w:p>
                                  <w:pPr>
                                    <w:pStyle w:val="TableContents"/>
                                    <w:spacing w:before="0" w:after="283"/>
                                    <w:rPr>
                                      <w:sz w:val="4"/>
                                      <w:szCs w:val="4"/>
                                    </w:rPr>
                                  </w:pPr>
                                  <w:r>
                                    <w:rPr>
                                      <w:sz w:val="4"/>
                                      <w:szCs w:val="4"/>
                                    </w:rPr>
                                  </w:r>
                                </w:p>
                              </w:tc>
                              <w:tc>
                                <w:tcPr>
                                  <w:tcW w:w="4629" w:type="dxa"/>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635.2pt;mso-wrap-distance-left:0pt;mso-wrap-distance-right:0pt;mso-wrap-distance-top:0pt;mso-wrap-distance-bottom:0pt;margin-top:0pt;mso-position-vertical:top;mso-position-vertical-relative:text;margin-left:148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789"/>
                        <w:gridCol w:w="3840"/>
                        <w:gridCol w:w="947"/>
                        <w:gridCol w:w="4629"/>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 xml:space="preserve">In addition to his experience in academia as a seasoned professor of economics, Mr. Burton’s extensive skills and experience in corporate governance, financial, compensation and legal matters allow him to provide valuable financial expertise and insights into the Company’s business. </w:t>
                            </w:r>
                          </w:p>
                        </w:tc>
                      </w:tr>
                      <w:tr>
                        <w:trPr/>
                        <w:tc>
                          <w:tcPr>
                            <w:tcW w:w="789" w:type="dxa"/>
                            <w:tcBorders/>
                            <w:shd w:fill="auto" w:val="clear"/>
                            <w:vAlign w:val="center"/>
                          </w:tcPr>
                          <w:p>
                            <w:pPr>
                              <w:pStyle w:val="TableContents"/>
                              <w:spacing w:before="0" w:after="283"/>
                              <w:jc w:val="left"/>
                              <w:rPr/>
                            </w:pPr>
                            <w:r>
                              <w:rPr/>
                              <w:t> </w:t>
                            </w:r>
                          </w:p>
                        </w:tc>
                        <w:tc>
                          <w:tcPr>
                            <w:tcW w:w="3840"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4629" w:type="dxa"/>
                            <w:tcBorders/>
                            <w:shd w:fill="auto" w:val="clear"/>
                            <w:vAlign w:val="center"/>
                          </w:tcPr>
                          <w:p>
                            <w:pPr>
                              <w:pStyle w:val="TableContents"/>
                              <w:spacing w:before="0" w:after="283"/>
                              <w:rPr>
                                <w:sz w:val="4"/>
                                <w:szCs w:val="4"/>
                              </w:rPr>
                            </w:pPr>
                            <w:r>
                              <w:rPr>
                                <w:sz w:val="4"/>
                                <w:szCs w:val="4"/>
                              </w:rPr>
                            </w:r>
                          </w:p>
                        </w:tc>
                      </w:tr>
                      <w:tr>
                        <w:trPr/>
                        <w:tc>
                          <w:tcPr>
                            <w:tcW w:w="789"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840"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947"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462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2"/>
                              </w:rPr>
                              <w:t>Professional Experience</w:t>
                            </w:r>
                          </w:p>
                          <w:p>
                            <w:pPr>
                              <w:pStyle w:val="TableContents"/>
                              <w:spacing w:before="0" w:after="0"/>
                              <w:ind w:left="0" w:right="0" w:hanging="290"/>
                              <w:jc w:val="left"/>
                              <w:rPr/>
                            </w:pPr>
                            <w:r>
                              <w:rPr>
                                <w:color w:val="000000"/>
                              </w:rPr>
                              <w:t>●</w:t>
                            </w:r>
                            <w:r>
                              <w:rPr>
                                <w:rFonts w:ascii="Arial" w:hAnsi="Arial"/>
                                <w:sz w:val="20"/>
                              </w:rPr>
                              <w:t xml:space="preserve">Professor of Economics at the University of Virginia since 1988; has held teaching positions at York College, Rice University and Cornell University, and has written and lectured extensively in the field of Economics </w:t>
                            </w:r>
                          </w:p>
                          <w:p>
                            <w:pPr>
                              <w:pStyle w:val="TableContents"/>
                              <w:spacing w:before="0" w:after="0"/>
                              <w:ind w:left="0" w:right="0" w:hanging="290"/>
                              <w:jc w:val="left"/>
                              <w:rPr/>
                            </w:pPr>
                            <w:r>
                              <w:rPr>
                                <w:color w:val="000000"/>
                              </w:rPr>
                              <w:t>●</w:t>
                            </w:r>
                            <w:r>
                              <w:rPr>
                                <w:rFonts w:ascii="Arial" w:hAnsi="Arial"/>
                                <w:sz w:val="20"/>
                              </w:rPr>
                              <w:t xml:space="preserve">Consultant to numerous companies on investment strategy and investment banking </w:t>
                            </w:r>
                          </w:p>
                          <w:p>
                            <w:pPr>
                              <w:pStyle w:val="TableContents"/>
                              <w:spacing w:before="0" w:after="0"/>
                              <w:ind w:left="0" w:right="0" w:hanging="290"/>
                              <w:jc w:val="left"/>
                              <w:rPr/>
                            </w:pPr>
                            <w:r>
                              <w:rPr>
                                <w:color w:val="000000"/>
                              </w:rPr>
                              <w:t>●</w:t>
                            </w:r>
                            <w:r>
                              <w:rPr>
                                <w:rFonts w:ascii="Arial" w:hAnsi="Arial"/>
                                <w:sz w:val="20"/>
                              </w:rPr>
                              <w:t>Member of the Board of Trustees of the Virginia Retirement System for state and local employees of the Commonwealth of Virginia from 1994 to 2001 and then again from 2004 to 2014, and served as its Chairman from 1997 until March 2001</w:t>
                            </w:r>
                          </w:p>
                          <w:p>
                            <w:pPr>
                              <w:pStyle w:val="TableContents"/>
                              <w:spacing w:before="0" w:after="0"/>
                              <w:ind w:left="0" w:right="0" w:hanging="290"/>
                              <w:jc w:val="left"/>
                              <w:rPr/>
                            </w:pPr>
                            <w:r>
                              <w:rPr>
                                <w:color w:val="000000"/>
                              </w:rPr>
                              <w:t>●</w:t>
                            </w:r>
                            <w:r>
                              <w:rPr>
                                <w:rFonts w:ascii="Arial" w:hAnsi="Arial"/>
                                <w:sz w:val="20"/>
                              </w:rPr>
                              <w:t>Senior Vice President, Managing Director and director of Interstate Johnson Lane, Incorporated, an investment banking firm, where he was in charge of the Corporate Finance and Public Finance Divisions from 1994 to 1995</w:t>
                            </w:r>
                          </w:p>
                          <w:p>
                            <w:pPr>
                              <w:pStyle w:val="TableContents"/>
                              <w:spacing w:before="0" w:after="0"/>
                              <w:ind w:left="0" w:right="0" w:hanging="290"/>
                              <w:jc w:val="left"/>
                              <w:rPr/>
                            </w:pPr>
                            <w:r>
                              <w:rPr>
                                <w:color w:val="000000"/>
                              </w:rPr>
                              <w:t>●</w:t>
                            </w:r>
                            <w:r>
                              <w:rPr>
                                <w:rFonts w:ascii="Arial" w:hAnsi="Arial"/>
                                <w:sz w:val="20"/>
                              </w:rPr>
                              <w:t>President of Rothschild Financial Services, Incorporated (a subsidiary of Rothschild, Inc. of North America), an investment banking company headquartered in New York City that is involved in proprietary trading, securities lending and other investment activities from 1987 to 1994</w:t>
                            </w:r>
                          </w:p>
                          <w:p>
                            <w:pPr>
                              <w:pStyle w:val="TableContents"/>
                              <w:spacing w:before="0" w:after="0"/>
                              <w:ind w:left="0" w:right="0" w:hanging="290"/>
                              <w:jc w:val="left"/>
                              <w:rPr/>
                            </w:pPr>
                            <w:r>
                              <w:rPr>
                                <w:color w:val="000000"/>
                              </w:rPr>
                              <w:t>●</w:t>
                            </w:r>
                            <w:r>
                              <w:rPr>
                                <w:rFonts w:ascii="Arial" w:hAnsi="Arial"/>
                                <w:sz w:val="20"/>
                              </w:rPr>
                              <w:t>Consultant to the American Stock Exchange from 1985 to 1986</w:t>
                            </w:r>
                          </w:p>
                          <w:p>
                            <w:pPr>
                              <w:pStyle w:val="TableContents"/>
                              <w:spacing w:before="0" w:after="0"/>
                              <w:ind w:left="0" w:right="0" w:hanging="290"/>
                              <w:jc w:val="left"/>
                              <w:rPr/>
                            </w:pPr>
                            <w:r>
                              <w:rPr>
                                <w:color w:val="000000"/>
                              </w:rPr>
                              <w:t>●</w:t>
                            </w:r>
                            <w:r>
                              <w:rPr>
                                <w:rFonts w:ascii="Arial" w:hAnsi="Arial"/>
                                <w:sz w:val="20"/>
                              </w:rPr>
                              <w:t xml:space="preserve">Senior vice president with Smith Barney (or its corporate predecessor) from 1976 to 1984 </w:t>
                            </w:r>
                          </w:p>
                          <w:p>
                            <w:pPr>
                              <w:pStyle w:val="TableContents"/>
                              <w:spacing w:before="0" w:after="0"/>
                              <w:ind w:left="0" w:right="0" w:hanging="290"/>
                              <w:jc w:val="left"/>
                              <w:rPr/>
                            </w:pPr>
                            <w:r>
                              <w:rPr>
                                <w:color w:val="000000"/>
                              </w:rPr>
                              <w:t>●</w:t>
                            </w:r>
                            <w:r>
                              <w:rPr>
                                <w:rFonts w:ascii="Arial" w:hAnsi="Arial"/>
                                <w:sz w:val="20"/>
                              </w:rPr>
                              <w:t>Member of the Board of Directors of Chase Investors, a privately-held registered investment advisor, since 2004</w:t>
                            </w:r>
                          </w:p>
                          <w:p>
                            <w:pPr>
                              <w:pStyle w:val="TableContents"/>
                              <w:spacing w:before="0" w:after="0"/>
                              <w:ind w:left="0" w:right="0" w:hanging="290"/>
                              <w:jc w:val="left"/>
                              <w:rPr/>
                            </w:pPr>
                            <w:r>
                              <w:rPr>
                                <w:color w:val="000000"/>
                              </w:rPr>
                              <w:t>●</w:t>
                            </w:r>
                            <w:r>
                              <w:rPr>
                                <w:rFonts w:ascii="Arial" w:hAnsi="Arial"/>
                                <w:sz w:val="20"/>
                              </w:rPr>
                              <w:t>Former member of the Board of Directors of Capstar Hotel Company, a publicly-traded hotel company, Virginia National Bank, a publicly-traded commercial bank, and SNL Securities, a private securities data company</w:t>
                            </w:r>
                          </w:p>
                          <w:p>
                            <w:pPr>
                              <w:pStyle w:val="TableContents"/>
                              <w:spacing w:before="0" w:after="0"/>
                              <w:ind w:left="0" w:right="0" w:hanging="290"/>
                              <w:jc w:val="left"/>
                              <w:rPr/>
                            </w:pPr>
                            <w:r>
                              <w:rPr>
                                <w:color w:val="000000"/>
                              </w:rPr>
                              <w:t>●</w:t>
                            </w:r>
                            <w:r>
                              <w:rPr>
                                <w:rFonts w:ascii="Arial" w:hAnsi="Arial"/>
                                <w:sz w:val="20"/>
                              </w:rPr>
                              <w:t>B.A. degree in Economics from Rice University and Ph.D. degree in Economics from Northwestern University</w:t>
                            </w:r>
                          </w:p>
                        </w:tc>
                      </w:tr>
                      <w:tr>
                        <w:trPr/>
                        <w:tc>
                          <w:tcPr>
                            <w:tcW w:w="789" w:type="dxa"/>
                            <w:tcBorders/>
                            <w:shd w:fill="auto" w:val="clear"/>
                            <w:vAlign w:val="center"/>
                          </w:tcPr>
                          <w:p>
                            <w:pPr>
                              <w:pStyle w:val="TableContents"/>
                              <w:spacing w:before="0" w:after="283"/>
                              <w:jc w:val="left"/>
                              <w:rPr/>
                            </w:pPr>
                            <w:r>
                              <w:rPr/>
                              <w:t> </w:t>
                            </w:r>
                          </w:p>
                        </w:tc>
                        <w:tc>
                          <w:tcPr>
                            <w:tcW w:w="3840"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4629" w:type="dxa"/>
                            <w:tcBorders/>
                            <w:shd w:fill="auto" w:val="clear"/>
                            <w:vAlign w:val="center"/>
                          </w:tcPr>
                          <w:p>
                            <w:pPr>
                              <w:pStyle w:val="TableContents"/>
                              <w:spacing w:before="0" w:after="283"/>
                              <w:rPr>
                                <w:sz w:val="4"/>
                                <w:szCs w:val="4"/>
                              </w:rPr>
                            </w:pPr>
                            <w:r>
                              <w:rPr>
                                <w:sz w:val="4"/>
                                <w:szCs w:val="4"/>
                              </w:rPr>
                            </w:r>
                          </w:p>
                        </w:tc>
                      </w:tr>
                      <w:tr>
                        <w:trPr/>
                        <w:tc>
                          <w:tcPr>
                            <w:tcW w:w="789"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840"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947"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462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789" w:type="dxa"/>
                            <w:tcBorders/>
                            <w:shd w:fill="auto" w:val="clear"/>
                            <w:vAlign w:val="center"/>
                          </w:tcPr>
                          <w:p>
                            <w:pPr>
                              <w:pStyle w:val="TableContents"/>
                              <w:spacing w:before="0" w:after="283"/>
                              <w:jc w:val="center"/>
                              <w:rPr/>
                            </w:pPr>
                            <w:r>
                              <w:rPr/>
                              <w:drawing>
                                <wp:inline distT="0" distB="0" distL="0" distR="0">
                                  <wp:extent cx="295275" cy="323850"/>
                                  <wp:effectExtent l="0" t="0" r="0" b="0"/>
                                  <wp:docPr id="263"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99" descr=""/>
                                          <pic:cNvPicPr>
                                            <a:picLocks noChangeAspect="1" noChangeArrowheads="1"/>
                                          </pic:cNvPicPr>
                                        </pic:nvPicPr>
                                        <pic:blipFill>
                                          <a:blip r:embed="rId200"/>
                                          <a:srcRect l="-3414" t="-3111" r="-3414" b="-3111"/>
                                          <a:stretch>
                                            <a:fillRect/>
                                          </a:stretch>
                                        </pic:blipFill>
                                        <pic:spPr bwMode="auto">
                                          <a:xfrm>
                                            <a:off x="0" y="0"/>
                                            <a:ext cx="295275" cy="323850"/>
                                          </a:xfrm>
                                          <a:prstGeom prst="rect">
                                            <a:avLst/>
                                          </a:prstGeom>
                                          <a:ln w="635">
                                            <a:solidFill>
                                              <a:srgbClr val="000000"/>
                                            </a:solidFill>
                                          </a:ln>
                                        </pic:spPr>
                                      </pic:pic>
                                    </a:graphicData>
                                  </a:graphic>
                                </wp:inline>
                              </w:drawing>
                            </w:r>
                          </w:p>
                        </w:tc>
                        <w:tc>
                          <w:tcPr>
                            <w:tcW w:w="3840"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c>
                          <w:tcPr>
                            <w:tcW w:w="947" w:type="dxa"/>
                            <w:tcBorders/>
                            <w:shd w:fill="auto" w:val="clear"/>
                            <w:vAlign w:val="center"/>
                          </w:tcPr>
                          <w:p>
                            <w:pPr>
                              <w:pStyle w:val="TableContents"/>
                              <w:spacing w:before="0" w:after="283"/>
                              <w:jc w:val="center"/>
                              <w:rPr/>
                            </w:pPr>
                            <w:r>
                              <w:rPr/>
                              <w:drawing>
                                <wp:inline distT="0" distB="0" distL="0" distR="0">
                                  <wp:extent cx="352425" cy="342900"/>
                                  <wp:effectExtent l="0" t="0" r="0" b="0"/>
                                  <wp:docPr id="26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00" descr=""/>
                                          <pic:cNvPicPr>
                                            <a:picLocks noChangeAspect="1" noChangeArrowheads="1"/>
                                          </pic:cNvPicPr>
                                        </pic:nvPicPr>
                                        <pic:blipFill>
                                          <a:blip r:embed="rId201"/>
                                          <a:srcRect l="-2860" t="-2938" r="-2860" b="-2938"/>
                                          <a:stretch>
                                            <a:fillRect/>
                                          </a:stretch>
                                        </pic:blipFill>
                                        <pic:spPr bwMode="auto">
                                          <a:xfrm>
                                            <a:off x="0" y="0"/>
                                            <a:ext cx="352425" cy="342900"/>
                                          </a:xfrm>
                                          <a:prstGeom prst="rect">
                                            <a:avLst/>
                                          </a:prstGeom>
                                          <a:ln w="635">
                                            <a:solidFill>
                                              <a:srgbClr val="000000"/>
                                            </a:solidFill>
                                          </a:ln>
                                        </pic:spPr>
                                      </pic:pic>
                                    </a:graphicData>
                                  </a:graphic>
                                </wp:inline>
                              </w:drawing>
                            </w:r>
                          </w:p>
                        </w:tc>
                        <w:tc>
                          <w:tcPr>
                            <w:tcW w:w="4629" w:type="dxa"/>
                            <w:tcBorders/>
                            <w:shd w:fill="auto" w:val="clear"/>
                            <w:vAlign w:val="center"/>
                          </w:tcPr>
                          <w:p>
                            <w:pPr>
                              <w:pStyle w:val="TableContents"/>
                              <w:spacing w:before="0" w:after="283"/>
                              <w:jc w:val="left"/>
                              <w:rPr>
                                <w:rFonts w:ascii="Arial" w:hAnsi="Arial"/>
                                <w:sz w:val="20"/>
                              </w:rPr>
                            </w:pPr>
                            <w:r>
                              <w:rPr>
                                <w:rFonts w:ascii="Arial" w:hAnsi="Arial"/>
                                <w:sz w:val="20"/>
                              </w:rPr>
                              <w:t>Finance/Capital Markets</w:t>
                            </w:r>
                          </w:p>
                        </w:tc>
                      </w:tr>
                      <w:tr>
                        <w:trPr/>
                        <w:tc>
                          <w:tcPr>
                            <w:tcW w:w="789" w:type="dxa"/>
                            <w:tcBorders/>
                            <w:shd w:fill="auto" w:val="clear"/>
                            <w:vAlign w:val="center"/>
                          </w:tcPr>
                          <w:p>
                            <w:pPr>
                              <w:pStyle w:val="TableContents"/>
                              <w:spacing w:before="0" w:after="283"/>
                              <w:jc w:val="center"/>
                              <w:rPr/>
                            </w:pPr>
                            <w:r>
                              <w:rPr/>
                              <w:drawing>
                                <wp:inline distT="0" distB="0" distL="0" distR="0">
                                  <wp:extent cx="333375" cy="342900"/>
                                  <wp:effectExtent l="0" t="0" r="0" b="0"/>
                                  <wp:docPr id="265"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01" descr=""/>
                                          <pic:cNvPicPr>
                                            <a:picLocks noChangeAspect="1" noChangeArrowheads="1"/>
                                          </pic:cNvPicPr>
                                        </pic:nvPicPr>
                                        <pic:blipFill>
                                          <a:blip r:embed="rId202"/>
                                          <a:srcRect l="-3023" t="-2938" r="-3023" b="-2938"/>
                                          <a:stretch>
                                            <a:fillRect/>
                                          </a:stretch>
                                        </pic:blipFill>
                                        <pic:spPr bwMode="auto">
                                          <a:xfrm>
                                            <a:off x="0" y="0"/>
                                            <a:ext cx="333375" cy="342900"/>
                                          </a:xfrm>
                                          <a:prstGeom prst="rect">
                                            <a:avLst/>
                                          </a:prstGeom>
                                          <a:ln w="635">
                                            <a:solidFill>
                                              <a:srgbClr val="000000"/>
                                            </a:solidFill>
                                          </a:ln>
                                        </pic:spPr>
                                      </pic:pic>
                                    </a:graphicData>
                                  </a:graphic>
                                </wp:inline>
                              </w:drawing>
                            </w:r>
                          </w:p>
                        </w:tc>
                        <w:tc>
                          <w:tcPr>
                            <w:tcW w:w="3840"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947" w:type="dxa"/>
                            <w:tcBorders/>
                            <w:shd w:fill="auto" w:val="clear"/>
                            <w:vAlign w:val="center"/>
                          </w:tcPr>
                          <w:p>
                            <w:pPr>
                              <w:pStyle w:val="TableContents"/>
                              <w:spacing w:before="0" w:after="283"/>
                              <w:jc w:val="center"/>
                              <w:rPr/>
                            </w:pPr>
                            <w:r>
                              <w:rPr/>
                              <w:drawing>
                                <wp:inline distT="0" distB="0" distL="0" distR="0">
                                  <wp:extent cx="400050" cy="400050"/>
                                  <wp:effectExtent l="0" t="0" r="0" b="0"/>
                                  <wp:docPr id="266"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02" descr=""/>
                                          <pic:cNvPicPr>
                                            <a:picLocks noChangeAspect="1" noChangeArrowheads="1"/>
                                          </pic:cNvPicPr>
                                        </pic:nvPicPr>
                                        <pic:blipFill>
                                          <a:blip r:embed="rId203"/>
                                          <a:srcRect l="-2520" t="-2520" r="-2520" b="-2520"/>
                                          <a:stretch>
                                            <a:fillRect/>
                                          </a:stretch>
                                        </pic:blipFill>
                                        <pic:spPr bwMode="auto">
                                          <a:xfrm>
                                            <a:off x="0" y="0"/>
                                            <a:ext cx="400050" cy="400050"/>
                                          </a:xfrm>
                                          <a:prstGeom prst="rect">
                                            <a:avLst/>
                                          </a:prstGeom>
                                          <a:ln w="635">
                                            <a:solidFill>
                                              <a:srgbClr val="000000"/>
                                            </a:solidFill>
                                          </a:ln>
                                        </pic:spPr>
                                      </pic:pic>
                                    </a:graphicData>
                                  </a:graphic>
                                </wp:inline>
                              </w:drawing>
                            </w:r>
                          </w:p>
                        </w:tc>
                        <w:tc>
                          <w:tcPr>
                            <w:tcW w:w="4629" w:type="dxa"/>
                            <w:tcBorders/>
                            <w:shd w:fill="auto" w:val="clear"/>
                            <w:vAlign w:val="center"/>
                          </w:tcPr>
                          <w:p>
                            <w:pPr>
                              <w:pStyle w:val="TableContents"/>
                              <w:spacing w:before="0" w:after="283"/>
                              <w:jc w:val="left"/>
                              <w:rPr>
                                <w:rFonts w:ascii="Arial" w:hAnsi="Arial"/>
                                <w:sz w:val="20"/>
                              </w:rPr>
                            </w:pPr>
                            <w:r>
                              <w:rPr>
                                <w:rFonts w:ascii="Arial" w:hAnsi="Arial"/>
                                <w:sz w:val="20"/>
                              </w:rPr>
                              <w:t>Public Company Board Service/Corporate Governance</w:t>
                            </w:r>
                          </w:p>
                        </w:tc>
                      </w:tr>
                      <w:tr>
                        <w:trPr/>
                        <w:tc>
                          <w:tcPr>
                            <w:tcW w:w="789" w:type="dxa"/>
                            <w:tcBorders/>
                            <w:shd w:fill="auto" w:val="clear"/>
                            <w:vAlign w:val="center"/>
                          </w:tcPr>
                          <w:p>
                            <w:pPr>
                              <w:pStyle w:val="TableContents"/>
                              <w:spacing w:before="0" w:after="283"/>
                              <w:jc w:val="center"/>
                              <w:rPr/>
                            </w:pPr>
                            <w:r>
                              <w:rPr/>
                              <w:drawing>
                                <wp:inline distT="0" distB="0" distL="0" distR="0">
                                  <wp:extent cx="333375" cy="323850"/>
                                  <wp:effectExtent l="0" t="0" r="0" b="0"/>
                                  <wp:docPr id="267"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03" descr=""/>
                                          <pic:cNvPicPr>
                                            <a:picLocks noChangeAspect="1" noChangeArrowheads="1"/>
                                          </pic:cNvPicPr>
                                        </pic:nvPicPr>
                                        <pic:blipFill>
                                          <a:blip r:embed="rId204"/>
                                          <a:srcRect l="-3023" t="-3111" r="-3023" b="-3111"/>
                                          <a:stretch>
                                            <a:fillRect/>
                                          </a:stretch>
                                        </pic:blipFill>
                                        <pic:spPr bwMode="auto">
                                          <a:xfrm>
                                            <a:off x="0" y="0"/>
                                            <a:ext cx="333375" cy="323850"/>
                                          </a:xfrm>
                                          <a:prstGeom prst="rect">
                                            <a:avLst/>
                                          </a:prstGeom>
                                          <a:ln w="635">
                                            <a:solidFill>
                                              <a:srgbClr val="000000"/>
                                            </a:solidFill>
                                          </a:ln>
                                        </pic:spPr>
                                      </pic:pic>
                                    </a:graphicData>
                                  </a:graphic>
                                </wp:inline>
                              </w:drawing>
                            </w:r>
                          </w:p>
                        </w:tc>
                        <w:tc>
                          <w:tcPr>
                            <w:tcW w:w="3840" w:type="dxa"/>
                            <w:tcBorders/>
                            <w:shd w:fill="auto" w:val="clear"/>
                            <w:vAlign w:val="center"/>
                          </w:tcPr>
                          <w:p>
                            <w:pPr>
                              <w:pStyle w:val="TableContents"/>
                              <w:spacing w:before="0" w:after="283"/>
                              <w:jc w:val="left"/>
                              <w:rPr>
                                <w:rFonts w:ascii="Arial" w:hAnsi="Arial"/>
                                <w:sz w:val="20"/>
                              </w:rPr>
                            </w:pPr>
                            <w:r>
                              <w:rPr>
                                <w:rFonts w:ascii="Arial" w:hAnsi="Arial"/>
                                <w:sz w:val="20"/>
                              </w:rPr>
                              <w:t>Experience Over Several Business Cycles</w:t>
                            </w:r>
                          </w:p>
                        </w:tc>
                        <w:tc>
                          <w:tcPr>
                            <w:tcW w:w="947" w:type="dxa"/>
                            <w:tcBorders/>
                            <w:shd w:fill="auto" w:val="clear"/>
                            <w:vAlign w:val="center"/>
                          </w:tcPr>
                          <w:p>
                            <w:pPr>
                              <w:pStyle w:val="TableContents"/>
                              <w:spacing w:before="0" w:after="283"/>
                              <w:jc w:val="center"/>
                              <w:rPr/>
                            </w:pPr>
                            <w:r>
                              <w:rPr/>
                              <w:drawing>
                                <wp:inline distT="0" distB="0" distL="0" distR="0">
                                  <wp:extent cx="361950" cy="266700"/>
                                  <wp:effectExtent l="0" t="0" r="0" b="0"/>
                                  <wp:docPr id="268"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04" descr=""/>
                                          <pic:cNvPicPr>
                                            <a:picLocks noChangeAspect="1" noChangeArrowheads="1"/>
                                          </pic:cNvPicPr>
                                        </pic:nvPicPr>
                                        <pic:blipFill>
                                          <a:blip r:embed="rId205"/>
                                          <a:srcRect l="-2786" t="-3778" r="-2786" b="-3778"/>
                                          <a:stretch>
                                            <a:fillRect/>
                                          </a:stretch>
                                        </pic:blipFill>
                                        <pic:spPr bwMode="auto">
                                          <a:xfrm>
                                            <a:off x="0" y="0"/>
                                            <a:ext cx="361950" cy="266700"/>
                                          </a:xfrm>
                                          <a:prstGeom prst="rect">
                                            <a:avLst/>
                                          </a:prstGeom>
                                          <a:ln w="635">
                                            <a:solidFill>
                                              <a:srgbClr val="000000"/>
                                            </a:solidFill>
                                          </a:ln>
                                        </pic:spPr>
                                      </pic:pic>
                                    </a:graphicData>
                                  </a:graphic>
                                </wp:inline>
                              </w:drawing>
                            </w:r>
                          </w:p>
                        </w:tc>
                        <w:tc>
                          <w:tcPr>
                            <w:tcW w:w="4629" w:type="dxa"/>
                            <w:tcBorders/>
                            <w:shd w:fill="auto" w:val="clear"/>
                            <w:vAlign w:val="center"/>
                          </w:tcPr>
                          <w:p>
                            <w:pPr>
                              <w:pStyle w:val="TableContents"/>
                              <w:spacing w:before="0" w:after="283"/>
                              <w:jc w:val="left"/>
                              <w:rPr>
                                <w:rFonts w:ascii="Arial" w:hAnsi="Arial"/>
                                <w:sz w:val="20"/>
                              </w:rPr>
                            </w:pPr>
                            <w:r>
                              <w:rPr>
                                <w:rFonts w:ascii="Arial" w:hAnsi="Arial"/>
                                <w:sz w:val="20"/>
                              </w:rPr>
                              <w:t>Academia</w:t>
                            </w:r>
                          </w:p>
                        </w:tc>
                      </w:tr>
                      <w:tr>
                        <w:trPr/>
                        <w:tc>
                          <w:tcPr>
                            <w:tcW w:w="789" w:type="dxa"/>
                            <w:tcBorders/>
                            <w:shd w:fill="auto" w:val="clear"/>
                            <w:vAlign w:val="center"/>
                          </w:tcPr>
                          <w:p>
                            <w:pPr>
                              <w:pStyle w:val="TableContents"/>
                              <w:spacing w:before="0" w:after="283"/>
                              <w:jc w:val="center"/>
                              <w:rPr/>
                            </w:pPr>
                            <w:r>
                              <w:rPr/>
                              <w:drawing>
                                <wp:inline distT="0" distB="0" distL="0" distR="0">
                                  <wp:extent cx="323850" cy="342900"/>
                                  <wp:effectExtent l="0" t="0" r="0" b="0"/>
                                  <wp:docPr id="269"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05" descr=""/>
                                          <pic:cNvPicPr>
                                            <a:picLocks noChangeAspect="1" noChangeArrowheads="1"/>
                                          </pic:cNvPicPr>
                                        </pic:nvPicPr>
                                        <pic:blipFill>
                                          <a:blip r:embed="rId206"/>
                                          <a:srcRect l="-3111" t="-2938" r="-3111" b="-2938"/>
                                          <a:stretch>
                                            <a:fillRect/>
                                          </a:stretch>
                                        </pic:blipFill>
                                        <pic:spPr bwMode="auto">
                                          <a:xfrm>
                                            <a:off x="0" y="0"/>
                                            <a:ext cx="323850" cy="342900"/>
                                          </a:xfrm>
                                          <a:prstGeom prst="rect">
                                            <a:avLst/>
                                          </a:prstGeom>
                                          <a:ln w="635">
                                            <a:solidFill>
                                              <a:srgbClr val="000000"/>
                                            </a:solidFill>
                                          </a:ln>
                                        </pic:spPr>
                                      </pic:pic>
                                    </a:graphicData>
                                  </a:graphic>
                                </wp:inline>
                              </w:drawing>
                            </w:r>
                          </w:p>
                        </w:tc>
                        <w:tc>
                          <w:tcPr>
                            <w:tcW w:w="3840" w:type="dxa"/>
                            <w:tcBorders/>
                            <w:shd w:fill="auto" w:val="clear"/>
                            <w:vAlign w:val="center"/>
                          </w:tcPr>
                          <w:p>
                            <w:pPr>
                              <w:pStyle w:val="TableContents"/>
                              <w:spacing w:before="0" w:after="283"/>
                              <w:jc w:val="left"/>
                              <w:rPr>
                                <w:rFonts w:ascii="Arial" w:hAnsi="Arial"/>
                                <w:sz w:val="20"/>
                              </w:rPr>
                            </w:pPr>
                            <w:r>
                              <w:rPr>
                                <w:rFonts w:ascii="Arial" w:hAnsi="Arial"/>
                                <w:sz w:val="20"/>
                              </w:rPr>
                              <w:t>Accounting</w:t>
                            </w:r>
                          </w:p>
                        </w:tc>
                        <w:tc>
                          <w:tcPr>
                            <w:tcW w:w="947" w:type="dxa"/>
                            <w:tcBorders/>
                            <w:shd w:fill="auto" w:val="clear"/>
                            <w:vAlign w:val="center"/>
                          </w:tcPr>
                          <w:p>
                            <w:pPr>
                              <w:pStyle w:val="TableContents"/>
                              <w:spacing w:before="0" w:after="283"/>
                              <w:rPr>
                                <w:sz w:val="4"/>
                                <w:szCs w:val="4"/>
                              </w:rPr>
                            </w:pPr>
                            <w:r>
                              <w:rPr>
                                <w:sz w:val="4"/>
                                <w:szCs w:val="4"/>
                              </w:rPr>
                            </w:r>
                          </w:p>
                        </w:tc>
                        <w:tc>
                          <w:tcPr>
                            <w:tcW w:w="4629" w:type="dxa"/>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16</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0" w:after="0"/>
        <w:rPr/>
      </w:pPr>
      <w:r>
        <w:rPr/>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1619885" cy="5008245"/>
                <wp:effectExtent l="0" t="0" r="0" b="0"/>
                <wp:wrapSquare wrapText="largest"/>
                <wp:docPr id="270" name="Frame17"/>
                <a:graphic xmlns:a="http://schemas.openxmlformats.org/drawingml/2006/main">
                  <a:graphicData uri="http://schemas.microsoft.com/office/word/2010/wordprocessingShape">
                    <wps:wsp>
                      <wps:cNvSpPr txBox="1"/>
                      <wps:spPr>
                        <a:xfrm>
                          <a:off x="0" y="0"/>
                          <a:ext cx="1619885" cy="5008245"/>
                        </a:xfrm>
                        <a:prstGeom prst="rect"/>
                      </wps:spPr>
                      <wps:txbx>
                        <w:txbxContent>
                          <w:tbl>
                            <w:tblPr>
                              <w:tblW w:w="3379" w:type="dxa"/>
                              <w:jc w:val="left"/>
                              <w:tblInd w:w="0" w:type="dxa"/>
                              <w:tblCellMar>
                                <w:top w:w="0" w:type="dxa"/>
                                <w:left w:w="0" w:type="dxa"/>
                                <w:bottom w:w="0" w:type="dxa"/>
                                <w:right w:w="28" w:type="dxa"/>
                              </w:tblCellMar>
                            </w:tblPr>
                            <w:tblGrid>
                              <w:gridCol w:w="329"/>
                              <w:gridCol w:w="2870"/>
                              <w:gridCol w:w="180"/>
                            </w:tblGrid>
                            <w:tr>
                              <w:trPr/>
                              <w:tc>
                                <w:tcPr>
                                  <w:tcW w:w="329" w:type="dxa"/>
                                  <w:tcBorders>
                                    <w:right w:val="single" w:sz="32" w:space="0" w:color="8EAD3C"/>
                                  </w:tcBorders>
                                  <w:shd w:fill="auto" w:val="clear"/>
                                  <w:vAlign w:val="center"/>
                                </w:tcPr>
                                <w:p>
                                  <w:pPr>
                                    <w:pStyle w:val="TableContents"/>
                                    <w:spacing w:before="0" w:after="283"/>
                                    <w:jc w:val="left"/>
                                    <w:rPr/>
                                  </w:pPr>
                                  <w:r>
                                    <w:rPr/>
                                    <w:t>   </w:t>
                                  </w:r>
                                </w:p>
                              </w:tc>
                              <w:tc>
                                <w:tcPr>
                                  <w:tcW w:w="2870"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3199" w:type="dxa"/>
                                  <w:gridSpan w:val="2"/>
                                  <w:tcBorders/>
                                  <w:shd w:fill="1A2343" w:val="clear"/>
                                  <w:tcMar>
                                    <w:right w:w="0" w:type="dxa"/>
                                  </w:tcMar>
                                  <w:vAlign w:val="center"/>
                                </w:tcPr>
                                <w:p>
                                  <w:pPr>
                                    <w:pStyle w:val="TableContents"/>
                                    <w:jc w:val="left"/>
                                    <w:rPr>
                                      <w:rFonts w:ascii="Arial" w:hAnsi="Arial"/>
                                      <w:b/>
                                      <w:color w:val="FFFFFF"/>
                                      <w:sz w:val="24"/>
                                    </w:rPr>
                                  </w:pPr>
                                  <w:r>
                                    <w:rPr>
                                      <w:rFonts w:ascii="Arial" w:hAnsi="Arial"/>
                                      <w:b/>
                                      <w:color w:val="FFFFFF"/>
                                      <w:sz w:val="24"/>
                                    </w:rPr>
                                    <w:t>LAUREN B.</w:t>
                                    <w:br/>
                                    <w:t>DILLARD</w:t>
                                  </w:r>
                                </w:p>
                                <w:p>
                                  <w:pPr>
                                    <w:pStyle w:val="TableContents"/>
                                    <w:jc w:val="left"/>
                                    <w:rPr/>
                                  </w:pPr>
                                  <w:r>
                                    <w:rPr/>
                                    <w:drawing>
                                      <wp:inline distT="0" distB="0" distL="0" distR="0">
                                        <wp:extent cx="1171575" cy="1476375"/>
                                        <wp:effectExtent l="0" t="0" r="0" b="0"/>
                                        <wp:docPr id="271"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06" descr=""/>
                                                <pic:cNvPicPr>
                                                  <a:picLocks noChangeAspect="1" noChangeArrowheads="1"/>
                                                </pic:cNvPicPr>
                                              </pic:nvPicPr>
                                              <pic:blipFill>
                                                <a:blip r:embed="rId207"/>
                                                <a:srcRect l="-860" t="-682" r="-860" b="-682"/>
                                                <a:stretch>
                                                  <a:fillRect/>
                                                </a:stretch>
                                              </pic:blipFill>
                                              <pic:spPr bwMode="auto">
                                                <a:xfrm>
                                                  <a:off x="0" y="0"/>
                                                  <a:ext cx="1171575" cy="1476375"/>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Independent Director</w:t>
                                  </w:r>
                                </w:p>
                                <w:p>
                                  <w:pPr>
                                    <w:pStyle w:val="TableContents"/>
                                    <w:jc w:val="left"/>
                                    <w:rPr/>
                                  </w:pPr>
                                  <w:r>
                                    <w:rPr>
                                      <w:rFonts w:ascii="Arial" w:hAnsi="Arial"/>
                                      <w:color w:val="FFFFFF"/>
                                      <w:sz w:val="20"/>
                                    </w:rPr>
                                    <w:t xml:space="preserve">Director Since: </w:t>
                                  </w:r>
                                  <w:r>
                                    <w:rPr>
                                      <w:rStyle w:val="StrongEmphasis"/>
                                      <w:rFonts w:ascii="Arial" w:hAnsi="Arial"/>
                                      <w:color w:val="FFFFFF"/>
                                      <w:sz w:val="20"/>
                                    </w:rPr>
                                    <w:t xml:space="preserve">2016 </w:t>
                                  </w:r>
                                </w:p>
                                <w:p>
                                  <w:pPr>
                                    <w:pStyle w:val="TableContents"/>
                                    <w:jc w:val="left"/>
                                    <w:rPr/>
                                  </w:pPr>
                                  <w:r>
                                    <w:rPr>
                                      <w:rFonts w:ascii="Arial" w:hAnsi="Arial"/>
                                      <w:color w:val="FFFFFF"/>
                                      <w:sz w:val="20"/>
                                    </w:rPr>
                                    <w:t xml:space="preserve">Age: </w:t>
                                  </w:r>
                                  <w:r>
                                    <w:rPr>
                                      <w:rStyle w:val="StrongEmphasis"/>
                                      <w:rFonts w:ascii="Arial" w:hAnsi="Arial"/>
                                      <w:color w:val="FFFFFF"/>
                                      <w:sz w:val="20"/>
                                    </w:rPr>
                                    <w:t xml:space="preserve">47 </w:t>
                                  </w:r>
                                </w:p>
                                <w:p>
                                  <w:pPr>
                                    <w:pStyle w:val="TableContents"/>
                                    <w:jc w:val="left"/>
                                    <w:rPr>
                                      <w:rFonts w:ascii="Arial" w:hAnsi="Arial"/>
                                      <w:color w:val="FFFFFF"/>
                                      <w:sz w:val="20"/>
                                    </w:rPr>
                                  </w:pPr>
                                  <w:r>
                                    <w:rPr>
                                      <w:rFonts w:ascii="Arial" w:hAnsi="Arial"/>
                                      <w:color w:val="FFFFFF"/>
                                      <w:sz w:val="20"/>
                                    </w:rPr>
                                    <w:t>SL Green</w:t>
                                    <w:br/>
                                    <w:t>Board Service:</w:t>
                                  </w:r>
                                </w:p>
                                <w:p>
                                  <w:pPr>
                                    <w:pStyle w:val="TableContents"/>
                                    <w:spacing w:before="0" w:after="0"/>
                                    <w:ind w:left="0" w:right="0" w:hanging="290"/>
                                    <w:jc w:val="left"/>
                                    <w:rPr/>
                                  </w:pPr>
                                  <w:r>
                                    <w:rPr>
                                      <w:color w:val="FFFFFF"/>
                                    </w:rPr>
                                    <w:t>●</w:t>
                                  </w:r>
                                  <w:r>
                                    <w:rPr>
                                      <w:rStyle w:val="StrongEmphasis"/>
                                      <w:rFonts w:ascii="arial" w:hAnsi="arial"/>
                                      <w:color w:val="FFFFFF"/>
                                      <w:sz w:val="20"/>
                                    </w:rPr>
                                    <w:t>Audit Committee</w:t>
                                  </w:r>
                                </w:p>
                                <w:p>
                                  <w:pPr>
                                    <w:pStyle w:val="TableContents"/>
                                    <w:spacing w:before="0" w:after="0"/>
                                    <w:ind w:left="0" w:right="0" w:hanging="290"/>
                                    <w:jc w:val="left"/>
                                    <w:rPr/>
                                  </w:pPr>
                                  <w:r>
                                    <w:rPr>
                                      <w:color w:val="FFFFFF"/>
                                    </w:rPr>
                                    <w:t>●</w:t>
                                  </w:r>
                                  <w:r>
                                    <w:rPr>
                                      <w:rStyle w:val="StrongEmphasis"/>
                                      <w:rFonts w:ascii="arial" w:hAnsi="arial"/>
                                      <w:color w:val="FFFFFF"/>
                                      <w:sz w:val="20"/>
                                    </w:rPr>
                                    <w:t>Compensation Committee, Chair</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329" w:type="dxa"/>
                                  <w:tcBorders/>
                                  <w:shd w:fill="auto" w:val="clear"/>
                                  <w:tcMar>
                                    <w:right w:w="0" w:type="dxa"/>
                                  </w:tcMar>
                                  <w:vAlign w:val="center"/>
                                </w:tcPr>
                                <w:p>
                                  <w:pPr>
                                    <w:pStyle w:val="TableContents"/>
                                    <w:spacing w:before="0" w:after="283"/>
                                    <w:jc w:val="left"/>
                                    <w:rPr/>
                                  </w:pPr>
                                  <w:r>
                                    <w:rPr/>
                                    <w:t> </w:t>
                                  </w:r>
                                </w:p>
                              </w:tc>
                              <w:tc>
                                <w:tcPr>
                                  <w:tcW w:w="2870"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25000</wp14:pctWidth>
                </wp14:sizeRelH>
              </wp:anchor>
            </w:drawing>
          </mc:Choice>
          <mc:Fallback>
            <w:pict>
              <v:rect style="position:absolute;rotation:0;width:127.55pt;height:394.35pt;mso-wrap-distance-left:0pt;mso-wrap-distance-right:0pt;mso-wrap-distance-top:0pt;mso-wrap-distance-bottom:0pt;margin-top:0pt;mso-position-vertical:top;mso-position-vertical-relative:text;margin-left:0pt;mso-position-horizontal:left;mso-position-horizontal-relative:text">
                <v:textbox>
                  <w:txbxContent>
                    <w:tbl>
                      <w:tblPr>
                        <w:tblW w:w="3379" w:type="dxa"/>
                        <w:jc w:val="left"/>
                        <w:tblInd w:w="0" w:type="dxa"/>
                        <w:tblCellMar>
                          <w:top w:w="0" w:type="dxa"/>
                          <w:left w:w="0" w:type="dxa"/>
                          <w:bottom w:w="0" w:type="dxa"/>
                          <w:right w:w="28" w:type="dxa"/>
                        </w:tblCellMar>
                      </w:tblPr>
                      <w:tblGrid>
                        <w:gridCol w:w="329"/>
                        <w:gridCol w:w="2870"/>
                        <w:gridCol w:w="180"/>
                      </w:tblGrid>
                      <w:tr>
                        <w:trPr/>
                        <w:tc>
                          <w:tcPr>
                            <w:tcW w:w="329" w:type="dxa"/>
                            <w:tcBorders>
                              <w:right w:val="single" w:sz="32" w:space="0" w:color="8EAD3C"/>
                            </w:tcBorders>
                            <w:shd w:fill="auto" w:val="clear"/>
                            <w:vAlign w:val="center"/>
                          </w:tcPr>
                          <w:p>
                            <w:pPr>
                              <w:pStyle w:val="TableContents"/>
                              <w:spacing w:before="0" w:after="283"/>
                              <w:jc w:val="left"/>
                              <w:rPr/>
                            </w:pPr>
                            <w:r>
                              <w:rPr/>
                              <w:t>   </w:t>
                            </w:r>
                          </w:p>
                        </w:tc>
                        <w:tc>
                          <w:tcPr>
                            <w:tcW w:w="2870"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3199" w:type="dxa"/>
                            <w:gridSpan w:val="2"/>
                            <w:tcBorders/>
                            <w:shd w:fill="1A2343" w:val="clear"/>
                            <w:tcMar>
                              <w:right w:w="0" w:type="dxa"/>
                            </w:tcMar>
                            <w:vAlign w:val="center"/>
                          </w:tcPr>
                          <w:p>
                            <w:pPr>
                              <w:pStyle w:val="TableContents"/>
                              <w:jc w:val="left"/>
                              <w:rPr>
                                <w:rFonts w:ascii="Arial" w:hAnsi="Arial"/>
                                <w:b/>
                                <w:color w:val="FFFFFF"/>
                                <w:sz w:val="24"/>
                              </w:rPr>
                            </w:pPr>
                            <w:r>
                              <w:rPr>
                                <w:rFonts w:ascii="Arial" w:hAnsi="Arial"/>
                                <w:b/>
                                <w:color w:val="FFFFFF"/>
                                <w:sz w:val="24"/>
                              </w:rPr>
                              <w:t>LAUREN B.</w:t>
                              <w:br/>
                              <w:t>DILLARD</w:t>
                            </w:r>
                          </w:p>
                          <w:p>
                            <w:pPr>
                              <w:pStyle w:val="TableContents"/>
                              <w:jc w:val="left"/>
                              <w:rPr/>
                            </w:pPr>
                            <w:r>
                              <w:rPr/>
                              <w:drawing>
                                <wp:inline distT="0" distB="0" distL="0" distR="0">
                                  <wp:extent cx="1171575" cy="1476375"/>
                                  <wp:effectExtent l="0" t="0" r="0" b="0"/>
                                  <wp:docPr id="272"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06" descr=""/>
                                          <pic:cNvPicPr>
                                            <a:picLocks noChangeAspect="1" noChangeArrowheads="1"/>
                                          </pic:cNvPicPr>
                                        </pic:nvPicPr>
                                        <pic:blipFill>
                                          <a:blip r:embed="rId207"/>
                                          <a:srcRect l="-860" t="-682" r="-860" b="-682"/>
                                          <a:stretch>
                                            <a:fillRect/>
                                          </a:stretch>
                                        </pic:blipFill>
                                        <pic:spPr bwMode="auto">
                                          <a:xfrm>
                                            <a:off x="0" y="0"/>
                                            <a:ext cx="1171575" cy="1476375"/>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Independent Director</w:t>
                            </w:r>
                          </w:p>
                          <w:p>
                            <w:pPr>
                              <w:pStyle w:val="TableContents"/>
                              <w:jc w:val="left"/>
                              <w:rPr/>
                            </w:pPr>
                            <w:r>
                              <w:rPr>
                                <w:rFonts w:ascii="Arial" w:hAnsi="Arial"/>
                                <w:color w:val="FFFFFF"/>
                                <w:sz w:val="20"/>
                              </w:rPr>
                              <w:t xml:space="preserve">Director Since: </w:t>
                            </w:r>
                            <w:r>
                              <w:rPr>
                                <w:rStyle w:val="StrongEmphasis"/>
                                <w:rFonts w:ascii="Arial" w:hAnsi="Arial"/>
                                <w:color w:val="FFFFFF"/>
                                <w:sz w:val="20"/>
                              </w:rPr>
                              <w:t xml:space="preserve">2016 </w:t>
                            </w:r>
                          </w:p>
                          <w:p>
                            <w:pPr>
                              <w:pStyle w:val="TableContents"/>
                              <w:jc w:val="left"/>
                              <w:rPr/>
                            </w:pPr>
                            <w:r>
                              <w:rPr>
                                <w:rFonts w:ascii="Arial" w:hAnsi="Arial"/>
                                <w:color w:val="FFFFFF"/>
                                <w:sz w:val="20"/>
                              </w:rPr>
                              <w:t xml:space="preserve">Age: </w:t>
                            </w:r>
                            <w:r>
                              <w:rPr>
                                <w:rStyle w:val="StrongEmphasis"/>
                                <w:rFonts w:ascii="Arial" w:hAnsi="Arial"/>
                                <w:color w:val="FFFFFF"/>
                                <w:sz w:val="20"/>
                              </w:rPr>
                              <w:t xml:space="preserve">47 </w:t>
                            </w:r>
                          </w:p>
                          <w:p>
                            <w:pPr>
                              <w:pStyle w:val="TableContents"/>
                              <w:jc w:val="left"/>
                              <w:rPr>
                                <w:rFonts w:ascii="Arial" w:hAnsi="Arial"/>
                                <w:color w:val="FFFFFF"/>
                                <w:sz w:val="20"/>
                              </w:rPr>
                            </w:pPr>
                            <w:r>
                              <w:rPr>
                                <w:rFonts w:ascii="Arial" w:hAnsi="Arial"/>
                                <w:color w:val="FFFFFF"/>
                                <w:sz w:val="20"/>
                              </w:rPr>
                              <w:t>SL Green</w:t>
                              <w:br/>
                              <w:t>Board Service:</w:t>
                            </w:r>
                          </w:p>
                          <w:p>
                            <w:pPr>
                              <w:pStyle w:val="TableContents"/>
                              <w:spacing w:before="0" w:after="0"/>
                              <w:ind w:left="0" w:right="0" w:hanging="290"/>
                              <w:jc w:val="left"/>
                              <w:rPr/>
                            </w:pPr>
                            <w:r>
                              <w:rPr>
                                <w:color w:val="FFFFFF"/>
                              </w:rPr>
                              <w:t>●</w:t>
                            </w:r>
                            <w:r>
                              <w:rPr>
                                <w:rStyle w:val="StrongEmphasis"/>
                                <w:rFonts w:ascii="arial" w:hAnsi="arial"/>
                                <w:color w:val="FFFFFF"/>
                                <w:sz w:val="20"/>
                              </w:rPr>
                              <w:t>Audit Committee</w:t>
                            </w:r>
                          </w:p>
                          <w:p>
                            <w:pPr>
                              <w:pStyle w:val="TableContents"/>
                              <w:spacing w:before="0" w:after="0"/>
                              <w:ind w:left="0" w:right="0" w:hanging="290"/>
                              <w:jc w:val="left"/>
                              <w:rPr/>
                            </w:pPr>
                            <w:r>
                              <w:rPr>
                                <w:color w:val="FFFFFF"/>
                              </w:rPr>
                              <w:t>●</w:t>
                            </w:r>
                            <w:r>
                              <w:rPr>
                                <w:rStyle w:val="StrongEmphasis"/>
                                <w:rFonts w:ascii="arial" w:hAnsi="arial"/>
                                <w:color w:val="FFFFFF"/>
                                <w:sz w:val="20"/>
                              </w:rPr>
                              <w:t>Compensation Committee, Chair</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329" w:type="dxa"/>
                            <w:tcBorders/>
                            <w:shd w:fill="auto" w:val="clear"/>
                            <w:tcMar>
                              <w:right w:w="0" w:type="dxa"/>
                            </w:tcMar>
                            <w:vAlign w:val="center"/>
                          </w:tcPr>
                          <w:p>
                            <w:pPr>
                              <w:pStyle w:val="TableContents"/>
                              <w:spacing w:before="0" w:after="283"/>
                              <w:jc w:val="left"/>
                              <w:rPr/>
                            </w:pPr>
                            <w:r>
                              <w:rPr/>
                              <w:t> </w:t>
                            </w:r>
                          </w:p>
                        </w:tc>
                        <w:tc>
                          <w:tcPr>
                            <w:tcW w:w="2870"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olumn">
                  <wp:align>right</wp:align>
                </wp:positionH>
                <wp:positionV relativeFrom="line">
                  <wp:posOffset>635</wp:posOffset>
                </wp:positionV>
                <wp:extent cx="4600575" cy="8007350"/>
                <wp:effectExtent l="0" t="0" r="0" b="0"/>
                <wp:wrapSquare wrapText="largest"/>
                <wp:docPr id="273" name="Frame18"/>
                <a:graphic xmlns:a="http://schemas.openxmlformats.org/drawingml/2006/main">
                  <a:graphicData uri="http://schemas.microsoft.com/office/word/2010/wordprocessingShape">
                    <wps:wsp>
                      <wps:cNvSpPr txBox="1"/>
                      <wps:spPr>
                        <a:xfrm>
                          <a:off x="0" y="0"/>
                          <a:ext cx="4600575" cy="8007350"/>
                        </a:xfrm>
                        <a:prstGeom prst="rect"/>
                      </wps:spPr>
                      <wps:txbx>
                        <w:txbxContent>
                          <w:tbl>
                            <w:tblPr>
                              <w:tblW w:w="10205" w:type="dxa"/>
                              <w:jc w:val="left"/>
                              <w:tblInd w:w="0" w:type="dxa"/>
                              <w:tblCellMar>
                                <w:top w:w="0" w:type="dxa"/>
                                <w:left w:w="0" w:type="dxa"/>
                                <w:bottom w:w="0" w:type="dxa"/>
                                <w:right w:w="0" w:type="dxa"/>
                              </w:tblCellMar>
                            </w:tblPr>
                            <w:tblGrid>
                              <w:gridCol w:w="1017"/>
                              <w:gridCol w:w="2989"/>
                              <w:gridCol w:w="1170"/>
                              <w:gridCol w:w="5029"/>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 xml:space="preserve">Ms. Dillard’s sophisticated understanding of tax, real estate, investment programs, finance, compensation and corporate governance, all viewed through the lens of over fifteen years of global private equity experience and together with her considerable operational expertise, provides the Board and the Company with deep and practical insight on a broad range of matters. </w:t>
                                  </w:r>
                                </w:p>
                              </w:tc>
                            </w:tr>
                            <w:tr>
                              <w:trPr/>
                              <w:tc>
                                <w:tcPr>
                                  <w:tcW w:w="1017" w:type="dxa"/>
                                  <w:tcBorders/>
                                  <w:shd w:fill="auto" w:val="clear"/>
                                  <w:vAlign w:val="center"/>
                                </w:tcPr>
                                <w:p>
                                  <w:pPr>
                                    <w:pStyle w:val="TableContents"/>
                                    <w:spacing w:before="0" w:after="283"/>
                                    <w:jc w:val="left"/>
                                    <w:rPr/>
                                  </w:pPr>
                                  <w:r>
                                    <w:rPr/>
                                    <w:t> </w:t>
                                  </w:r>
                                </w:p>
                              </w:tc>
                              <w:tc>
                                <w:tcPr>
                                  <w:tcW w:w="2989"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5029" w:type="dxa"/>
                                  <w:tcBorders/>
                                  <w:shd w:fill="auto" w:val="clear"/>
                                  <w:vAlign w:val="center"/>
                                </w:tcPr>
                                <w:p>
                                  <w:pPr>
                                    <w:pStyle w:val="TableContents"/>
                                    <w:spacing w:before="0" w:after="283"/>
                                    <w:rPr>
                                      <w:sz w:val="4"/>
                                      <w:szCs w:val="4"/>
                                    </w:rPr>
                                  </w:pPr>
                                  <w:r>
                                    <w:rPr>
                                      <w:sz w:val="4"/>
                                      <w:szCs w:val="4"/>
                                    </w:rPr>
                                  </w:r>
                                </w:p>
                              </w:tc>
                            </w:tr>
                            <w:tr>
                              <w:trPr/>
                              <w:tc>
                                <w:tcPr>
                                  <w:tcW w:w="1017"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298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170"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502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2"/>
                                    </w:rPr>
                                    <w:t>Professional Experience</w:t>
                                  </w:r>
                                </w:p>
                                <w:p>
                                  <w:pPr>
                                    <w:pStyle w:val="TableContents"/>
                                    <w:spacing w:before="0" w:after="0"/>
                                    <w:ind w:left="0" w:right="0" w:hanging="290"/>
                                    <w:jc w:val="left"/>
                                    <w:rPr/>
                                  </w:pPr>
                                  <w:r>
                                    <w:rPr>
                                      <w:color w:val="000000"/>
                                    </w:rPr>
                                    <w:t>●</w:t>
                                  </w:r>
                                  <w:r>
                                    <w:rPr>
                                      <w:rFonts w:ascii="Arial" w:hAnsi="Arial"/>
                                      <w:sz w:val="20"/>
                                    </w:rPr>
                                    <w:t xml:space="preserve">Senior Managing Director and Chief Financial Officer of Vista Equity Partners, a leading global investment firm focused exclusively on enterprise software, data and technology-enabled businesses, since April 2022 </w:t>
                                  </w:r>
                                </w:p>
                                <w:p>
                                  <w:pPr>
                                    <w:pStyle w:val="TableContents"/>
                                    <w:spacing w:before="0" w:after="0"/>
                                    <w:ind w:left="0" w:right="0" w:hanging="290"/>
                                    <w:jc w:val="left"/>
                                    <w:rPr/>
                                  </w:pPr>
                                  <w:r>
                                    <w:rPr>
                                      <w:color w:val="000000"/>
                                    </w:rPr>
                                    <w:t>●</w:t>
                                  </w:r>
                                  <w:r>
                                    <w:rPr>
                                      <w:rFonts w:ascii="Arial" w:hAnsi="Arial"/>
                                      <w:sz w:val="20"/>
                                    </w:rPr>
                                    <w:t>Executive Vice President of Investment Intelligence of Nasdaq, Inc., a global technology firm serving the capital markets and other industries, from June 2019 to April 2022</w:t>
                                  </w:r>
                                </w:p>
                                <w:p>
                                  <w:pPr>
                                    <w:pStyle w:val="TableContents"/>
                                    <w:spacing w:before="0" w:after="0"/>
                                    <w:ind w:left="0" w:right="0" w:hanging="290"/>
                                    <w:jc w:val="left"/>
                                    <w:rPr/>
                                  </w:pPr>
                                  <w:r>
                                    <w:rPr>
                                      <w:color w:val="000000"/>
                                    </w:rPr>
                                    <w:t>●</w:t>
                                  </w:r>
                                  <w:r>
                                    <w:rPr>
                                      <w:rFonts w:ascii="Arial" w:hAnsi="Arial"/>
                                      <w:sz w:val="20"/>
                                    </w:rPr>
                                    <w:t>Managing Director for the Carlyle Group, a global alternative asset manager, from 2011 to May 2019, head of Carlyles Investment Solutions Group from December 2015 to May 2019, and member of Carlyles Management Committee; joined Carlyle in 2002</w:t>
                                  </w:r>
                                </w:p>
                                <w:p>
                                  <w:pPr>
                                    <w:pStyle w:val="TableContents"/>
                                    <w:spacing w:before="0" w:after="0"/>
                                    <w:ind w:left="0" w:right="0" w:hanging="290"/>
                                    <w:jc w:val="left"/>
                                    <w:rPr/>
                                  </w:pPr>
                                  <w:r>
                                    <w:rPr>
                                      <w:color w:val="000000"/>
                                    </w:rPr>
                                    <w:t>●</w:t>
                                  </w:r>
                                  <w:r>
                                    <w:rPr>
                                      <w:rFonts w:ascii="Arial" w:hAnsi="Arial"/>
                                      <w:sz w:val="20"/>
                                    </w:rPr>
                                    <w:t>Chief Operating Officer and Chief Financial Officer of Carlyles Investment Solutions Group from 2013 to December 2015; former head of Global Tax Department and head of Global Equity Programs; and member of Carlyles Transaction Team where she played a significant role in transactions, including Carlyles initial public offering</w:t>
                                  </w:r>
                                </w:p>
                                <w:p>
                                  <w:pPr>
                                    <w:pStyle w:val="TableContents"/>
                                    <w:spacing w:before="0" w:after="0"/>
                                    <w:ind w:left="0" w:right="0" w:hanging="290"/>
                                    <w:jc w:val="left"/>
                                    <w:rPr/>
                                  </w:pPr>
                                  <w:r>
                                    <w:rPr>
                                      <w:color w:val="000000"/>
                                    </w:rPr>
                                    <w:t>●</w:t>
                                  </w:r>
                                  <w:r>
                                    <w:rPr>
                                      <w:rFonts w:ascii="Arial" w:hAnsi="Arial"/>
                                      <w:sz w:val="20"/>
                                    </w:rPr>
                                    <w:t>Served in the Real Estate and Financial Services Group of the Tax Practice of Arthur Andersen, LLP prior to 2002</w:t>
                                  </w:r>
                                </w:p>
                                <w:p>
                                  <w:pPr>
                                    <w:pStyle w:val="TableContents"/>
                                    <w:spacing w:before="0" w:after="0"/>
                                    <w:ind w:left="0" w:right="0" w:hanging="290"/>
                                    <w:jc w:val="left"/>
                                    <w:rPr/>
                                  </w:pPr>
                                  <w:r>
                                    <w:rPr>
                                      <w:color w:val="000000"/>
                                    </w:rPr>
                                    <w:t>●</w:t>
                                  </w:r>
                                  <w:r>
                                    <w:rPr>
                                      <w:rFonts w:ascii="Arial" w:hAnsi="Arial"/>
                                      <w:sz w:val="20"/>
                                    </w:rPr>
                                    <w:t>B.S. in business administration from the University of Richmond</w:t>
                                  </w:r>
                                </w:p>
                              </w:tc>
                            </w:tr>
                            <w:tr>
                              <w:trPr/>
                              <w:tc>
                                <w:tcPr>
                                  <w:tcW w:w="1017" w:type="dxa"/>
                                  <w:tcBorders/>
                                  <w:shd w:fill="auto" w:val="clear"/>
                                  <w:vAlign w:val="center"/>
                                </w:tcPr>
                                <w:p>
                                  <w:pPr>
                                    <w:pStyle w:val="TableContents"/>
                                    <w:spacing w:before="0" w:after="283"/>
                                    <w:jc w:val="left"/>
                                    <w:rPr/>
                                  </w:pPr>
                                  <w:r>
                                    <w:rPr/>
                                    <w:t> </w:t>
                                  </w:r>
                                </w:p>
                              </w:tc>
                              <w:tc>
                                <w:tcPr>
                                  <w:tcW w:w="2989"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5029" w:type="dxa"/>
                                  <w:tcBorders/>
                                  <w:shd w:fill="auto" w:val="clear"/>
                                  <w:vAlign w:val="center"/>
                                </w:tcPr>
                                <w:p>
                                  <w:pPr>
                                    <w:pStyle w:val="TableContents"/>
                                    <w:spacing w:before="0" w:after="283"/>
                                    <w:rPr>
                                      <w:sz w:val="4"/>
                                      <w:szCs w:val="4"/>
                                    </w:rPr>
                                  </w:pPr>
                                  <w:r>
                                    <w:rPr>
                                      <w:sz w:val="4"/>
                                      <w:szCs w:val="4"/>
                                    </w:rPr>
                                  </w:r>
                                </w:p>
                              </w:tc>
                            </w:tr>
                            <w:tr>
                              <w:trPr/>
                              <w:tc>
                                <w:tcPr>
                                  <w:tcW w:w="1017"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298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170"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502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1017" w:type="dxa"/>
                                  <w:tcBorders/>
                                  <w:shd w:fill="auto" w:val="clear"/>
                                  <w:vAlign w:val="center"/>
                                </w:tcPr>
                                <w:p>
                                  <w:pPr>
                                    <w:pStyle w:val="TableContents"/>
                                    <w:spacing w:before="0" w:after="283"/>
                                    <w:jc w:val="center"/>
                                    <w:rPr/>
                                  </w:pPr>
                                  <w:r>
                                    <w:rPr/>
                                    <w:drawing>
                                      <wp:inline distT="0" distB="0" distL="0" distR="0">
                                        <wp:extent cx="295275" cy="323850"/>
                                        <wp:effectExtent l="0" t="0" r="0" b="0"/>
                                        <wp:docPr id="274"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07" descr=""/>
                                                <pic:cNvPicPr>
                                                  <a:picLocks noChangeAspect="1" noChangeArrowheads="1"/>
                                                </pic:cNvPicPr>
                                              </pic:nvPicPr>
                                              <pic:blipFill>
                                                <a:blip r:embed="rId208"/>
                                                <a:srcRect l="-3414" t="-3111" r="-3414" b="-3111"/>
                                                <a:stretch>
                                                  <a:fillRect/>
                                                </a:stretch>
                                              </pic:blipFill>
                                              <pic:spPr bwMode="auto">
                                                <a:xfrm>
                                                  <a:off x="0" y="0"/>
                                                  <a:ext cx="295275" cy="323850"/>
                                                </a:xfrm>
                                                <a:prstGeom prst="rect">
                                                  <a:avLst/>
                                                </a:prstGeom>
                                                <a:ln w="635">
                                                  <a:solidFill>
                                                    <a:srgbClr val="000000"/>
                                                  </a:solidFill>
                                                </a:ln>
                                              </pic:spPr>
                                            </pic:pic>
                                          </a:graphicData>
                                        </a:graphic>
                                      </wp:inline>
                                    </w:drawing>
                                  </w:r>
                                </w:p>
                              </w:tc>
                              <w:tc>
                                <w:tcPr>
                                  <w:tcW w:w="2989"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c>
                                <w:tcPr>
                                  <w:tcW w:w="1170" w:type="dxa"/>
                                  <w:tcBorders/>
                                  <w:shd w:fill="auto" w:val="clear"/>
                                  <w:vAlign w:val="center"/>
                                </w:tcPr>
                                <w:p>
                                  <w:pPr>
                                    <w:pStyle w:val="TableContents"/>
                                    <w:spacing w:before="0" w:after="283"/>
                                    <w:jc w:val="center"/>
                                    <w:rPr/>
                                  </w:pPr>
                                  <w:r>
                                    <w:rPr/>
                                    <w:drawing>
                                      <wp:inline distT="0" distB="0" distL="0" distR="0">
                                        <wp:extent cx="352425" cy="342900"/>
                                        <wp:effectExtent l="0" t="0" r="0" b="0"/>
                                        <wp:docPr id="275"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08" descr=""/>
                                                <pic:cNvPicPr>
                                                  <a:picLocks noChangeAspect="1" noChangeArrowheads="1"/>
                                                </pic:cNvPicPr>
                                              </pic:nvPicPr>
                                              <pic:blipFill>
                                                <a:blip r:embed="rId209"/>
                                                <a:srcRect l="-2860" t="-2938" r="-2860" b="-2938"/>
                                                <a:stretch>
                                                  <a:fillRect/>
                                                </a:stretch>
                                              </pic:blipFill>
                                              <pic:spPr bwMode="auto">
                                                <a:xfrm>
                                                  <a:off x="0" y="0"/>
                                                  <a:ext cx="352425" cy="342900"/>
                                                </a:xfrm>
                                                <a:prstGeom prst="rect">
                                                  <a:avLst/>
                                                </a:prstGeom>
                                                <a:ln w="635">
                                                  <a:solidFill>
                                                    <a:srgbClr val="000000"/>
                                                  </a:solidFill>
                                                </a:ln>
                                              </pic:spPr>
                                            </pic:pic>
                                          </a:graphicData>
                                        </a:graphic>
                                      </wp:inline>
                                    </w:drawing>
                                  </w:r>
                                </w:p>
                              </w:tc>
                              <w:tc>
                                <w:tcPr>
                                  <w:tcW w:w="5029" w:type="dxa"/>
                                  <w:tcBorders/>
                                  <w:shd w:fill="auto" w:val="clear"/>
                                  <w:vAlign w:val="center"/>
                                </w:tcPr>
                                <w:p>
                                  <w:pPr>
                                    <w:pStyle w:val="TableContents"/>
                                    <w:spacing w:before="0" w:after="283"/>
                                    <w:jc w:val="left"/>
                                    <w:rPr>
                                      <w:rFonts w:ascii="Arial" w:hAnsi="Arial"/>
                                      <w:sz w:val="20"/>
                                    </w:rPr>
                                  </w:pPr>
                                  <w:r>
                                    <w:rPr>
                                      <w:rFonts w:ascii="Arial" w:hAnsi="Arial"/>
                                      <w:sz w:val="20"/>
                                    </w:rPr>
                                    <w:t>Finance/Capital Markets</w:t>
                                  </w:r>
                                </w:p>
                              </w:tc>
                            </w:tr>
                            <w:tr>
                              <w:trPr/>
                              <w:tc>
                                <w:tcPr>
                                  <w:tcW w:w="1017" w:type="dxa"/>
                                  <w:tcBorders/>
                                  <w:shd w:fill="auto" w:val="clear"/>
                                  <w:vAlign w:val="center"/>
                                </w:tcPr>
                                <w:p>
                                  <w:pPr>
                                    <w:pStyle w:val="TableContents"/>
                                    <w:spacing w:before="0" w:after="283"/>
                                    <w:jc w:val="center"/>
                                    <w:rPr/>
                                  </w:pPr>
                                  <w:r>
                                    <w:rPr/>
                                    <w:drawing>
                                      <wp:inline distT="0" distB="0" distL="0" distR="0">
                                        <wp:extent cx="333375" cy="342900"/>
                                        <wp:effectExtent l="0" t="0" r="0" b="0"/>
                                        <wp:docPr id="276"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09" descr=""/>
                                                <pic:cNvPicPr>
                                                  <a:picLocks noChangeAspect="1" noChangeArrowheads="1"/>
                                                </pic:cNvPicPr>
                                              </pic:nvPicPr>
                                              <pic:blipFill>
                                                <a:blip r:embed="rId210"/>
                                                <a:srcRect l="-3023" t="-2938" r="-3023" b="-2938"/>
                                                <a:stretch>
                                                  <a:fillRect/>
                                                </a:stretch>
                                              </pic:blipFill>
                                              <pic:spPr bwMode="auto">
                                                <a:xfrm>
                                                  <a:off x="0" y="0"/>
                                                  <a:ext cx="333375" cy="342900"/>
                                                </a:xfrm>
                                                <a:prstGeom prst="rect">
                                                  <a:avLst/>
                                                </a:prstGeom>
                                                <a:ln w="635">
                                                  <a:solidFill>
                                                    <a:srgbClr val="000000"/>
                                                  </a:solidFill>
                                                </a:ln>
                                              </pic:spPr>
                                            </pic:pic>
                                          </a:graphicData>
                                        </a:graphic>
                                      </wp:inline>
                                    </w:drawing>
                                  </w:r>
                                </w:p>
                              </w:tc>
                              <w:tc>
                                <w:tcPr>
                                  <w:tcW w:w="2989"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1170" w:type="dxa"/>
                                  <w:tcBorders/>
                                  <w:shd w:fill="auto" w:val="clear"/>
                                  <w:vAlign w:val="center"/>
                                </w:tcPr>
                                <w:p>
                                  <w:pPr>
                                    <w:pStyle w:val="TableContents"/>
                                    <w:spacing w:before="0" w:after="283"/>
                                    <w:jc w:val="center"/>
                                    <w:rPr/>
                                  </w:pPr>
                                  <w:r>
                                    <w:rPr/>
                                    <w:drawing>
                                      <wp:inline distT="0" distB="0" distL="0" distR="0">
                                        <wp:extent cx="400050" cy="400050"/>
                                        <wp:effectExtent l="0" t="0" r="0" b="0"/>
                                        <wp:docPr id="277"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10" descr=""/>
                                                <pic:cNvPicPr>
                                                  <a:picLocks noChangeAspect="1" noChangeArrowheads="1"/>
                                                </pic:cNvPicPr>
                                              </pic:nvPicPr>
                                              <pic:blipFill>
                                                <a:blip r:embed="rId211"/>
                                                <a:srcRect l="-2520" t="-2520" r="-2520" b="-2520"/>
                                                <a:stretch>
                                                  <a:fillRect/>
                                                </a:stretch>
                                              </pic:blipFill>
                                              <pic:spPr bwMode="auto">
                                                <a:xfrm>
                                                  <a:off x="0" y="0"/>
                                                  <a:ext cx="400050" cy="400050"/>
                                                </a:xfrm>
                                                <a:prstGeom prst="rect">
                                                  <a:avLst/>
                                                </a:prstGeom>
                                                <a:ln w="635">
                                                  <a:solidFill>
                                                    <a:srgbClr val="000000"/>
                                                  </a:solidFill>
                                                </a:ln>
                                              </pic:spPr>
                                            </pic:pic>
                                          </a:graphicData>
                                        </a:graphic>
                                      </wp:inline>
                                    </w:drawing>
                                  </w:r>
                                </w:p>
                              </w:tc>
                              <w:tc>
                                <w:tcPr>
                                  <w:tcW w:w="5029" w:type="dxa"/>
                                  <w:tcBorders/>
                                  <w:shd w:fill="auto" w:val="clear"/>
                                  <w:vAlign w:val="center"/>
                                </w:tcPr>
                                <w:p>
                                  <w:pPr>
                                    <w:pStyle w:val="TableContents"/>
                                    <w:spacing w:before="0" w:after="283"/>
                                    <w:jc w:val="left"/>
                                    <w:rPr>
                                      <w:rFonts w:ascii="Arial" w:hAnsi="Arial"/>
                                      <w:sz w:val="20"/>
                                    </w:rPr>
                                  </w:pPr>
                                  <w:r>
                                    <w:rPr>
                                      <w:rFonts w:ascii="Arial" w:hAnsi="Arial"/>
                                      <w:sz w:val="20"/>
                                    </w:rPr>
                                    <w:t>Public Company Board Service/Corporate Governance</w:t>
                                  </w:r>
                                </w:p>
                              </w:tc>
                            </w:tr>
                            <w:tr>
                              <w:trPr/>
                              <w:tc>
                                <w:tcPr>
                                  <w:tcW w:w="1017" w:type="dxa"/>
                                  <w:tcBorders/>
                                  <w:shd w:fill="auto" w:val="clear"/>
                                  <w:vAlign w:val="center"/>
                                </w:tcPr>
                                <w:p>
                                  <w:pPr>
                                    <w:pStyle w:val="TableContents"/>
                                    <w:spacing w:before="0" w:after="283"/>
                                    <w:jc w:val="center"/>
                                    <w:rPr/>
                                  </w:pPr>
                                  <w:r>
                                    <w:rPr/>
                                    <w:drawing>
                                      <wp:inline distT="0" distB="0" distL="0" distR="0">
                                        <wp:extent cx="352425" cy="333375"/>
                                        <wp:effectExtent l="0" t="0" r="0" b="0"/>
                                        <wp:docPr id="278"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11" descr=""/>
                                                <pic:cNvPicPr>
                                                  <a:picLocks noChangeAspect="1" noChangeArrowheads="1"/>
                                                </pic:cNvPicPr>
                                              </pic:nvPicPr>
                                              <pic:blipFill>
                                                <a:blip r:embed="rId212"/>
                                                <a:srcRect l="-2860" t="-3023" r="-2860" b="-3023"/>
                                                <a:stretch>
                                                  <a:fillRect/>
                                                </a:stretch>
                                              </pic:blipFill>
                                              <pic:spPr bwMode="auto">
                                                <a:xfrm>
                                                  <a:off x="0" y="0"/>
                                                  <a:ext cx="352425" cy="333375"/>
                                                </a:xfrm>
                                                <a:prstGeom prst="rect">
                                                  <a:avLst/>
                                                </a:prstGeom>
                                                <a:ln w="635">
                                                  <a:solidFill>
                                                    <a:srgbClr val="000000"/>
                                                  </a:solidFill>
                                                </a:ln>
                                              </pic:spPr>
                                            </pic:pic>
                                          </a:graphicData>
                                        </a:graphic>
                                      </wp:inline>
                                    </w:drawing>
                                  </w:r>
                                </w:p>
                              </w:tc>
                              <w:tc>
                                <w:tcPr>
                                  <w:tcW w:w="2989" w:type="dxa"/>
                                  <w:tcBorders/>
                                  <w:shd w:fill="auto" w:val="clear"/>
                                  <w:vAlign w:val="center"/>
                                </w:tcPr>
                                <w:p>
                                  <w:pPr>
                                    <w:pStyle w:val="TableContents"/>
                                    <w:spacing w:before="0" w:after="283"/>
                                    <w:jc w:val="left"/>
                                    <w:rPr>
                                      <w:rFonts w:ascii="Arial" w:hAnsi="Arial"/>
                                      <w:sz w:val="20"/>
                                    </w:rPr>
                                  </w:pPr>
                                  <w:r>
                                    <w:rPr>
                                      <w:rFonts w:ascii="Arial" w:hAnsi="Arial"/>
                                      <w:sz w:val="20"/>
                                    </w:rPr>
                                    <w:t>REIT/Real Estate Industry</w:t>
                                  </w:r>
                                </w:p>
                              </w:tc>
                              <w:tc>
                                <w:tcPr>
                                  <w:tcW w:w="1170" w:type="dxa"/>
                                  <w:tcBorders/>
                                  <w:shd w:fill="auto" w:val="clear"/>
                                  <w:vAlign w:val="center"/>
                                </w:tcPr>
                                <w:p>
                                  <w:pPr>
                                    <w:pStyle w:val="TableContents"/>
                                    <w:spacing w:before="0" w:after="283"/>
                                    <w:jc w:val="center"/>
                                    <w:rPr/>
                                  </w:pPr>
                                  <w:r>
                                    <w:rPr/>
                                    <w:drawing>
                                      <wp:inline distT="0" distB="0" distL="0" distR="0">
                                        <wp:extent cx="333375" cy="323850"/>
                                        <wp:effectExtent l="0" t="0" r="0" b="0"/>
                                        <wp:docPr id="279"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12" descr=""/>
                                                <pic:cNvPicPr>
                                                  <a:picLocks noChangeAspect="1" noChangeArrowheads="1"/>
                                                </pic:cNvPicPr>
                                              </pic:nvPicPr>
                                              <pic:blipFill>
                                                <a:blip r:embed="rId213"/>
                                                <a:srcRect l="-3023" t="-3111" r="-3023" b="-3111"/>
                                                <a:stretch>
                                                  <a:fillRect/>
                                                </a:stretch>
                                              </pic:blipFill>
                                              <pic:spPr bwMode="auto">
                                                <a:xfrm>
                                                  <a:off x="0" y="0"/>
                                                  <a:ext cx="333375" cy="323850"/>
                                                </a:xfrm>
                                                <a:prstGeom prst="rect">
                                                  <a:avLst/>
                                                </a:prstGeom>
                                                <a:ln w="635">
                                                  <a:solidFill>
                                                    <a:srgbClr val="000000"/>
                                                  </a:solidFill>
                                                </a:ln>
                                              </pic:spPr>
                                            </pic:pic>
                                          </a:graphicData>
                                        </a:graphic>
                                      </wp:inline>
                                    </w:drawing>
                                  </w:r>
                                </w:p>
                              </w:tc>
                              <w:tc>
                                <w:tcPr>
                                  <w:tcW w:w="5029" w:type="dxa"/>
                                  <w:tcBorders/>
                                  <w:shd w:fill="auto" w:val="clear"/>
                                  <w:vAlign w:val="center"/>
                                </w:tcPr>
                                <w:p>
                                  <w:pPr>
                                    <w:pStyle w:val="TableContents"/>
                                    <w:spacing w:before="0" w:after="283"/>
                                    <w:jc w:val="left"/>
                                    <w:rPr>
                                      <w:rFonts w:ascii="Arial" w:hAnsi="Arial"/>
                                      <w:sz w:val="20"/>
                                    </w:rPr>
                                  </w:pPr>
                                  <w:r>
                                    <w:rPr>
                                      <w:rFonts w:ascii="Arial" w:hAnsi="Arial"/>
                                      <w:sz w:val="20"/>
                                    </w:rPr>
                                    <w:t xml:space="preserve">Experience Over Several Business Cycles </w:t>
                                  </w:r>
                                </w:p>
                              </w:tc>
                            </w:tr>
                            <w:tr>
                              <w:trPr/>
                              <w:tc>
                                <w:tcPr>
                                  <w:tcW w:w="1017" w:type="dxa"/>
                                  <w:tcBorders/>
                                  <w:shd w:fill="auto" w:val="clear"/>
                                  <w:vAlign w:val="center"/>
                                </w:tcPr>
                                <w:p>
                                  <w:pPr>
                                    <w:pStyle w:val="TableContents"/>
                                    <w:spacing w:before="0" w:after="283"/>
                                    <w:jc w:val="center"/>
                                    <w:rPr/>
                                  </w:pPr>
                                  <w:r>
                                    <w:rPr/>
                                    <w:drawing>
                                      <wp:inline distT="0" distB="0" distL="0" distR="0">
                                        <wp:extent cx="295275" cy="304800"/>
                                        <wp:effectExtent l="0" t="0" r="0" b="0"/>
                                        <wp:docPr id="280"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13" descr=""/>
                                                <pic:cNvPicPr>
                                                  <a:picLocks noChangeAspect="1" noChangeArrowheads="1"/>
                                                </pic:cNvPicPr>
                                              </pic:nvPicPr>
                                              <pic:blipFill>
                                                <a:blip r:embed="rId214"/>
                                                <a:srcRect l="-3414" t="-3305" r="-3414" b="-3305"/>
                                                <a:stretch>
                                                  <a:fillRect/>
                                                </a:stretch>
                                              </pic:blipFill>
                                              <pic:spPr bwMode="auto">
                                                <a:xfrm>
                                                  <a:off x="0" y="0"/>
                                                  <a:ext cx="295275" cy="304800"/>
                                                </a:xfrm>
                                                <a:prstGeom prst="rect">
                                                  <a:avLst/>
                                                </a:prstGeom>
                                                <a:ln w="635">
                                                  <a:solidFill>
                                                    <a:srgbClr val="000000"/>
                                                  </a:solidFill>
                                                </a:ln>
                                              </pic:spPr>
                                            </pic:pic>
                                          </a:graphicData>
                                        </a:graphic>
                                      </wp:inline>
                                    </w:drawing>
                                  </w:r>
                                </w:p>
                              </w:tc>
                              <w:tc>
                                <w:tcPr>
                                  <w:tcW w:w="2989" w:type="dxa"/>
                                  <w:tcBorders/>
                                  <w:shd w:fill="auto" w:val="clear"/>
                                  <w:vAlign w:val="center"/>
                                </w:tcPr>
                                <w:p>
                                  <w:pPr>
                                    <w:pStyle w:val="TableContents"/>
                                    <w:spacing w:before="0" w:after="283"/>
                                    <w:jc w:val="left"/>
                                    <w:rPr>
                                      <w:rFonts w:ascii="Arial" w:hAnsi="Arial"/>
                                      <w:sz w:val="20"/>
                                    </w:rPr>
                                  </w:pPr>
                                  <w:r>
                                    <w:rPr>
                                      <w:rFonts w:ascii="Arial" w:hAnsi="Arial"/>
                                      <w:sz w:val="20"/>
                                    </w:rPr>
                                    <w:t xml:space="preserve">Talent Management </w:t>
                                  </w:r>
                                </w:p>
                              </w:tc>
                              <w:tc>
                                <w:tcPr>
                                  <w:tcW w:w="1170" w:type="dxa"/>
                                  <w:tcBorders/>
                                  <w:shd w:fill="auto" w:val="clear"/>
                                  <w:vAlign w:val="center"/>
                                </w:tcPr>
                                <w:p>
                                  <w:pPr>
                                    <w:pStyle w:val="TableContents"/>
                                    <w:spacing w:before="0" w:after="283"/>
                                    <w:jc w:val="center"/>
                                    <w:rPr/>
                                  </w:pPr>
                                  <w:r>
                                    <w:rPr/>
                                    <w:drawing>
                                      <wp:inline distT="0" distB="0" distL="0" distR="0">
                                        <wp:extent cx="323850" cy="342900"/>
                                        <wp:effectExtent l="0" t="0" r="0" b="0"/>
                                        <wp:docPr id="281"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14" descr=""/>
                                                <pic:cNvPicPr>
                                                  <a:picLocks noChangeAspect="1" noChangeArrowheads="1"/>
                                                </pic:cNvPicPr>
                                              </pic:nvPicPr>
                                              <pic:blipFill>
                                                <a:blip r:embed="rId215"/>
                                                <a:srcRect l="-3111" t="-2938" r="-3111" b="-2938"/>
                                                <a:stretch>
                                                  <a:fillRect/>
                                                </a:stretch>
                                              </pic:blipFill>
                                              <pic:spPr bwMode="auto">
                                                <a:xfrm>
                                                  <a:off x="0" y="0"/>
                                                  <a:ext cx="323850" cy="342900"/>
                                                </a:xfrm>
                                                <a:prstGeom prst="rect">
                                                  <a:avLst/>
                                                </a:prstGeom>
                                                <a:ln w="635">
                                                  <a:solidFill>
                                                    <a:srgbClr val="000000"/>
                                                  </a:solidFill>
                                                </a:ln>
                                              </pic:spPr>
                                            </pic:pic>
                                          </a:graphicData>
                                        </a:graphic>
                                      </wp:inline>
                                    </w:drawing>
                                  </w:r>
                                </w:p>
                              </w:tc>
                              <w:tc>
                                <w:tcPr>
                                  <w:tcW w:w="5029" w:type="dxa"/>
                                  <w:tcBorders/>
                                  <w:shd w:fill="auto" w:val="clear"/>
                                  <w:vAlign w:val="center"/>
                                </w:tcPr>
                                <w:p>
                                  <w:pPr>
                                    <w:pStyle w:val="TableContents"/>
                                    <w:spacing w:before="0" w:after="283"/>
                                    <w:jc w:val="left"/>
                                    <w:rPr>
                                      <w:rFonts w:ascii="Arial" w:hAnsi="Arial"/>
                                      <w:sz w:val="20"/>
                                    </w:rPr>
                                  </w:pPr>
                                  <w:r>
                                    <w:rPr>
                                      <w:rFonts w:ascii="Arial" w:hAnsi="Arial"/>
                                      <w:sz w:val="20"/>
                                    </w:rPr>
                                    <w:t>Accounting</w:t>
                                  </w:r>
                                </w:p>
                              </w:tc>
                            </w:tr>
                            <w:tr>
                              <w:trPr/>
                              <w:tc>
                                <w:tcPr>
                                  <w:tcW w:w="1017" w:type="dxa"/>
                                  <w:tcBorders/>
                                  <w:shd w:fill="auto" w:val="clear"/>
                                  <w:vAlign w:val="center"/>
                                </w:tcPr>
                                <w:p>
                                  <w:pPr>
                                    <w:pStyle w:val="TableContents"/>
                                    <w:spacing w:before="0" w:after="283"/>
                                    <w:jc w:val="center"/>
                                    <w:rPr/>
                                  </w:pPr>
                                  <w:r>
                                    <w:rPr/>
                                    <w:drawing>
                                      <wp:inline distT="0" distB="0" distL="0" distR="0">
                                        <wp:extent cx="390525" cy="323850"/>
                                        <wp:effectExtent l="0" t="0" r="0" b="0"/>
                                        <wp:docPr id="282"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15" descr=""/>
                                                <pic:cNvPicPr>
                                                  <a:picLocks noChangeAspect="1" noChangeArrowheads="1"/>
                                                </pic:cNvPicPr>
                                              </pic:nvPicPr>
                                              <pic:blipFill>
                                                <a:blip r:embed="rId216"/>
                                                <a:srcRect l="-2580" t="-3111" r="-2580" b="-3111"/>
                                                <a:stretch>
                                                  <a:fillRect/>
                                                </a:stretch>
                                              </pic:blipFill>
                                              <pic:spPr bwMode="auto">
                                                <a:xfrm>
                                                  <a:off x="0" y="0"/>
                                                  <a:ext cx="390525" cy="323850"/>
                                                </a:xfrm>
                                                <a:prstGeom prst="rect">
                                                  <a:avLst/>
                                                </a:prstGeom>
                                                <a:ln w="635">
                                                  <a:solidFill>
                                                    <a:srgbClr val="000000"/>
                                                  </a:solidFill>
                                                </a:ln>
                                              </pic:spPr>
                                            </pic:pic>
                                          </a:graphicData>
                                        </a:graphic>
                                      </wp:inline>
                                    </w:drawing>
                                  </w:r>
                                </w:p>
                              </w:tc>
                              <w:tc>
                                <w:tcPr>
                                  <w:tcW w:w="2989" w:type="dxa"/>
                                  <w:tcBorders/>
                                  <w:shd w:fill="auto" w:val="clear"/>
                                  <w:vAlign w:val="center"/>
                                </w:tcPr>
                                <w:p>
                                  <w:pPr>
                                    <w:pStyle w:val="TableContents"/>
                                    <w:spacing w:before="0" w:after="283"/>
                                    <w:jc w:val="left"/>
                                    <w:rPr>
                                      <w:rFonts w:ascii="Arial" w:hAnsi="Arial"/>
                                      <w:sz w:val="20"/>
                                    </w:rPr>
                                  </w:pPr>
                                  <w:r>
                                    <w:rPr>
                                      <w:rFonts w:ascii="Arial" w:hAnsi="Arial"/>
                                      <w:sz w:val="20"/>
                                    </w:rPr>
                                    <w:t>Technology/Cybersecurity</w:t>
                                  </w:r>
                                </w:p>
                              </w:tc>
                              <w:tc>
                                <w:tcPr>
                                  <w:tcW w:w="1170" w:type="dxa"/>
                                  <w:tcBorders/>
                                  <w:shd w:fill="auto" w:val="clear"/>
                                  <w:vAlign w:val="center"/>
                                </w:tcPr>
                                <w:p>
                                  <w:pPr>
                                    <w:pStyle w:val="TableContents"/>
                                    <w:spacing w:before="0" w:after="283"/>
                                    <w:jc w:val="center"/>
                                    <w:rPr/>
                                  </w:pPr>
                                  <w:r>
                                    <w:rPr/>
                                    <w:drawing>
                                      <wp:inline distT="0" distB="0" distL="0" distR="0">
                                        <wp:extent cx="428625" cy="419100"/>
                                        <wp:effectExtent l="0" t="0" r="0" b="0"/>
                                        <wp:docPr id="283"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16" descr=""/>
                                                <pic:cNvPicPr>
                                                  <a:picLocks noChangeAspect="1" noChangeArrowheads="1"/>
                                                </pic:cNvPicPr>
                                              </pic:nvPicPr>
                                              <pic:blipFill>
                                                <a:blip r:embed="rId217"/>
                                                <a:srcRect l="-2350" t="-2405" r="-2350" b="-2405"/>
                                                <a:stretch>
                                                  <a:fillRect/>
                                                </a:stretch>
                                              </pic:blipFill>
                                              <pic:spPr bwMode="auto">
                                                <a:xfrm>
                                                  <a:off x="0" y="0"/>
                                                  <a:ext cx="428625" cy="419100"/>
                                                </a:xfrm>
                                                <a:prstGeom prst="rect">
                                                  <a:avLst/>
                                                </a:prstGeom>
                                                <a:ln w="635">
                                                  <a:solidFill>
                                                    <a:srgbClr val="000000"/>
                                                  </a:solidFill>
                                                </a:ln>
                                              </pic:spPr>
                                            </pic:pic>
                                          </a:graphicData>
                                        </a:graphic>
                                      </wp:inline>
                                    </w:drawing>
                                  </w:r>
                                  <w:r>
                                    <w:rPr/>
                                    <w:t xml:space="preserve"> </w:t>
                                  </w:r>
                                </w:p>
                              </w:tc>
                              <w:tc>
                                <w:tcPr>
                                  <w:tcW w:w="5029" w:type="dxa"/>
                                  <w:tcBorders/>
                                  <w:shd w:fill="auto" w:val="clear"/>
                                  <w:vAlign w:val="center"/>
                                </w:tcPr>
                                <w:p>
                                  <w:pPr>
                                    <w:pStyle w:val="TableContents"/>
                                    <w:spacing w:before="0" w:after="283"/>
                                    <w:jc w:val="left"/>
                                    <w:rPr>
                                      <w:rFonts w:ascii="Arial" w:hAnsi="Arial"/>
                                      <w:sz w:val="20"/>
                                    </w:rPr>
                                  </w:pPr>
                                  <w:r>
                                    <w:rPr>
                                      <w:rFonts w:ascii="Arial" w:hAnsi="Arial"/>
                                      <w:sz w:val="20"/>
                                    </w:rPr>
                                    <w:t xml:space="preserve">Diversity </w:t>
                                  </w:r>
                                </w:p>
                              </w:tc>
                            </w:tr>
                          </w:tbl>
                          <w:p>
                            <w:pPr>
                              <w:pStyle w:val="TextBody"/>
                              <w:spacing w:before="0" w:after="283"/>
                              <w:rPr/>
                            </w:pPr>
                            <w:r>
                              <w:rPr/>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630.5pt;mso-wrap-distance-left:0pt;mso-wrap-distance-right:0pt;mso-wrap-distance-top:0pt;mso-wrap-distance-bottom:0pt;margin-top:0pt;mso-position-vertical:top;mso-position-vertical-relative:text;margin-left:148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1017"/>
                        <w:gridCol w:w="2989"/>
                        <w:gridCol w:w="1170"/>
                        <w:gridCol w:w="5029"/>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 xml:space="preserve">Ms. Dillard’s sophisticated understanding of tax, real estate, investment programs, finance, compensation and corporate governance, all viewed through the lens of over fifteen years of global private equity experience and together with her considerable operational expertise, provides the Board and the Company with deep and practical insight on a broad range of matters. </w:t>
                            </w:r>
                          </w:p>
                        </w:tc>
                      </w:tr>
                      <w:tr>
                        <w:trPr/>
                        <w:tc>
                          <w:tcPr>
                            <w:tcW w:w="1017" w:type="dxa"/>
                            <w:tcBorders/>
                            <w:shd w:fill="auto" w:val="clear"/>
                            <w:vAlign w:val="center"/>
                          </w:tcPr>
                          <w:p>
                            <w:pPr>
                              <w:pStyle w:val="TableContents"/>
                              <w:spacing w:before="0" w:after="283"/>
                              <w:jc w:val="left"/>
                              <w:rPr/>
                            </w:pPr>
                            <w:r>
                              <w:rPr/>
                              <w:t> </w:t>
                            </w:r>
                          </w:p>
                        </w:tc>
                        <w:tc>
                          <w:tcPr>
                            <w:tcW w:w="2989"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5029" w:type="dxa"/>
                            <w:tcBorders/>
                            <w:shd w:fill="auto" w:val="clear"/>
                            <w:vAlign w:val="center"/>
                          </w:tcPr>
                          <w:p>
                            <w:pPr>
                              <w:pStyle w:val="TableContents"/>
                              <w:spacing w:before="0" w:after="283"/>
                              <w:rPr>
                                <w:sz w:val="4"/>
                                <w:szCs w:val="4"/>
                              </w:rPr>
                            </w:pPr>
                            <w:r>
                              <w:rPr>
                                <w:sz w:val="4"/>
                                <w:szCs w:val="4"/>
                              </w:rPr>
                            </w:r>
                          </w:p>
                        </w:tc>
                      </w:tr>
                      <w:tr>
                        <w:trPr/>
                        <w:tc>
                          <w:tcPr>
                            <w:tcW w:w="1017"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298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170"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502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2"/>
                              </w:rPr>
                              <w:t>Professional Experience</w:t>
                            </w:r>
                          </w:p>
                          <w:p>
                            <w:pPr>
                              <w:pStyle w:val="TableContents"/>
                              <w:spacing w:before="0" w:after="0"/>
                              <w:ind w:left="0" w:right="0" w:hanging="290"/>
                              <w:jc w:val="left"/>
                              <w:rPr/>
                            </w:pPr>
                            <w:r>
                              <w:rPr>
                                <w:color w:val="000000"/>
                              </w:rPr>
                              <w:t>●</w:t>
                            </w:r>
                            <w:r>
                              <w:rPr>
                                <w:rFonts w:ascii="Arial" w:hAnsi="Arial"/>
                                <w:sz w:val="20"/>
                              </w:rPr>
                              <w:t xml:space="preserve">Senior Managing Director and Chief Financial Officer of Vista Equity Partners, a leading global investment firm focused exclusively on enterprise software, data and technology-enabled businesses, since April 2022 </w:t>
                            </w:r>
                          </w:p>
                          <w:p>
                            <w:pPr>
                              <w:pStyle w:val="TableContents"/>
                              <w:spacing w:before="0" w:after="0"/>
                              <w:ind w:left="0" w:right="0" w:hanging="290"/>
                              <w:jc w:val="left"/>
                              <w:rPr/>
                            </w:pPr>
                            <w:r>
                              <w:rPr>
                                <w:color w:val="000000"/>
                              </w:rPr>
                              <w:t>●</w:t>
                            </w:r>
                            <w:r>
                              <w:rPr>
                                <w:rFonts w:ascii="Arial" w:hAnsi="Arial"/>
                                <w:sz w:val="20"/>
                              </w:rPr>
                              <w:t>Executive Vice President of Investment Intelligence of Nasdaq, Inc., a global technology firm serving the capital markets and other industries, from June 2019 to April 2022</w:t>
                            </w:r>
                          </w:p>
                          <w:p>
                            <w:pPr>
                              <w:pStyle w:val="TableContents"/>
                              <w:spacing w:before="0" w:after="0"/>
                              <w:ind w:left="0" w:right="0" w:hanging="290"/>
                              <w:jc w:val="left"/>
                              <w:rPr/>
                            </w:pPr>
                            <w:r>
                              <w:rPr>
                                <w:color w:val="000000"/>
                              </w:rPr>
                              <w:t>●</w:t>
                            </w:r>
                            <w:r>
                              <w:rPr>
                                <w:rFonts w:ascii="Arial" w:hAnsi="Arial"/>
                                <w:sz w:val="20"/>
                              </w:rPr>
                              <w:t>Managing Director for the Carlyle Group, a global alternative asset manager, from 2011 to May 2019, head of Carlyles Investment Solutions Group from December 2015 to May 2019, and member of Carlyles Management Committee; joined Carlyle in 2002</w:t>
                            </w:r>
                          </w:p>
                          <w:p>
                            <w:pPr>
                              <w:pStyle w:val="TableContents"/>
                              <w:spacing w:before="0" w:after="0"/>
                              <w:ind w:left="0" w:right="0" w:hanging="290"/>
                              <w:jc w:val="left"/>
                              <w:rPr/>
                            </w:pPr>
                            <w:r>
                              <w:rPr>
                                <w:color w:val="000000"/>
                              </w:rPr>
                              <w:t>●</w:t>
                            </w:r>
                            <w:r>
                              <w:rPr>
                                <w:rFonts w:ascii="Arial" w:hAnsi="Arial"/>
                                <w:sz w:val="20"/>
                              </w:rPr>
                              <w:t>Chief Operating Officer and Chief Financial Officer of Carlyles Investment Solutions Group from 2013 to December 2015; former head of Global Tax Department and head of Global Equity Programs; and member of Carlyles Transaction Team where she played a significant role in transactions, including Carlyles initial public offering</w:t>
                            </w:r>
                          </w:p>
                          <w:p>
                            <w:pPr>
                              <w:pStyle w:val="TableContents"/>
                              <w:spacing w:before="0" w:after="0"/>
                              <w:ind w:left="0" w:right="0" w:hanging="290"/>
                              <w:jc w:val="left"/>
                              <w:rPr/>
                            </w:pPr>
                            <w:r>
                              <w:rPr>
                                <w:color w:val="000000"/>
                              </w:rPr>
                              <w:t>●</w:t>
                            </w:r>
                            <w:r>
                              <w:rPr>
                                <w:rFonts w:ascii="Arial" w:hAnsi="Arial"/>
                                <w:sz w:val="20"/>
                              </w:rPr>
                              <w:t>Served in the Real Estate and Financial Services Group of the Tax Practice of Arthur Andersen, LLP prior to 2002</w:t>
                            </w:r>
                          </w:p>
                          <w:p>
                            <w:pPr>
                              <w:pStyle w:val="TableContents"/>
                              <w:spacing w:before="0" w:after="0"/>
                              <w:ind w:left="0" w:right="0" w:hanging="290"/>
                              <w:jc w:val="left"/>
                              <w:rPr/>
                            </w:pPr>
                            <w:r>
                              <w:rPr>
                                <w:color w:val="000000"/>
                              </w:rPr>
                              <w:t>●</w:t>
                            </w:r>
                            <w:r>
                              <w:rPr>
                                <w:rFonts w:ascii="Arial" w:hAnsi="Arial"/>
                                <w:sz w:val="20"/>
                              </w:rPr>
                              <w:t>B.S. in business administration from the University of Richmond</w:t>
                            </w:r>
                          </w:p>
                        </w:tc>
                      </w:tr>
                      <w:tr>
                        <w:trPr/>
                        <w:tc>
                          <w:tcPr>
                            <w:tcW w:w="1017" w:type="dxa"/>
                            <w:tcBorders/>
                            <w:shd w:fill="auto" w:val="clear"/>
                            <w:vAlign w:val="center"/>
                          </w:tcPr>
                          <w:p>
                            <w:pPr>
                              <w:pStyle w:val="TableContents"/>
                              <w:spacing w:before="0" w:after="283"/>
                              <w:jc w:val="left"/>
                              <w:rPr/>
                            </w:pPr>
                            <w:r>
                              <w:rPr/>
                              <w:t> </w:t>
                            </w:r>
                          </w:p>
                        </w:tc>
                        <w:tc>
                          <w:tcPr>
                            <w:tcW w:w="2989"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5029" w:type="dxa"/>
                            <w:tcBorders/>
                            <w:shd w:fill="auto" w:val="clear"/>
                            <w:vAlign w:val="center"/>
                          </w:tcPr>
                          <w:p>
                            <w:pPr>
                              <w:pStyle w:val="TableContents"/>
                              <w:spacing w:before="0" w:after="283"/>
                              <w:rPr>
                                <w:sz w:val="4"/>
                                <w:szCs w:val="4"/>
                              </w:rPr>
                            </w:pPr>
                            <w:r>
                              <w:rPr>
                                <w:sz w:val="4"/>
                                <w:szCs w:val="4"/>
                              </w:rPr>
                            </w:r>
                          </w:p>
                        </w:tc>
                      </w:tr>
                      <w:tr>
                        <w:trPr/>
                        <w:tc>
                          <w:tcPr>
                            <w:tcW w:w="1017"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298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170"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502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1017" w:type="dxa"/>
                            <w:tcBorders/>
                            <w:shd w:fill="auto" w:val="clear"/>
                            <w:vAlign w:val="center"/>
                          </w:tcPr>
                          <w:p>
                            <w:pPr>
                              <w:pStyle w:val="TableContents"/>
                              <w:spacing w:before="0" w:after="283"/>
                              <w:jc w:val="center"/>
                              <w:rPr/>
                            </w:pPr>
                            <w:r>
                              <w:rPr/>
                              <w:drawing>
                                <wp:inline distT="0" distB="0" distL="0" distR="0">
                                  <wp:extent cx="295275" cy="323850"/>
                                  <wp:effectExtent l="0" t="0" r="0" b="0"/>
                                  <wp:docPr id="284"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07" descr=""/>
                                          <pic:cNvPicPr>
                                            <a:picLocks noChangeAspect="1" noChangeArrowheads="1"/>
                                          </pic:cNvPicPr>
                                        </pic:nvPicPr>
                                        <pic:blipFill>
                                          <a:blip r:embed="rId208"/>
                                          <a:srcRect l="-3414" t="-3111" r="-3414" b="-3111"/>
                                          <a:stretch>
                                            <a:fillRect/>
                                          </a:stretch>
                                        </pic:blipFill>
                                        <pic:spPr bwMode="auto">
                                          <a:xfrm>
                                            <a:off x="0" y="0"/>
                                            <a:ext cx="295275" cy="323850"/>
                                          </a:xfrm>
                                          <a:prstGeom prst="rect">
                                            <a:avLst/>
                                          </a:prstGeom>
                                          <a:ln w="635">
                                            <a:solidFill>
                                              <a:srgbClr val="000000"/>
                                            </a:solidFill>
                                          </a:ln>
                                        </pic:spPr>
                                      </pic:pic>
                                    </a:graphicData>
                                  </a:graphic>
                                </wp:inline>
                              </w:drawing>
                            </w:r>
                          </w:p>
                        </w:tc>
                        <w:tc>
                          <w:tcPr>
                            <w:tcW w:w="2989"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c>
                          <w:tcPr>
                            <w:tcW w:w="1170" w:type="dxa"/>
                            <w:tcBorders/>
                            <w:shd w:fill="auto" w:val="clear"/>
                            <w:vAlign w:val="center"/>
                          </w:tcPr>
                          <w:p>
                            <w:pPr>
                              <w:pStyle w:val="TableContents"/>
                              <w:spacing w:before="0" w:after="283"/>
                              <w:jc w:val="center"/>
                              <w:rPr/>
                            </w:pPr>
                            <w:r>
                              <w:rPr/>
                              <w:drawing>
                                <wp:inline distT="0" distB="0" distL="0" distR="0">
                                  <wp:extent cx="352425" cy="342900"/>
                                  <wp:effectExtent l="0" t="0" r="0" b="0"/>
                                  <wp:docPr id="285"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08" descr=""/>
                                          <pic:cNvPicPr>
                                            <a:picLocks noChangeAspect="1" noChangeArrowheads="1"/>
                                          </pic:cNvPicPr>
                                        </pic:nvPicPr>
                                        <pic:blipFill>
                                          <a:blip r:embed="rId209"/>
                                          <a:srcRect l="-2860" t="-2938" r="-2860" b="-2938"/>
                                          <a:stretch>
                                            <a:fillRect/>
                                          </a:stretch>
                                        </pic:blipFill>
                                        <pic:spPr bwMode="auto">
                                          <a:xfrm>
                                            <a:off x="0" y="0"/>
                                            <a:ext cx="352425" cy="342900"/>
                                          </a:xfrm>
                                          <a:prstGeom prst="rect">
                                            <a:avLst/>
                                          </a:prstGeom>
                                          <a:ln w="635">
                                            <a:solidFill>
                                              <a:srgbClr val="000000"/>
                                            </a:solidFill>
                                          </a:ln>
                                        </pic:spPr>
                                      </pic:pic>
                                    </a:graphicData>
                                  </a:graphic>
                                </wp:inline>
                              </w:drawing>
                            </w:r>
                          </w:p>
                        </w:tc>
                        <w:tc>
                          <w:tcPr>
                            <w:tcW w:w="5029" w:type="dxa"/>
                            <w:tcBorders/>
                            <w:shd w:fill="auto" w:val="clear"/>
                            <w:vAlign w:val="center"/>
                          </w:tcPr>
                          <w:p>
                            <w:pPr>
                              <w:pStyle w:val="TableContents"/>
                              <w:spacing w:before="0" w:after="283"/>
                              <w:jc w:val="left"/>
                              <w:rPr>
                                <w:rFonts w:ascii="Arial" w:hAnsi="Arial"/>
                                <w:sz w:val="20"/>
                              </w:rPr>
                            </w:pPr>
                            <w:r>
                              <w:rPr>
                                <w:rFonts w:ascii="Arial" w:hAnsi="Arial"/>
                                <w:sz w:val="20"/>
                              </w:rPr>
                              <w:t>Finance/Capital Markets</w:t>
                            </w:r>
                          </w:p>
                        </w:tc>
                      </w:tr>
                      <w:tr>
                        <w:trPr/>
                        <w:tc>
                          <w:tcPr>
                            <w:tcW w:w="1017" w:type="dxa"/>
                            <w:tcBorders/>
                            <w:shd w:fill="auto" w:val="clear"/>
                            <w:vAlign w:val="center"/>
                          </w:tcPr>
                          <w:p>
                            <w:pPr>
                              <w:pStyle w:val="TableContents"/>
                              <w:spacing w:before="0" w:after="283"/>
                              <w:jc w:val="center"/>
                              <w:rPr/>
                            </w:pPr>
                            <w:r>
                              <w:rPr/>
                              <w:drawing>
                                <wp:inline distT="0" distB="0" distL="0" distR="0">
                                  <wp:extent cx="333375" cy="342900"/>
                                  <wp:effectExtent l="0" t="0" r="0" b="0"/>
                                  <wp:docPr id="286"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09" descr=""/>
                                          <pic:cNvPicPr>
                                            <a:picLocks noChangeAspect="1" noChangeArrowheads="1"/>
                                          </pic:cNvPicPr>
                                        </pic:nvPicPr>
                                        <pic:blipFill>
                                          <a:blip r:embed="rId210"/>
                                          <a:srcRect l="-3023" t="-2938" r="-3023" b="-2938"/>
                                          <a:stretch>
                                            <a:fillRect/>
                                          </a:stretch>
                                        </pic:blipFill>
                                        <pic:spPr bwMode="auto">
                                          <a:xfrm>
                                            <a:off x="0" y="0"/>
                                            <a:ext cx="333375" cy="342900"/>
                                          </a:xfrm>
                                          <a:prstGeom prst="rect">
                                            <a:avLst/>
                                          </a:prstGeom>
                                          <a:ln w="635">
                                            <a:solidFill>
                                              <a:srgbClr val="000000"/>
                                            </a:solidFill>
                                          </a:ln>
                                        </pic:spPr>
                                      </pic:pic>
                                    </a:graphicData>
                                  </a:graphic>
                                </wp:inline>
                              </w:drawing>
                            </w:r>
                          </w:p>
                        </w:tc>
                        <w:tc>
                          <w:tcPr>
                            <w:tcW w:w="2989"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1170" w:type="dxa"/>
                            <w:tcBorders/>
                            <w:shd w:fill="auto" w:val="clear"/>
                            <w:vAlign w:val="center"/>
                          </w:tcPr>
                          <w:p>
                            <w:pPr>
                              <w:pStyle w:val="TableContents"/>
                              <w:spacing w:before="0" w:after="283"/>
                              <w:jc w:val="center"/>
                              <w:rPr/>
                            </w:pPr>
                            <w:r>
                              <w:rPr/>
                              <w:drawing>
                                <wp:inline distT="0" distB="0" distL="0" distR="0">
                                  <wp:extent cx="400050" cy="400050"/>
                                  <wp:effectExtent l="0" t="0" r="0" b="0"/>
                                  <wp:docPr id="287"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10" descr=""/>
                                          <pic:cNvPicPr>
                                            <a:picLocks noChangeAspect="1" noChangeArrowheads="1"/>
                                          </pic:cNvPicPr>
                                        </pic:nvPicPr>
                                        <pic:blipFill>
                                          <a:blip r:embed="rId211"/>
                                          <a:srcRect l="-2520" t="-2520" r="-2520" b="-2520"/>
                                          <a:stretch>
                                            <a:fillRect/>
                                          </a:stretch>
                                        </pic:blipFill>
                                        <pic:spPr bwMode="auto">
                                          <a:xfrm>
                                            <a:off x="0" y="0"/>
                                            <a:ext cx="400050" cy="400050"/>
                                          </a:xfrm>
                                          <a:prstGeom prst="rect">
                                            <a:avLst/>
                                          </a:prstGeom>
                                          <a:ln w="635">
                                            <a:solidFill>
                                              <a:srgbClr val="000000"/>
                                            </a:solidFill>
                                          </a:ln>
                                        </pic:spPr>
                                      </pic:pic>
                                    </a:graphicData>
                                  </a:graphic>
                                </wp:inline>
                              </w:drawing>
                            </w:r>
                          </w:p>
                        </w:tc>
                        <w:tc>
                          <w:tcPr>
                            <w:tcW w:w="5029" w:type="dxa"/>
                            <w:tcBorders/>
                            <w:shd w:fill="auto" w:val="clear"/>
                            <w:vAlign w:val="center"/>
                          </w:tcPr>
                          <w:p>
                            <w:pPr>
                              <w:pStyle w:val="TableContents"/>
                              <w:spacing w:before="0" w:after="283"/>
                              <w:jc w:val="left"/>
                              <w:rPr>
                                <w:rFonts w:ascii="Arial" w:hAnsi="Arial"/>
                                <w:sz w:val="20"/>
                              </w:rPr>
                            </w:pPr>
                            <w:r>
                              <w:rPr>
                                <w:rFonts w:ascii="Arial" w:hAnsi="Arial"/>
                                <w:sz w:val="20"/>
                              </w:rPr>
                              <w:t>Public Company Board Service/Corporate Governance</w:t>
                            </w:r>
                          </w:p>
                        </w:tc>
                      </w:tr>
                      <w:tr>
                        <w:trPr/>
                        <w:tc>
                          <w:tcPr>
                            <w:tcW w:w="1017" w:type="dxa"/>
                            <w:tcBorders/>
                            <w:shd w:fill="auto" w:val="clear"/>
                            <w:vAlign w:val="center"/>
                          </w:tcPr>
                          <w:p>
                            <w:pPr>
                              <w:pStyle w:val="TableContents"/>
                              <w:spacing w:before="0" w:after="283"/>
                              <w:jc w:val="center"/>
                              <w:rPr/>
                            </w:pPr>
                            <w:r>
                              <w:rPr/>
                              <w:drawing>
                                <wp:inline distT="0" distB="0" distL="0" distR="0">
                                  <wp:extent cx="352425" cy="333375"/>
                                  <wp:effectExtent l="0" t="0" r="0" b="0"/>
                                  <wp:docPr id="288"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11" descr=""/>
                                          <pic:cNvPicPr>
                                            <a:picLocks noChangeAspect="1" noChangeArrowheads="1"/>
                                          </pic:cNvPicPr>
                                        </pic:nvPicPr>
                                        <pic:blipFill>
                                          <a:blip r:embed="rId212"/>
                                          <a:srcRect l="-2860" t="-3023" r="-2860" b="-3023"/>
                                          <a:stretch>
                                            <a:fillRect/>
                                          </a:stretch>
                                        </pic:blipFill>
                                        <pic:spPr bwMode="auto">
                                          <a:xfrm>
                                            <a:off x="0" y="0"/>
                                            <a:ext cx="352425" cy="333375"/>
                                          </a:xfrm>
                                          <a:prstGeom prst="rect">
                                            <a:avLst/>
                                          </a:prstGeom>
                                          <a:ln w="635">
                                            <a:solidFill>
                                              <a:srgbClr val="000000"/>
                                            </a:solidFill>
                                          </a:ln>
                                        </pic:spPr>
                                      </pic:pic>
                                    </a:graphicData>
                                  </a:graphic>
                                </wp:inline>
                              </w:drawing>
                            </w:r>
                          </w:p>
                        </w:tc>
                        <w:tc>
                          <w:tcPr>
                            <w:tcW w:w="2989" w:type="dxa"/>
                            <w:tcBorders/>
                            <w:shd w:fill="auto" w:val="clear"/>
                            <w:vAlign w:val="center"/>
                          </w:tcPr>
                          <w:p>
                            <w:pPr>
                              <w:pStyle w:val="TableContents"/>
                              <w:spacing w:before="0" w:after="283"/>
                              <w:jc w:val="left"/>
                              <w:rPr>
                                <w:rFonts w:ascii="Arial" w:hAnsi="Arial"/>
                                <w:sz w:val="20"/>
                              </w:rPr>
                            </w:pPr>
                            <w:r>
                              <w:rPr>
                                <w:rFonts w:ascii="Arial" w:hAnsi="Arial"/>
                                <w:sz w:val="20"/>
                              </w:rPr>
                              <w:t>REIT/Real Estate Industry</w:t>
                            </w:r>
                          </w:p>
                        </w:tc>
                        <w:tc>
                          <w:tcPr>
                            <w:tcW w:w="1170" w:type="dxa"/>
                            <w:tcBorders/>
                            <w:shd w:fill="auto" w:val="clear"/>
                            <w:vAlign w:val="center"/>
                          </w:tcPr>
                          <w:p>
                            <w:pPr>
                              <w:pStyle w:val="TableContents"/>
                              <w:spacing w:before="0" w:after="283"/>
                              <w:jc w:val="center"/>
                              <w:rPr/>
                            </w:pPr>
                            <w:r>
                              <w:rPr/>
                              <w:drawing>
                                <wp:inline distT="0" distB="0" distL="0" distR="0">
                                  <wp:extent cx="333375" cy="323850"/>
                                  <wp:effectExtent l="0" t="0" r="0" b="0"/>
                                  <wp:docPr id="289"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12" descr=""/>
                                          <pic:cNvPicPr>
                                            <a:picLocks noChangeAspect="1" noChangeArrowheads="1"/>
                                          </pic:cNvPicPr>
                                        </pic:nvPicPr>
                                        <pic:blipFill>
                                          <a:blip r:embed="rId213"/>
                                          <a:srcRect l="-3023" t="-3111" r="-3023" b="-3111"/>
                                          <a:stretch>
                                            <a:fillRect/>
                                          </a:stretch>
                                        </pic:blipFill>
                                        <pic:spPr bwMode="auto">
                                          <a:xfrm>
                                            <a:off x="0" y="0"/>
                                            <a:ext cx="333375" cy="323850"/>
                                          </a:xfrm>
                                          <a:prstGeom prst="rect">
                                            <a:avLst/>
                                          </a:prstGeom>
                                          <a:ln w="635">
                                            <a:solidFill>
                                              <a:srgbClr val="000000"/>
                                            </a:solidFill>
                                          </a:ln>
                                        </pic:spPr>
                                      </pic:pic>
                                    </a:graphicData>
                                  </a:graphic>
                                </wp:inline>
                              </w:drawing>
                            </w:r>
                          </w:p>
                        </w:tc>
                        <w:tc>
                          <w:tcPr>
                            <w:tcW w:w="5029" w:type="dxa"/>
                            <w:tcBorders/>
                            <w:shd w:fill="auto" w:val="clear"/>
                            <w:vAlign w:val="center"/>
                          </w:tcPr>
                          <w:p>
                            <w:pPr>
                              <w:pStyle w:val="TableContents"/>
                              <w:spacing w:before="0" w:after="283"/>
                              <w:jc w:val="left"/>
                              <w:rPr>
                                <w:rFonts w:ascii="Arial" w:hAnsi="Arial"/>
                                <w:sz w:val="20"/>
                              </w:rPr>
                            </w:pPr>
                            <w:r>
                              <w:rPr>
                                <w:rFonts w:ascii="Arial" w:hAnsi="Arial"/>
                                <w:sz w:val="20"/>
                              </w:rPr>
                              <w:t xml:space="preserve">Experience Over Several Business Cycles </w:t>
                            </w:r>
                          </w:p>
                        </w:tc>
                      </w:tr>
                      <w:tr>
                        <w:trPr/>
                        <w:tc>
                          <w:tcPr>
                            <w:tcW w:w="1017" w:type="dxa"/>
                            <w:tcBorders/>
                            <w:shd w:fill="auto" w:val="clear"/>
                            <w:vAlign w:val="center"/>
                          </w:tcPr>
                          <w:p>
                            <w:pPr>
                              <w:pStyle w:val="TableContents"/>
                              <w:spacing w:before="0" w:after="283"/>
                              <w:jc w:val="center"/>
                              <w:rPr/>
                            </w:pPr>
                            <w:r>
                              <w:rPr/>
                              <w:drawing>
                                <wp:inline distT="0" distB="0" distL="0" distR="0">
                                  <wp:extent cx="295275" cy="304800"/>
                                  <wp:effectExtent l="0" t="0" r="0" b="0"/>
                                  <wp:docPr id="290"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13" descr=""/>
                                          <pic:cNvPicPr>
                                            <a:picLocks noChangeAspect="1" noChangeArrowheads="1"/>
                                          </pic:cNvPicPr>
                                        </pic:nvPicPr>
                                        <pic:blipFill>
                                          <a:blip r:embed="rId214"/>
                                          <a:srcRect l="-3414" t="-3305" r="-3414" b="-3305"/>
                                          <a:stretch>
                                            <a:fillRect/>
                                          </a:stretch>
                                        </pic:blipFill>
                                        <pic:spPr bwMode="auto">
                                          <a:xfrm>
                                            <a:off x="0" y="0"/>
                                            <a:ext cx="295275" cy="304800"/>
                                          </a:xfrm>
                                          <a:prstGeom prst="rect">
                                            <a:avLst/>
                                          </a:prstGeom>
                                          <a:ln w="635">
                                            <a:solidFill>
                                              <a:srgbClr val="000000"/>
                                            </a:solidFill>
                                          </a:ln>
                                        </pic:spPr>
                                      </pic:pic>
                                    </a:graphicData>
                                  </a:graphic>
                                </wp:inline>
                              </w:drawing>
                            </w:r>
                          </w:p>
                        </w:tc>
                        <w:tc>
                          <w:tcPr>
                            <w:tcW w:w="2989" w:type="dxa"/>
                            <w:tcBorders/>
                            <w:shd w:fill="auto" w:val="clear"/>
                            <w:vAlign w:val="center"/>
                          </w:tcPr>
                          <w:p>
                            <w:pPr>
                              <w:pStyle w:val="TableContents"/>
                              <w:spacing w:before="0" w:after="283"/>
                              <w:jc w:val="left"/>
                              <w:rPr>
                                <w:rFonts w:ascii="Arial" w:hAnsi="Arial"/>
                                <w:sz w:val="20"/>
                              </w:rPr>
                            </w:pPr>
                            <w:r>
                              <w:rPr>
                                <w:rFonts w:ascii="Arial" w:hAnsi="Arial"/>
                                <w:sz w:val="20"/>
                              </w:rPr>
                              <w:t xml:space="preserve">Talent Management </w:t>
                            </w:r>
                          </w:p>
                        </w:tc>
                        <w:tc>
                          <w:tcPr>
                            <w:tcW w:w="1170" w:type="dxa"/>
                            <w:tcBorders/>
                            <w:shd w:fill="auto" w:val="clear"/>
                            <w:vAlign w:val="center"/>
                          </w:tcPr>
                          <w:p>
                            <w:pPr>
                              <w:pStyle w:val="TableContents"/>
                              <w:spacing w:before="0" w:after="283"/>
                              <w:jc w:val="center"/>
                              <w:rPr/>
                            </w:pPr>
                            <w:r>
                              <w:rPr/>
                              <w:drawing>
                                <wp:inline distT="0" distB="0" distL="0" distR="0">
                                  <wp:extent cx="323850" cy="342900"/>
                                  <wp:effectExtent l="0" t="0" r="0" b="0"/>
                                  <wp:docPr id="291"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14" descr=""/>
                                          <pic:cNvPicPr>
                                            <a:picLocks noChangeAspect="1" noChangeArrowheads="1"/>
                                          </pic:cNvPicPr>
                                        </pic:nvPicPr>
                                        <pic:blipFill>
                                          <a:blip r:embed="rId215"/>
                                          <a:srcRect l="-3111" t="-2938" r="-3111" b="-2938"/>
                                          <a:stretch>
                                            <a:fillRect/>
                                          </a:stretch>
                                        </pic:blipFill>
                                        <pic:spPr bwMode="auto">
                                          <a:xfrm>
                                            <a:off x="0" y="0"/>
                                            <a:ext cx="323850" cy="342900"/>
                                          </a:xfrm>
                                          <a:prstGeom prst="rect">
                                            <a:avLst/>
                                          </a:prstGeom>
                                          <a:ln w="635">
                                            <a:solidFill>
                                              <a:srgbClr val="000000"/>
                                            </a:solidFill>
                                          </a:ln>
                                        </pic:spPr>
                                      </pic:pic>
                                    </a:graphicData>
                                  </a:graphic>
                                </wp:inline>
                              </w:drawing>
                            </w:r>
                          </w:p>
                        </w:tc>
                        <w:tc>
                          <w:tcPr>
                            <w:tcW w:w="5029" w:type="dxa"/>
                            <w:tcBorders/>
                            <w:shd w:fill="auto" w:val="clear"/>
                            <w:vAlign w:val="center"/>
                          </w:tcPr>
                          <w:p>
                            <w:pPr>
                              <w:pStyle w:val="TableContents"/>
                              <w:spacing w:before="0" w:after="283"/>
                              <w:jc w:val="left"/>
                              <w:rPr>
                                <w:rFonts w:ascii="Arial" w:hAnsi="Arial"/>
                                <w:sz w:val="20"/>
                              </w:rPr>
                            </w:pPr>
                            <w:r>
                              <w:rPr>
                                <w:rFonts w:ascii="Arial" w:hAnsi="Arial"/>
                                <w:sz w:val="20"/>
                              </w:rPr>
                              <w:t>Accounting</w:t>
                            </w:r>
                          </w:p>
                        </w:tc>
                      </w:tr>
                      <w:tr>
                        <w:trPr/>
                        <w:tc>
                          <w:tcPr>
                            <w:tcW w:w="1017" w:type="dxa"/>
                            <w:tcBorders/>
                            <w:shd w:fill="auto" w:val="clear"/>
                            <w:vAlign w:val="center"/>
                          </w:tcPr>
                          <w:p>
                            <w:pPr>
                              <w:pStyle w:val="TableContents"/>
                              <w:spacing w:before="0" w:after="283"/>
                              <w:jc w:val="center"/>
                              <w:rPr/>
                            </w:pPr>
                            <w:r>
                              <w:rPr/>
                              <w:drawing>
                                <wp:inline distT="0" distB="0" distL="0" distR="0">
                                  <wp:extent cx="390525" cy="323850"/>
                                  <wp:effectExtent l="0" t="0" r="0" b="0"/>
                                  <wp:docPr id="292"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15" descr=""/>
                                          <pic:cNvPicPr>
                                            <a:picLocks noChangeAspect="1" noChangeArrowheads="1"/>
                                          </pic:cNvPicPr>
                                        </pic:nvPicPr>
                                        <pic:blipFill>
                                          <a:blip r:embed="rId216"/>
                                          <a:srcRect l="-2580" t="-3111" r="-2580" b="-3111"/>
                                          <a:stretch>
                                            <a:fillRect/>
                                          </a:stretch>
                                        </pic:blipFill>
                                        <pic:spPr bwMode="auto">
                                          <a:xfrm>
                                            <a:off x="0" y="0"/>
                                            <a:ext cx="390525" cy="323850"/>
                                          </a:xfrm>
                                          <a:prstGeom prst="rect">
                                            <a:avLst/>
                                          </a:prstGeom>
                                          <a:ln w="635">
                                            <a:solidFill>
                                              <a:srgbClr val="000000"/>
                                            </a:solidFill>
                                          </a:ln>
                                        </pic:spPr>
                                      </pic:pic>
                                    </a:graphicData>
                                  </a:graphic>
                                </wp:inline>
                              </w:drawing>
                            </w:r>
                          </w:p>
                        </w:tc>
                        <w:tc>
                          <w:tcPr>
                            <w:tcW w:w="2989" w:type="dxa"/>
                            <w:tcBorders/>
                            <w:shd w:fill="auto" w:val="clear"/>
                            <w:vAlign w:val="center"/>
                          </w:tcPr>
                          <w:p>
                            <w:pPr>
                              <w:pStyle w:val="TableContents"/>
                              <w:spacing w:before="0" w:after="283"/>
                              <w:jc w:val="left"/>
                              <w:rPr>
                                <w:rFonts w:ascii="Arial" w:hAnsi="Arial"/>
                                <w:sz w:val="20"/>
                              </w:rPr>
                            </w:pPr>
                            <w:r>
                              <w:rPr>
                                <w:rFonts w:ascii="Arial" w:hAnsi="Arial"/>
                                <w:sz w:val="20"/>
                              </w:rPr>
                              <w:t>Technology/Cybersecurity</w:t>
                            </w:r>
                          </w:p>
                        </w:tc>
                        <w:tc>
                          <w:tcPr>
                            <w:tcW w:w="1170" w:type="dxa"/>
                            <w:tcBorders/>
                            <w:shd w:fill="auto" w:val="clear"/>
                            <w:vAlign w:val="center"/>
                          </w:tcPr>
                          <w:p>
                            <w:pPr>
                              <w:pStyle w:val="TableContents"/>
                              <w:spacing w:before="0" w:after="283"/>
                              <w:jc w:val="center"/>
                              <w:rPr/>
                            </w:pPr>
                            <w:r>
                              <w:rPr/>
                              <w:drawing>
                                <wp:inline distT="0" distB="0" distL="0" distR="0">
                                  <wp:extent cx="428625" cy="419100"/>
                                  <wp:effectExtent l="0" t="0" r="0" b="0"/>
                                  <wp:docPr id="293"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16" descr=""/>
                                          <pic:cNvPicPr>
                                            <a:picLocks noChangeAspect="1" noChangeArrowheads="1"/>
                                          </pic:cNvPicPr>
                                        </pic:nvPicPr>
                                        <pic:blipFill>
                                          <a:blip r:embed="rId217"/>
                                          <a:srcRect l="-2350" t="-2405" r="-2350" b="-2405"/>
                                          <a:stretch>
                                            <a:fillRect/>
                                          </a:stretch>
                                        </pic:blipFill>
                                        <pic:spPr bwMode="auto">
                                          <a:xfrm>
                                            <a:off x="0" y="0"/>
                                            <a:ext cx="428625" cy="419100"/>
                                          </a:xfrm>
                                          <a:prstGeom prst="rect">
                                            <a:avLst/>
                                          </a:prstGeom>
                                          <a:ln w="635">
                                            <a:solidFill>
                                              <a:srgbClr val="000000"/>
                                            </a:solidFill>
                                          </a:ln>
                                        </pic:spPr>
                                      </pic:pic>
                                    </a:graphicData>
                                  </a:graphic>
                                </wp:inline>
                              </w:drawing>
                            </w:r>
                            <w:r>
                              <w:rPr/>
                              <w:t xml:space="preserve"> </w:t>
                            </w:r>
                          </w:p>
                        </w:tc>
                        <w:tc>
                          <w:tcPr>
                            <w:tcW w:w="5029" w:type="dxa"/>
                            <w:tcBorders/>
                            <w:shd w:fill="auto" w:val="clear"/>
                            <w:vAlign w:val="center"/>
                          </w:tcPr>
                          <w:p>
                            <w:pPr>
                              <w:pStyle w:val="TableContents"/>
                              <w:spacing w:before="0" w:after="283"/>
                              <w:jc w:val="left"/>
                              <w:rPr>
                                <w:rFonts w:ascii="Arial" w:hAnsi="Arial"/>
                                <w:sz w:val="20"/>
                              </w:rPr>
                            </w:pPr>
                            <w:r>
                              <w:rPr>
                                <w:rFonts w:ascii="Arial" w:hAnsi="Arial"/>
                                <w:sz w:val="20"/>
                              </w:rPr>
                              <w:t xml:space="preserve">Diversity </w:t>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900" w:type="dxa"/>
        <w:jc w:val="left"/>
        <w:tblInd w:w="0" w:type="dxa"/>
        <w:tblCellMar>
          <w:top w:w="0" w:type="dxa"/>
          <w:left w:w="0" w:type="dxa"/>
          <w:bottom w:w="0" w:type="dxa"/>
          <w:right w:w="0" w:type="dxa"/>
        </w:tblCellMar>
      </w:tblPr>
      <w:tblGrid>
        <w:gridCol w:w="4610"/>
        <w:gridCol w:w="290"/>
      </w:tblGrid>
      <w:tr>
        <w:trPr/>
        <w:tc>
          <w:tcPr>
            <w:tcW w:w="4610" w:type="dxa"/>
            <w:tcBorders/>
            <w:shd w:fill="auto" w:val="clear"/>
            <w:vAlign w:val="center"/>
          </w:tcPr>
          <w:p>
            <w:pPr>
              <w:pStyle w:val="TableContents"/>
              <w:spacing w:before="0" w:after="283"/>
              <w:jc w:val="left"/>
              <w:rPr>
                <w:rFonts w:ascii="Arial" w:hAnsi="Arial"/>
                <w:b/>
                <w:sz w:val="15"/>
              </w:rPr>
            </w:pPr>
            <w:r>
              <w:rPr>
                <w:rFonts w:ascii="Arial" w:hAnsi="Arial"/>
                <w:b/>
                <w:sz w:val="15"/>
              </w:rPr>
              <w:t>OUR BOARD OF DIRECTORS AND CORPORATE GOVERNANCE</w:t>
            </w:r>
          </w:p>
        </w:tc>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17</w:t>
            </w:r>
          </w:p>
        </w:tc>
      </w:tr>
    </w:tbl>
    <w:p>
      <w:pPr>
        <w:pStyle w:val="TextBody"/>
        <w:spacing w:before="0" w:after="0"/>
        <w:rPr/>
      </w:pPr>
      <w:r>
        <w:rPr/>
      </w: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1619885" cy="4832985"/>
                <wp:effectExtent l="0" t="0" r="0" b="0"/>
                <wp:wrapSquare wrapText="largest"/>
                <wp:docPr id="294" name="Frame19"/>
                <a:graphic xmlns:a="http://schemas.openxmlformats.org/drawingml/2006/main">
                  <a:graphicData uri="http://schemas.microsoft.com/office/word/2010/wordprocessingShape">
                    <wps:wsp>
                      <wps:cNvSpPr txBox="1"/>
                      <wps:spPr>
                        <a:xfrm>
                          <a:off x="0" y="0"/>
                          <a:ext cx="1619885" cy="4832985"/>
                        </a:xfrm>
                        <a:prstGeom prst="rect"/>
                      </wps:spPr>
                      <wps:txbx>
                        <w:txbxContent>
                          <w:tbl>
                            <w:tblPr>
                              <w:tblW w:w="2314" w:type="dxa"/>
                              <w:jc w:val="left"/>
                              <w:tblInd w:w="0" w:type="dxa"/>
                              <w:tblCellMar>
                                <w:top w:w="0" w:type="dxa"/>
                                <w:left w:w="0" w:type="dxa"/>
                                <w:bottom w:w="0" w:type="dxa"/>
                                <w:right w:w="28" w:type="dxa"/>
                              </w:tblCellMar>
                            </w:tblPr>
                            <w:tblGrid>
                              <w:gridCol w:w="219"/>
                              <w:gridCol w:w="1915"/>
                              <w:gridCol w:w="180"/>
                            </w:tblGrid>
                            <w:tr>
                              <w:trPr/>
                              <w:tc>
                                <w:tcPr>
                                  <w:tcW w:w="219" w:type="dxa"/>
                                  <w:tcBorders>
                                    <w:right w:val="single" w:sz="32" w:space="0" w:color="8EAD3C"/>
                                  </w:tcBorders>
                                  <w:shd w:fill="auto" w:val="clear"/>
                                  <w:vAlign w:val="center"/>
                                </w:tcPr>
                                <w:p>
                                  <w:pPr>
                                    <w:pStyle w:val="TableContents"/>
                                    <w:spacing w:before="0" w:after="283"/>
                                    <w:jc w:val="left"/>
                                    <w:rPr/>
                                  </w:pPr>
                                  <w:r>
                                    <w:rPr/>
                                    <w:t>   </w:t>
                                  </w:r>
                                </w:p>
                              </w:tc>
                              <w:tc>
                                <w:tcPr>
                                  <w:tcW w:w="1915"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2134" w:type="dxa"/>
                                  <w:gridSpan w:val="2"/>
                                  <w:tcBorders/>
                                  <w:shd w:fill="1A2343" w:val="clear"/>
                                  <w:tcMar>
                                    <w:right w:w="0" w:type="dxa"/>
                                  </w:tcMar>
                                  <w:vAlign w:val="center"/>
                                </w:tcPr>
                                <w:p>
                                  <w:pPr>
                                    <w:pStyle w:val="TableContents"/>
                                    <w:jc w:val="left"/>
                                    <w:rPr>
                                      <w:rFonts w:ascii="Arial" w:hAnsi="Arial"/>
                                      <w:b/>
                                      <w:color w:val="FFFFFF"/>
                                      <w:sz w:val="24"/>
                                    </w:rPr>
                                  </w:pPr>
                                  <w:r>
                                    <w:rPr>
                                      <w:rFonts w:ascii="Arial" w:hAnsi="Arial"/>
                                      <w:b/>
                                      <w:color w:val="FFFFFF"/>
                                      <w:sz w:val="24"/>
                                    </w:rPr>
                                    <w:t>STEPHEN L.</w:t>
                                    <w:br/>
                                    <w:t xml:space="preserve">GREEN </w:t>
                                  </w:r>
                                </w:p>
                                <w:p>
                                  <w:pPr>
                                    <w:pStyle w:val="TableContents"/>
                                    <w:jc w:val="left"/>
                                    <w:rPr/>
                                  </w:pPr>
                                  <w:r>
                                    <w:rPr/>
                                    <w:drawing>
                                      <wp:inline distT="0" distB="0" distL="0" distR="0">
                                        <wp:extent cx="1171575" cy="1476375"/>
                                        <wp:effectExtent l="0" t="0" r="0" b="0"/>
                                        <wp:docPr id="295"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17" descr=""/>
                                                <pic:cNvPicPr>
                                                  <a:picLocks noChangeAspect="1" noChangeArrowheads="1"/>
                                                </pic:cNvPicPr>
                                              </pic:nvPicPr>
                                              <pic:blipFill>
                                                <a:blip r:embed="rId218"/>
                                                <a:srcRect l="-860" t="-682" r="-860" b="-682"/>
                                                <a:stretch>
                                                  <a:fillRect/>
                                                </a:stretch>
                                              </pic:blipFill>
                                              <pic:spPr bwMode="auto">
                                                <a:xfrm>
                                                  <a:off x="0" y="0"/>
                                                  <a:ext cx="1171575" cy="1476375"/>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Director</w:t>
                                  </w:r>
                                </w:p>
                                <w:p>
                                  <w:pPr>
                                    <w:pStyle w:val="TableContents"/>
                                    <w:jc w:val="left"/>
                                    <w:rPr/>
                                  </w:pPr>
                                  <w:r>
                                    <w:rPr>
                                      <w:rFonts w:ascii="Arial" w:hAnsi="Arial"/>
                                      <w:color w:val="FFFFFF"/>
                                      <w:sz w:val="20"/>
                                    </w:rPr>
                                    <w:t xml:space="preserve">Director Since: </w:t>
                                  </w:r>
                                  <w:r>
                                    <w:rPr>
                                      <w:rStyle w:val="StrongEmphasis"/>
                                      <w:rFonts w:ascii="Arial" w:hAnsi="Arial"/>
                                      <w:color w:val="FFFFFF"/>
                                      <w:sz w:val="20"/>
                                    </w:rPr>
                                    <w:t xml:space="preserve">1997 </w:t>
                                  </w:r>
                                </w:p>
                                <w:p>
                                  <w:pPr>
                                    <w:pStyle w:val="TableContents"/>
                                    <w:jc w:val="left"/>
                                    <w:rPr/>
                                  </w:pPr>
                                  <w:r>
                                    <w:rPr>
                                      <w:rFonts w:ascii="Arial" w:hAnsi="Arial"/>
                                      <w:color w:val="FFFFFF"/>
                                      <w:sz w:val="20"/>
                                    </w:rPr>
                                    <w:t xml:space="preserve">Age: </w:t>
                                  </w:r>
                                  <w:r>
                                    <w:rPr>
                                      <w:rStyle w:val="StrongEmphasis"/>
                                      <w:rFonts w:ascii="Arial" w:hAnsi="Arial"/>
                                      <w:color w:val="FFFFFF"/>
                                      <w:sz w:val="20"/>
                                    </w:rPr>
                                    <w:t xml:space="preserve">85 </w:t>
                                  </w:r>
                                </w:p>
                                <w:p>
                                  <w:pPr>
                                    <w:pStyle w:val="TableContents"/>
                                    <w:jc w:val="left"/>
                                    <w:rPr>
                                      <w:rFonts w:ascii="Arial" w:hAnsi="Arial"/>
                                      <w:color w:val="FFFFFF"/>
                                      <w:sz w:val="20"/>
                                    </w:rPr>
                                  </w:pPr>
                                  <w:r>
                                    <w:rPr>
                                      <w:rFonts w:ascii="Arial" w:hAnsi="Arial"/>
                                      <w:color w:val="FFFFFF"/>
                                      <w:sz w:val="20"/>
                                    </w:rPr>
                                    <w:t>SL Green</w:t>
                                    <w:br/>
                                    <w:t>Board Service:</w:t>
                                  </w:r>
                                </w:p>
                                <w:p>
                                  <w:pPr>
                                    <w:pStyle w:val="TableContents"/>
                                    <w:spacing w:before="0" w:after="0"/>
                                    <w:ind w:left="0" w:right="0" w:hanging="290"/>
                                    <w:jc w:val="left"/>
                                    <w:rPr/>
                                  </w:pPr>
                                  <w:r>
                                    <w:rPr>
                                      <w:color w:val="FFFFFF"/>
                                    </w:rPr>
                                    <w:t>●</w:t>
                                  </w:r>
                                  <w:r>
                                    <w:rPr>
                                      <w:rStyle w:val="StrongEmphasis"/>
                                      <w:rFonts w:ascii="arial" w:hAnsi="arial"/>
                                      <w:color w:val="FFFFFF"/>
                                      <w:sz w:val="20"/>
                                    </w:rPr>
                                    <w:t>Executive Committee</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219" w:type="dxa"/>
                                  <w:tcBorders/>
                                  <w:shd w:fill="auto" w:val="clear"/>
                                  <w:tcMar>
                                    <w:right w:w="0" w:type="dxa"/>
                                  </w:tcMar>
                                  <w:vAlign w:val="center"/>
                                </w:tcPr>
                                <w:p>
                                  <w:pPr>
                                    <w:pStyle w:val="TableContents"/>
                                    <w:spacing w:before="0" w:after="283"/>
                                    <w:jc w:val="left"/>
                                    <w:rPr/>
                                  </w:pPr>
                                  <w:r>
                                    <w:rPr/>
                                    <w:t> </w:t>
                                  </w:r>
                                </w:p>
                              </w:tc>
                              <w:tc>
                                <w:tcPr>
                                  <w:tcW w:w="1915"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25000</wp14:pctWidth>
                </wp14:sizeRelH>
              </wp:anchor>
            </w:drawing>
          </mc:Choice>
          <mc:Fallback>
            <w:pict>
              <v:rect style="position:absolute;rotation:0;width:127.55pt;height:380.55pt;mso-wrap-distance-left:0pt;mso-wrap-distance-right:0pt;mso-wrap-distance-top:0pt;mso-wrap-distance-bottom:0pt;margin-top:0pt;mso-position-vertical:top;mso-position-vertical-relative:text;margin-left:0pt;mso-position-horizontal:left;mso-position-horizontal-relative:text">
                <v:textbox>
                  <w:txbxContent>
                    <w:tbl>
                      <w:tblPr>
                        <w:tblW w:w="2314" w:type="dxa"/>
                        <w:jc w:val="left"/>
                        <w:tblInd w:w="0" w:type="dxa"/>
                        <w:tblCellMar>
                          <w:top w:w="0" w:type="dxa"/>
                          <w:left w:w="0" w:type="dxa"/>
                          <w:bottom w:w="0" w:type="dxa"/>
                          <w:right w:w="28" w:type="dxa"/>
                        </w:tblCellMar>
                      </w:tblPr>
                      <w:tblGrid>
                        <w:gridCol w:w="219"/>
                        <w:gridCol w:w="1915"/>
                        <w:gridCol w:w="180"/>
                      </w:tblGrid>
                      <w:tr>
                        <w:trPr/>
                        <w:tc>
                          <w:tcPr>
                            <w:tcW w:w="219" w:type="dxa"/>
                            <w:tcBorders>
                              <w:right w:val="single" w:sz="32" w:space="0" w:color="8EAD3C"/>
                            </w:tcBorders>
                            <w:shd w:fill="auto" w:val="clear"/>
                            <w:vAlign w:val="center"/>
                          </w:tcPr>
                          <w:p>
                            <w:pPr>
                              <w:pStyle w:val="TableContents"/>
                              <w:spacing w:before="0" w:after="283"/>
                              <w:jc w:val="left"/>
                              <w:rPr/>
                            </w:pPr>
                            <w:r>
                              <w:rPr/>
                              <w:t>   </w:t>
                            </w:r>
                          </w:p>
                        </w:tc>
                        <w:tc>
                          <w:tcPr>
                            <w:tcW w:w="1915"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2134" w:type="dxa"/>
                            <w:gridSpan w:val="2"/>
                            <w:tcBorders/>
                            <w:shd w:fill="1A2343" w:val="clear"/>
                            <w:tcMar>
                              <w:right w:w="0" w:type="dxa"/>
                            </w:tcMar>
                            <w:vAlign w:val="center"/>
                          </w:tcPr>
                          <w:p>
                            <w:pPr>
                              <w:pStyle w:val="TableContents"/>
                              <w:jc w:val="left"/>
                              <w:rPr>
                                <w:rFonts w:ascii="Arial" w:hAnsi="Arial"/>
                                <w:b/>
                                <w:color w:val="FFFFFF"/>
                                <w:sz w:val="24"/>
                              </w:rPr>
                            </w:pPr>
                            <w:r>
                              <w:rPr>
                                <w:rFonts w:ascii="Arial" w:hAnsi="Arial"/>
                                <w:b/>
                                <w:color w:val="FFFFFF"/>
                                <w:sz w:val="24"/>
                              </w:rPr>
                              <w:t>STEPHEN L.</w:t>
                              <w:br/>
                              <w:t xml:space="preserve">GREEN </w:t>
                            </w:r>
                          </w:p>
                          <w:p>
                            <w:pPr>
                              <w:pStyle w:val="TableContents"/>
                              <w:jc w:val="left"/>
                              <w:rPr/>
                            </w:pPr>
                            <w:r>
                              <w:rPr/>
                              <w:drawing>
                                <wp:inline distT="0" distB="0" distL="0" distR="0">
                                  <wp:extent cx="1171575" cy="1476375"/>
                                  <wp:effectExtent l="0" t="0" r="0" b="0"/>
                                  <wp:docPr id="296"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17" descr=""/>
                                          <pic:cNvPicPr>
                                            <a:picLocks noChangeAspect="1" noChangeArrowheads="1"/>
                                          </pic:cNvPicPr>
                                        </pic:nvPicPr>
                                        <pic:blipFill>
                                          <a:blip r:embed="rId218"/>
                                          <a:srcRect l="-860" t="-682" r="-860" b="-682"/>
                                          <a:stretch>
                                            <a:fillRect/>
                                          </a:stretch>
                                        </pic:blipFill>
                                        <pic:spPr bwMode="auto">
                                          <a:xfrm>
                                            <a:off x="0" y="0"/>
                                            <a:ext cx="1171575" cy="1476375"/>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Director</w:t>
                            </w:r>
                          </w:p>
                          <w:p>
                            <w:pPr>
                              <w:pStyle w:val="TableContents"/>
                              <w:jc w:val="left"/>
                              <w:rPr/>
                            </w:pPr>
                            <w:r>
                              <w:rPr>
                                <w:rFonts w:ascii="Arial" w:hAnsi="Arial"/>
                                <w:color w:val="FFFFFF"/>
                                <w:sz w:val="20"/>
                              </w:rPr>
                              <w:t xml:space="preserve">Director Since: </w:t>
                            </w:r>
                            <w:r>
                              <w:rPr>
                                <w:rStyle w:val="StrongEmphasis"/>
                                <w:rFonts w:ascii="Arial" w:hAnsi="Arial"/>
                                <w:color w:val="FFFFFF"/>
                                <w:sz w:val="20"/>
                              </w:rPr>
                              <w:t xml:space="preserve">1997 </w:t>
                            </w:r>
                          </w:p>
                          <w:p>
                            <w:pPr>
                              <w:pStyle w:val="TableContents"/>
                              <w:jc w:val="left"/>
                              <w:rPr/>
                            </w:pPr>
                            <w:r>
                              <w:rPr>
                                <w:rFonts w:ascii="Arial" w:hAnsi="Arial"/>
                                <w:color w:val="FFFFFF"/>
                                <w:sz w:val="20"/>
                              </w:rPr>
                              <w:t xml:space="preserve">Age: </w:t>
                            </w:r>
                            <w:r>
                              <w:rPr>
                                <w:rStyle w:val="StrongEmphasis"/>
                                <w:rFonts w:ascii="Arial" w:hAnsi="Arial"/>
                                <w:color w:val="FFFFFF"/>
                                <w:sz w:val="20"/>
                              </w:rPr>
                              <w:t xml:space="preserve">85 </w:t>
                            </w:r>
                          </w:p>
                          <w:p>
                            <w:pPr>
                              <w:pStyle w:val="TableContents"/>
                              <w:jc w:val="left"/>
                              <w:rPr>
                                <w:rFonts w:ascii="Arial" w:hAnsi="Arial"/>
                                <w:color w:val="FFFFFF"/>
                                <w:sz w:val="20"/>
                              </w:rPr>
                            </w:pPr>
                            <w:r>
                              <w:rPr>
                                <w:rFonts w:ascii="Arial" w:hAnsi="Arial"/>
                                <w:color w:val="FFFFFF"/>
                                <w:sz w:val="20"/>
                              </w:rPr>
                              <w:t>SL Green</w:t>
                              <w:br/>
                              <w:t>Board Service:</w:t>
                            </w:r>
                          </w:p>
                          <w:p>
                            <w:pPr>
                              <w:pStyle w:val="TableContents"/>
                              <w:spacing w:before="0" w:after="0"/>
                              <w:ind w:left="0" w:right="0" w:hanging="290"/>
                              <w:jc w:val="left"/>
                              <w:rPr/>
                            </w:pPr>
                            <w:r>
                              <w:rPr>
                                <w:color w:val="FFFFFF"/>
                              </w:rPr>
                              <w:t>●</w:t>
                            </w:r>
                            <w:r>
                              <w:rPr>
                                <w:rStyle w:val="StrongEmphasis"/>
                                <w:rFonts w:ascii="arial" w:hAnsi="arial"/>
                                <w:color w:val="FFFFFF"/>
                                <w:sz w:val="20"/>
                              </w:rPr>
                              <w:t>Executive Committee</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219" w:type="dxa"/>
                            <w:tcBorders/>
                            <w:shd w:fill="auto" w:val="clear"/>
                            <w:tcMar>
                              <w:right w:w="0" w:type="dxa"/>
                            </w:tcMar>
                            <w:vAlign w:val="center"/>
                          </w:tcPr>
                          <w:p>
                            <w:pPr>
                              <w:pStyle w:val="TableContents"/>
                              <w:spacing w:before="0" w:after="283"/>
                              <w:jc w:val="left"/>
                              <w:rPr/>
                            </w:pPr>
                            <w:r>
                              <w:rPr/>
                              <w:t> </w:t>
                            </w:r>
                          </w:p>
                        </w:tc>
                        <w:tc>
                          <w:tcPr>
                            <w:tcW w:w="1915"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olumn">
                  <wp:align>right</wp:align>
                </wp:positionH>
                <wp:positionV relativeFrom="line">
                  <wp:posOffset>635</wp:posOffset>
                </wp:positionV>
                <wp:extent cx="4600575" cy="7508875"/>
                <wp:effectExtent l="0" t="0" r="0" b="0"/>
                <wp:wrapSquare wrapText="largest"/>
                <wp:docPr id="297" name="Frame20"/>
                <a:graphic xmlns:a="http://schemas.openxmlformats.org/drawingml/2006/main">
                  <a:graphicData uri="http://schemas.microsoft.com/office/word/2010/wordprocessingShape">
                    <wps:wsp>
                      <wps:cNvSpPr txBox="1"/>
                      <wps:spPr>
                        <a:xfrm>
                          <a:off x="0" y="0"/>
                          <a:ext cx="4600575" cy="7508875"/>
                        </a:xfrm>
                        <a:prstGeom prst="rect"/>
                      </wps:spPr>
                      <wps:txbx>
                        <w:txbxContent>
                          <w:tbl>
                            <w:tblPr>
                              <w:tblW w:w="10205" w:type="dxa"/>
                              <w:jc w:val="left"/>
                              <w:tblInd w:w="0" w:type="dxa"/>
                              <w:tblCellMar>
                                <w:top w:w="0" w:type="dxa"/>
                                <w:left w:w="0" w:type="dxa"/>
                                <w:bottom w:w="0" w:type="dxa"/>
                                <w:right w:w="0" w:type="dxa"/>
                              </w:tblCellMar>
                            </w:tblPr>
                            <w:tblGrid>
                              <w:gridCol w:w="970"/>
                              <w:gridCol w:w="4869"/>
                              <w:gridCol w:w="998"/>
                              <w:gridCol w:w="3368"/>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In addition to his industry-wide reputation, Mr. Greens extensive skills and experience in real estate, including founding our predecessor, provide him with invaluable knowledge of and expertise in our business and industry. This experience, particularly his experience having led our predecessor and the Company, contributes depth and context to the Boards discussions of the Companys business.</w:t>
                                  </w:r>
                                </w:p>
                              </w:tc>
                            </w:tr>
                            <w:tr>
                              <w:trPr/>
                              <w:tc>
                                <w:tcPr>
                                  <w:tcW w:w="970" w:type="dxa"/>
                                  <w:tcBorders/>
                                  <w:shd w:fill="auto" w:val="clear"/>
                                  <w:vAlign w:val="center"/>
                                </w:tcPr>
                                <w:p>
                                  <w:pPr>
                                    <w:pStyle w:val="TableContents"/>
                                    <w:spacing w:before="0" w:after="283"/>
                                    <w:jc w:val="left"/>
                                    <w:rPr/>
                                  </w:pPr>
                                  <w:r>
                                    <w:rPr/>
                                    <w:t> </w:t>
                                  </w:r>
                                </w:p>
                              </w:tc>
                              <w:tc>
                                <w:tcPr>
                                  <w:tcW w:w="4869"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r>
                            <w:tr>
                              <w:trPr/>
                              <w:tc>
                                <w:tcPr>
                                  <w:tcW w:w="970"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486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998"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3368"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0"/>
                                    </w:rPr>
                                    <w:t>Professional Experience</w:t>
                                  </w:r>
                                </w:p>
                                <w:p>
                                  <w:pPr>
                                    <w:pStyle w:val="TableContents"/>
                                    <w:spacing w:before="0" w:after="0"/>
                                    <w:ind w:left="0" w:right="0" w:hanging="290"/>
                                    <w:jc w:val="left"/>
                                    <w:rPr/>
                                  </w:pPr>
                                  <w:r>
                                    <w:rPr>
                                      <w:color w:val="000000"/>
                                    </w:rPr>
                                    <w:t>●</w:t>
                                  </w:r>
                                  <w:r>
                                    <w:rPr>
                                      <w:rFonts w:ascii="Arial" w:hAnsi="Arial"/>
                                      <w:sz w:val="20"/>
                                    </w:rPr>
                                    <w:t>Chairman Emeritus at the Company since January 2019</w:t>
                                  </w:r>
                                </w:p>
                                <w:p>
                                  <w:pPr>
                                    <w:pStyle w:val="TableContents"/>
                                    <w:spacing w:before="0" w:after="0"/>
                                    <w:ind w:left="0" w:right="0" w:hanging="290"/>
                                    <w:jc w:val="left"/>
                                    <w:rPr/>
                                  </w:pPr>
                                  <w:r>
                                    <w:rPr>
                                      <w:color w:val="000000"/>
                                    </w:rPr>
                                    <w:t>●</w:t>
                                  </w:r>
                                  <w:r>
                                    <w:rPr>
                                      <w:rFonts w:ascii="Arial" w:hAnsi="Arial"/>
                                      <w:sz w:val="20"/>
                                    </w:rPr>
                                    <w:t>Chairman of the Board of the Company from 1997 through January 2019</w:t>
                                  </w:r>
                                </w:p>
                                <w:p>
                                  <w:pPr>
                                    <w:pStyle w:val="TableContents"/>
                                    <w:spacing w:before="0" w:after="0"/>
                                    <w:ind w:left="0" w:right="0" w:hanging="290"/>
                                    <w:jc w:val="left"/>
                                    <w:rPr/>
                                  </w:pPr>
                                  <w:r>
                                    <w:rPr>
                                      <w:color w:val="000000"/>
                                    </w:rPr>
                                    <w:t>●</w:t>
                                  </w:r>
                                  <w:r>
                                    <w:rPr>
                                      <w:rFonts w:ascii="Arial" w:hAnsi="Arial"/>
                                      <w:sz w:val="20"/>
                                    </w:rPr>
                                    <w:t>Former executive officer working in conjunction with our Chief Executive Officer and overseeing the Companys long-term strategic direction; formerly served as our Chief Executive Officer</w:t>
                                  </w:r>
                                </w:p>
                                <w:p>
                                  <w:pPr>
                                    <w:pStyle w:val="TableContents"/>
                                    <w:spacing w:before="0" w:after="0"/>
                                    <w:ind w:left="0" w:right="0" w:hanging="290"/>
                                    <w:jc w:val="left"/>
                                    <w:rPr/>
                                  </w:pPr>
                                  <w:r>
                                    <w:rPr>
                                      <w:color w:val="000000"/>
                                    </w:rPr>
                                    <w:t>●</w:t>
                                  </w:r>
                                  <w:r>
                                    <w:rPr>
                                      <w:rFonts w:ascii="Arial" w:hAnsi="Arial"/>
                                      <w:sz w:val="20"/>
                                    </w:rPr>
                                    <w:t xml:space="preserve">Founded our predecessor, S.L. Green Properties, Inc., in 1980; prior to our initial public offering in 1997, Mr. Green was involved in the acquisition of over 50 Manhattan office buildings containing in excess of 10.0 million square feet </w:t>
                                  </w:r>
                                </w:p>
                                <w:p>
                                  <w:pPr>
                                    <w:pStyle w:val="TableContents"/>
                                    <w:spacing w:before="0" w:after="0"/>
                                    <w:ind w:left="0" w:right="0" w:hanging="290"/>
                                    <w:jc w:val="left"/>
                                    <w:rPr/>
                                  </w:pPr>
                                  <w:r>
                                    <w:rPr>
                                      <w:color w:val="000000"/>
                                    </w:rPr>
                                    <w:t>●</w:t>
                                  </w:r>
                                  <w:r>
                                    <w:rPr>
                                      <w:rFonts w:ascii="Arial" w:hAnsi="Arial"/>
                                      <w:sz w:val="20"/>
                                    </w:rPr>
                                    <w:t>Chairman of the Board of Gramercy Capital Corp. from August 2004 to June 2009</w:t>
                                  </w:r>
                                </w:p>
                                <w:p>
                                  <w:pPr>
                                    <w:pStyle w:val="TableContents"/>
                                    <w:spacing w:before="0" w:after="0"/>
                                    <w:ind w:left="0" w:right="0" w:hanging="290"/>
                                    <w:jc w:val="left"/>
                                    <w:rPr/>
                                  </w:pPr>
                                  <w:r>
                                    <w:rPr>
                                      <w:color w:val="000000"/>
                                    </w:rPr>
                                    <w:t>●</w:t>
                                  </w:r>
                                  <w:r>
                                    <w:rPr>
                                      <w:rFonts w:ascii="Arial" w:hAnsi="Arial"/>
                                      <w:sz w:val="20"/>
                                    </w:rPr>
                                    <w:t>At-large member of the Executive Committee of the Board of Governors of the Real Estate Board of New York</w:t>
                                  </w:r>
                                </w:p>
                                <w:p>
                                  <w:pPr>
                                    <w:pStyle w:val="TableContents"/>
                                    <w:spacing w:before="0" w:after="0"/>
                                    <w:ind w:left="0" w:right="0" w:hanging="290"/>
                                    <w:jc w:val="left"/>
                                    <w:rPr/>
                                  </w:pPr>
                                  <w:r>
                                    <w:rPr>
                                      <w:color w:val="000000"/>
                                    </w:rPr>
                                    <w:t>●</w:t>
                                  </w:r>
                                  <w:r>
                                    <w:rPr>
                                      <w:rFonts w:ascii="Arial" w:hAnsi="Arial"/>
                                      <w:sz w:val="20"/>
                                    </w:rPr>
                                    <w:t>Member of the Board of Directors of Streetsquash, Inc., a Section 501(c)(3) tax-exempt organization</w:t>
                                  </w:r>
                                </w:p>
                                <w:p>
                                  <w:pPr>
                                    <w:pStyle w:val="TableContents"/>
                                    <w:spacing w:before="0" w:after="0"/>
                                    <w:ind w:left="0" w:right="0" w:hanging="290"/>
                                    <w:jc w:val="left"/>
                                    <w:rPr/>
                                  </w:pPr>
                                  <w:r>
                                    <w:rPr>
                                      <w:color w:val="000000"/>
                                    </w:rPr>
                                    <w:t>●</w:t>
                                  </w:r>
                                  <w:r>
                                    <w:rPr>
                                      <w:rFonts w:ascii="Arial" w:hAnsi="Arial"/>
                                      <w:sz w:val="20"/>
                                    </w:rPr>
                                    <w:t>Previously member of the Board of Directors of Stemedica Cell Technologies, Inc., August 2007 to April 2009; Chairman of the Real Estate Board of New Yorks Tax Committee</w:t>
                                  </w:r>
                                </w:p>
                                <w:p>
                                  <w:pPr>
                                    <w:pStyle w:val="TableContents"/>
                                    <w:spacing w:before="0" w:after="0"/>
                                    <w:ind w:left="0" w:right="0" w:hanging="290"/>
                                    <w:jc w:val="left"/>
                                    <w:rPr/>
                                  </w:pPr>
                                  <w:r>
                                    <w:rPr>
                                      <w:color w:val="000000"/>
                                    </w:rPr>
                                    <w:t>●</w:t>
                                  </w:r>
                                  <w:r>
                                    <w:rPr>
                                      <w:rFonts w:ascii="Arial" w:hAnsi="Arial"/>
                                      <w:sz w:val="20"/>
                                    </w:rPr>
                                    <w:t>B.A. degree from Hartwick College and J.D. degree from Boston College Law School</w:t>
                                  </w:r>
                                </w:p>
                              </w:tc>
                            </w:tr>
                            <w:tr>
                              <w:trPr/>
                              <w:tc>
                                <w:tcPr>
                                  <w:tcW w:w="970" w:type="dxa"/>
                                  <w:tcBorders/>
                                  <w:shd w:fill="auto" w:val="clear"/>
                                  <w:vAlign w:val="center"/>
                                </w:tcPr>
                                <w:p>
                                  <w:pPr>
                                    <w:pStyle w:val="TableContents"/>
                                    <w:spacing w:before="0" w:after="283"/>
                                    <w:jc w:val="left"/>
                                    <w:rPr/>
                                  </w:pPr>
                                  <w:r>
                                    <w:rPr/>
                                    <w:t> </w:t>
                                  </w:r>
                                </w:p>
                              </w:tc>
                              <w:tc>
                                <w:tcPr>
                                  <w:tcW w:w="4869"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r>
                            <w:tr>
                              <w:trPr/>
                              <w:tc>
                                <w:tcPr>
                                  <w:tcW w:w="970"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486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998"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3368"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970" w:type="dxa"/>
                                  <w:tcBorders/>
                                  <w:shd w:fill="auto" w:val="clear"/>
                                  <w:vAlign w:val="center"/>
                                </w:tcPr>
                                <w:p>
                                  <w:pPr>
                                    <w:pStyle w:val="TableContents"/>
                                    <w:spacing w:before="0" w:after="283"/>
                                    <w:jc w:val="center"/>
                                    <w:rPr/>
                                  </w:pPr>
                                  <w:r>
                                    <w:rPr/>
                                    <w:drawing>
                                      <wp:inline distT="0" distB="0" distL="0" distR="0">
                                        <wp:extent cx="285750" cy="314325"/>
                                        <wp:effectExtent l="0" t="0" r="0" b="0"/>
                                        <wp:docPr id="29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18" descr=""/>
                                                <pic:cNvPicPr>
                                                  <a:picLocks noChangeAspect="1" noChangeArrowheads="1"/>
                                                </pic:cNvPicPr>
                                              </pic:nvPicPr>
                                              <pic:blipFill>
                                                <a:blip r:embed="rId219"/>
                                                <a:srcRect l="-3526" t="-3207" r="-3526" b="-3207"/>
                                                <a:stretch>
                                                  <a:fillRect/>
                                                </a:stretch>
                                              </pic:blipFill>
                                              <pic:spPr bwMode="auto">
                                                <a:xfrm>
                                                  <a:off x="0" y="0"/>
                                                  <a:ext cx="285750" cy="314325"/>
                                                </a:xfrm>
                                                <a:prstGeom prst="rect">
                                                  <a:avLst/>
                                                </a:prstGeom>
                                                <a:ln w="635">
                                                  <a:solidFill>
                                                    <a:srgbClr val="000000"/>
                                                  </a:solidFill>
                                                </a:ln>
                                              </pic:spPr>
                                            </pic:pic>
                                          </a:graphicData>
                                        </a:graphic>
                                      </wp:inline>
                                    </w:drawing>
                                  </w:r>
                                </w:p>
                              </w:tc>
                              <w:tc>
                                <w:tcPr>
                                  <w:tcW w:w="4869"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c>
                                <w:tcPr>
                                  <w:tcW w:w="998" w:type="dxa"/>
                                  <w:tcBorders/>
                                  <w:shd w:fill="auto" w:val="clear"/>
                                  <w:vAlign w:val="center"/>
                                </w:tcPr>
                                <w:p>
                                  <w:pPr>
                                    <w:pStyle w:val="TableContents"/>
                                    <w:spacing w:before="0" w:after="283"/>
                                    <w:jc w:val="center"/>
                                    <w:rPr/>
                                  </w:pPr>
                                  <w:r>
                                    <w:rPr/>
                                    <w:drawing>
                                      <wp:inline distT="0" distB="0" distL="0" distR="0">
                                        <wp:extent cx="342900" cy="342900"/>
                                        <wp:effectExtent l="0" t="0" r="0" b="0"/>
                                        <wp:docPr id="29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19" descr=""/>
                                                <pic:cNvPicPr>
                                                  <a:picLocks noChangeAspect="1" noChangeArrowheads="1"/>
                                                </pic:cNvPicPr>
                                              </pic:nvPicPr>
                                              <pic:blipFill>
                                                <a:blip r:embed="rId220"/>
                                                <a:srcRect l="-2938" t="-2938" r="-2938" b="-2938"/>
                                                <a:stretch>
                                                  <a:fillRect/>
                                                </a:stretch>
                                              </pic:blipFill>
                                              <pic:spPr bwMode="auto">
                                                <a:xfrm>
                                                  <a:off x="0" y="0"/>
                                                  <a:ext cx="342900" cy="342900"/>
                                                </a:xfrm>
                                                <a:prstGeom prst="rect">
                                                  <a:avLst/>
                                                </a:prstGeom>
                                                <a:ln w="635">
                                                  <a:solidFill>
                                                    <a:srgbClr val="000000"/>
                                                  </a:solidFill>
                                                </a:ln>
                                              </pic:spPr>
                                            </pic:pic>
                                          </a:graphicData>
                                        </a:graphic>
                                      </wp:inline>
                                    </w:drawing>
                                  </w:r>
                                </w:p>
                              </w:tc>
                              <w:tc>
                                <w:tcPr>
                                  <w:tcW w:w="3368" w:type="dxa"/>
                                  <w:tcBorders/>
                                  <w:shd w:fill="auto" w:val="clear"/>
                                  <w:vAlign w:val="center"/>
                                </w:tcPr>
                                <w:p>
                                  <w:pPr>
                                    <w:pStyle w:val="TableContents"/>
                                    <w:spacing w:before="0" w:after="283"/>
                                    <w:jc w:val="left"/>
                                    <w:rPr>
                                      <w:rFonts w:ascii="Arial" w:hAnsi="Arial"/>
                                      <w:sz w:val="20"/>
                                    </w:rPr>
                                  </w:pPr>
                                  <w:r>
                                    <w:rPr>
                                      <w:rFonts w:ascii="Arial" w:hAnsi="Arial"/>
                                      <w:sz w:val="20"/>
                                    </w:rPr>
                                    <w:t>Finance/Capital Markets</w:t>
                                  </w:r>
                                </w:p>
                              </w:tc>
                            </w:tr>
                            <w:tr>
                              <w:trPr/>
                              <w:tc>
                                <w:tcPr>
                                  <w:tcW w:w="970" w:type="dxa"/>
                                  <w:tcBorders/>
                                  <w:shd w:fill="auto" w:val="clear"/>
                                  <w:vAlign w:val="center"/>
                                </w:tcPr>
                                <w:p>
                                  <w:pPr>
                                    <w:pStyle w:val="TableContents"/>
                                    <w:spacing w:before="0" w:after="283"/>
                                    <w:jc w:val="center"/>
                                    <w:rPr/>
                                  </w:pPr>
                                  <w:r>
                                    <w:rPr/>
                                    <w:drawing>
                                      <wp:inline distT="0" distB="0" distL="0" distR="0">
                                        <wp:extent cx="314325" cy="342900"/>
                                        <wp:effectExtent l="0" t="0" r="0" b="0"/>
                                        <wp:docPr id="30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20" descr=""/>
                                                <pic:cNvPicPr>
                                                  <a:picLocks noChangeAspect="1" noChangeArrowheads="1"/>
                                                </pic:cNvPicPr>
                                              </pic:nvPicPr>
                                              <pic:blipFill>
                                                <a:blip r:embed="rId221"/>
                                                <a:srcRect l="-3207" t="-2938" r="-3207" b="-2938"/>
                                                <a:stretch>
                                                  <a:fillRect/>
                                                </a:stretch>
                                              </pic:blipFill>
                                              <pic:spPr bwMode="auto">
                                                <a:xfrm>
                                                  <a:off x="0" y="0"/>
                                                  <a:ext cx="314325" cy="342900"/>
                                                </a:xfrm>
                                                <a:prstGeom prst="rect">
                                                  <a:avLst/>
                                                </a:prstGeom>
                                                <a:ln w="635">
                                                  <a:solidFill>
                                                    <a:srgbClr val="000000"/>
                                                  </a:solidFill>
                                                </a:ln>
                                              </pic:spPr>
                                            </pic:pic>
                                          </a:graphicData>
                                        </a:graphic>
                                      </wp:inline>
                                    </w:drawing>
                                  </w:r>
                                </w:p>
                              </w:tc>
                              <w:tc>
                                <w:tcPr>
                                  <w:tcW w:w="4869"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998" w:type="dxa"/>
                                  <w:tcBorders/>
                                  <w:shd w:fill="auto" w:val="clear"/>
                                  <w:vAlign w:val="center"/>
                                </w:tcPr>
                                <w:p>
                                  <w:pPr>
                                    <w:pStyle w:val="TableContents"/>
                                    <w:spacing w:before="0" w:after="283"/>
                                    <w:jc w:val="center"/>
                                    <w:rPr/>
                                  </w:pPr>
                                  <w:r>
                                    <w:rPr/>
                                    <w:drawing>
                                      <wp:inline distT="0" distB="0" distL="0" distR="0">
                                        <wp:extent cx="342900" cy="323850"/>
                                        <wp:effectExtent l="0" t="0" r="0" b="0"/>
                                        <wp:docPr id="30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21" descr=""/>
                                                <pic:cNvPicPr>
                                                  <a:picLocks noChangeAspect="1" noChangeArrowheads="1"/>
                                                </pic:cNvPicPr>
                                              </pic:nvPicPr>
                                              <pic:blipFill>
                                                <a:blip r:embed="rId222"/>
                                                <a:srcRect l="-2938" t="-3111" r="-2938" b="-3111"/>
                                                <a:stretch>
                                                  <a:fillRect/>
                                                </a:stretch>
                                              </pic:blipFill>
                                              <pic:spPr bwMode="auto">
                                                <a:xfrm>
                                                  <a:off x="0" y="0"/>
                                                  <a:ext cx="342900" cy="323850"/>
                                                </a:xfrm>
                                                <a:prstGeom prst="rect">
                                                  <a:avLst/>
                                                </a:prstGeom>
                                                <a:ln w="635">
                                                  <a:solidFill>
                                                    <a:srgbClr val="000000"/>
                                                  </a:solidFill>
                                                </a:ln>
                                              </pic:spPr>
                                            </pic:pic>
                                          </a:graphicData>
                                        </a:graphic>
                                      </wp:inline>
                                    </w:drawing>
                                  </w:r>
                                </w:p>
                              </w:tc>
                              <w:tc>
                                <w:tcPr>
                                  <w:tcW w:w="3368" w:type="dxa"/>
                                  <w:tcBorders/>
                                  <w:shd w:fill="auto" w:val="clear"/>
                                  <w:vAlign w:val="center"/>
                                </w:tcPr>
                                <w:p>
                                  <w:pPr>
                                    <w:pStyle w:val="TableContents"/>
                                    <w:spacing w:before="0" w:after="283"/>
                                    <w:jc w:val="left"/>
                                    <w:rPr>
                                      <w:rFonts w:ascii="Arial" w:hAnsi="Arial"/>
                                      <w:sz w:val="20"/>
                                    </w:rPr>
                                  </w:pPr>
                                  <w:r>
                                    <w:rPr>
                                      <w:rFonts w:ascii="Arial" w:hAnsi="Arial"/>
                                      <w:sz w:val="20"/>
                                    </w:rPr>
                                    <w:t>REIT/Real Estate Industry</w:t>
                                  </w:r>
                                </w:p>
                              </w:tc>
                            </w:tr>
                            <w:tr>
                              <w:trPr/>
                              <w:tc>
                                <w:tcPr>
                                  <w:tcW w:w="970" w:type="dxa"/>
                                  <w:tcBorders/>
                                  <w:shd w:fill="auto" w:val="clear"/>
                                  <w:vAlign w:val="center"/>
                                </w:tcPr>
                                <w:p>
                                  <w:pPr>
                                    <w:pStyle w:val="TableContents"/>
                                    <w:spacing w:before="0" w:after="283"/>
                                    <w:jc w:val="center"/>
                                    <w:rPr/>
                                  </w:pPr>
                                  <w:r>
                                    <w:rPr/>
                                    <w:drawing>
                                      <wp:inline distT="0" distB="0" distL="0" distR="0">
                                        <wp:extent cx="314325" cy="304800"/>
                                        <wp:effectExtent l="0" t="0" r="0" b="0"/>
                                        <wp:docPr id="30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22" descr=""/>
                                                <pic:cNvPicPr>
                                                  <a:picLocks noChangeAspect="1" noChangeArrowheads="1"/>
                                                </pic:cNvPicPr>
                                              </pic:nvPicPr>
                                              <pic:blipFill>
                                                <a:blip r:embed="rId223"/>
                                                <a:srcRect l="-3207" t="-3305" r="-3207" b="-3305"/>
                                                <a:stretch>
                                                  <a:fillRect/>
                                                </a:stretch>
                                              </pic:blipFill>
                                              <pic:spPr bwMode="auto">
                                                <a:xfrm>
                                                  <a:off x="0" y="0"/>
                                                  <a:ext cx="314325" cy="304800"/>
                                                </a:xfrm>
                                                <a:prstGeom prst="rect">
                                                  <a:avLst/>
                                                </a:prstGeom>
                                                <a:ln w="635">
                                                  <a:solidFill>
                                                    <a:srgbClr val="000000"/>
                                                  </a:solidFill>
                                                </a:ln>
                                              </pic:spPr>
                                            </pic:pic>
                                          </a:graphicData>
                                        </a:graphic>
                                      </wp:inline>
                                    </w:drawing>
                                  </w:r>
                                </w:p>
                              </w:tc>
                              <w:tc>
                                <w:tcPr>
                                  <w:tcW w:w="4869" w:type="dxa"/>
                                  <w:tcBorders/>
                                  <w:shd w:fill="auto" w:val="clear"/>
                                  <w:vAlign w:val="center"/>
                                </w:tcPr>
                                <w:p>
                                  <w:pPr>
                                    <w:pStyle w:val="TableContents"/>
                                    <w:spacing w:before="0" w:after="283"/>
                                    <w:jc w:val="left"/>
                                    <w:rPr>
                                      <w:rFonts w:ascii="Arial" w:hAnsi="Arial"/>
                                      <w:sz w:val="20"/>
                                    </w:rPr>
                                  </w:pPr>
                                  <w:r>
                                    <w:rPr>
                                      <w:rFonts w:ascii="Arial" w:hAnsi="Arial"/>
                                      <w:sz w:val="20"/>
                                    </w:rPr>
                                    <w:t>Experience Over Several Business Cycles</w:t>
                                  </w:r>
                                </w:p>
                              </w:tc>
                              <w:tc>
                                <w:tcPr>
                                  <w:tcW w:w="998" w:type="dxa"/>
                                  <w:tcBorders/>
                                  <w:shd w:fill="auto" w:val="clear"/>
                                  <w:vAlign w:val="center"/>
                                </w:tcPr>
                                <w:p>
                                  <w:pPr>
                                    <w:pStyle w:val="TableContents"/>
                                    <w:spacing w:before="0" w:after="283"/>
                                    <w:jc w:val="center"/>
                                    <w:rPr/>
                                  </w:pPr>
                                  <w:r>
                                    <w:rPr/>
                                    <w:drawing>
                                      <wp:inline distT="0" distB="0" distL="0" distR="0">
                                        <wp:extent cx="314325" cy="304800"/>
                                        <wp:effectExtent l="0" t="0" r="0" b="0"/>
                                        <wp:docPr id="303"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23" descr=""/>
                                                <pic:cNvPicPr>
                                                  <a:picLocks noChangeAspect="1" noChangeArrowheads="1"/>
                                                </pic:cNvPicPr>
                                              </pic:nvPicPr>
                                              <pic:blipFill>
                                                <a:blip r:embed="rId224"/>
                                                <a:srcRect l="-3207" t="-3305" r="-3207" b="-3305"/>
                                                <a:stretch>
                                                  <a:fillRect/>
                                                </a:stretch>
                                              </pic:blipFill>
                                              <pic:spPr bwMode="auto">
                                                <a:xfrm>
                                                  <a:off x="0" y="0"/>
                                                  <a:ext cx="314325" cy="304800"/>
                                                </a:xfrm>
                                                <a:prstGeom prst="rect">
                                                  <a:avLst/>
                                                </a:prstGeom>
                                                <a:ln w="635">
                                                  <a:solidFill>
                                                    <a:srgbClr val="000000"/>
                                                  </a:solidFill>
                                                </a:ln>
                                              </pic:spPr>
                                            </pic:pic>
                                          </a:graphicData>
                                        </a:graphic>
                                      </wp:inline>
                                    </w:drawing>
                                  </w:r>
                                </w:p>
                              </w:tc>
                              <w:tc>
                                <w:tcPr>
                                  <w:tcW w:w="3368" w:type="dxa"/>
                                  <w:tcBorders/>
                                  <w:shd w:fill="auto" w:val="clear"/>
                                  <w:vAlign w:val="center"/>
                                </w:tcPr>
                                <w:p>
                                  <w:pPr>
                                    <w:pStyle w:val="TableContents"/>
                                    <w:spacing w:before="0" w:after="283"/>
                                    <w:jc w:val="left"/>
                                    <w:rPr>
                                      <w:rFonts w:ascii="Arial" w:hAnsi="Arial"/>
                                      <w:sz w:val="20"/>
                                    </w:rPr>
                                  </w:pPr>
                                  <w:r>
                                    <w:rPr>
                                      <w:rFonts w:ascii="Arial" w:hAnsi="Arial"/>
                                      <w:sz w:val="20"/>
                                    </w:rPr>
                                    <w:t>Talent Management</w:t>
                                  </w:r>
                                </w:p>
                              </w:tc>
                            </w:tr>
                            <w:tr>
                              <w:trPr/>
                              <w:tc>
                                <w:tcPr>
                                  <w:tcW w:w="970" w:type="dxa"/>
                                  <w:tcBorders/>
                                  <w:shd w:fill="auto" w:val="clear"/>
                                  <w:vAlign w:val="center"/>
                                </w:tcPr>
                                <w:p>
                                  <w:pPr>
                                    <w:pStyle w:val="TableContents"/>
                                    <w:spacing w:before="0" w:after="283"/>
                                    <w:jc w:val="center"/>
                                    <w:rPr/>
                                  </w:pPr>
                                  <w:r>
                                    <w:rPr/>
                                    <w:drawing>
                                      <wp:inline distT="0" distB="0" distL="0" distR="0">
                                        <wp:extent cx="333375" cy="342900"/>
                                        <wp:effectExtent l="0" t="0" r="0" b="0"/>
                                        <wp:docPr id="30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24" descr=""/>
                                                <pic:cNvPicPr>
                                                  <a:picLocks noChangeAspect="1" noChangeArrowheads="1"/>
                                                </pic:cNvPicPr>
                                              </pic:nvPicPr>
                                              <pic:blipFill>
                                                <a:blip r:embed="rId225"/>
                                                <a:srcRect l="-3023" t="-2938" r="-3023" b="-2938"/>
                                                <a:stretch>
                                                  <a:fillRect/>
                                                </a:stretch>
                                              </pic:blipFill>
                                              <pic:spPr bwMode="auto">
                                                <a:xfrm>
                                                  <a:off x="0" y="0"/>
                                                  <a:ext cx="333375" cy="342900"/>
                                                </a:xfrm>
                                                <a:prstGeom prst="rect">
                                                  <a:avLst/>
                                                </a:prstGeom>
                                                <a:ln w="635">
                                                  <a:solidFill>
                                                    <a:srgbClr val="000000"/>
                                                  </a:solidFill>
                                                </a:ln>
                                              </pic:spPr>
                                            </pic:pic>
                                          </a:graphicData>
                                        </a:graphic>
                                      </wp:inline>
                                    </w:drawing>
                                  </w:r>
                                </w:p>
                              </w:tc>
                              <w:tc>
                                <w:tcPr>
                                  <w:tcW w:w="4869" w:type="dxa"/>
                                  <w:tcBorders/>
                                  <w:shd w:fill="auto" w:val="clear"/>
                                  <w:vAlign w:val="center"/>
                                </w:tcPr>
                                <w:p>
                                  <w:pPr>
                                    <w:pStyle w:val="TableContents"/>
                                    <w:spacing w:before="0" w:after="283"/>
                                    <w:jc w:val="left"/>
                                    <w:rPr>
                                      <w:rFonts w:ascii="Arial" w:hAnsi="Arial"/>
                                      <w:sz w:val="20"/>
                                    </w:rPr>
                                  </w:pPr>
                                  <w:r>
                                    <w:rPr>
                                      <w:rFonts w:ascii="Arial" w:hAnsi="Arial"/>
                                      <w:sz w:val="20"/>
                                    </w:rPr>
                                    <w:t>Government/Regulatory Experience</w:t>
                                  </w:r>
                                </w:p>
                              </w:tc>
                              <w:tc>
                                <w:tcPr>
                                  <w:tcW w:w="998" w:type="dxa"/>
                                  <w:tcBorders/>
                                  <w:shd w:fill="auto" w:val="clear"/>
                                  <w:vAlign w:val="center"/>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591.25pt;mso-wrap-distance-left:0pt;mso-wrap-distance-right:0pt;mso-wrap-distance-top:0pt;mso-wrap-distance-bottom:0pt;margin-top:0pt;mso-position-vertical:top;mso-position-vertical-relative:text;margin-left:148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970"/>
                        <w:gridCol w:w="4869"/>
                        <w:gridCol w:w="998"/>
                        <w:gridCol w:w="3368"/>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In addition to his industry-wide reputation, Mr. Greens extensive skills and experience in real estate, including founding our predecessor, provide him with invaluable knowledge of and expertise in our business and industry. This experience, particularly his experience having led our predecessor and the Company, contributes depth and context to the Boards discussions of the Companys business.</w:t>
                            </w:r>
                          </w:p>
                        </w:tc>
                      </w:tr>
                      <w:tr>
                        <w:trPr/>
                        <w:tc>
                          <w:tcPr>
                            <w:tcW w:w="970" w:type="dxa"/>
                            <w:tcBorders/>
                            <w:shd w:fill="auto" w:val="clear"/>
                            <w:vAlign w:val="center"/>
                          </w:tcPr>
                          <w:p>
                            <w:pPr>
                              <w:pStyle w:val="TableContents"/>
                              <w:spacing w:before="0" w:after="283"/>
                              <w:jc w:val="left"/>
                              <w:rPr/>
                            </w:pPr>
                            <w:r>
                              <w:rPr/>
                              <w:t> </w:t>
                            </w:r>
                          </w:p>
                        </w:tc>
                        <w:tc>
                          <w:tcPr>
                            <w:tcW w:w="4869"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r>
                      <w:tr>
                        <w:trPr/>
                        <w:tc>
                          <w:tcPr>
                            <w:tcW w:w="970"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486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998"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3368"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0"/>
                              </w:rPr>
                              <w:t>Professional Experience</w:t>
                            </w:r>
                          </w:p>
                          <w:p>
                            <w:pPr>
                              <w:pStyle w:val="TableContents"/>
                              <w:spacing w:before="0" w:after="0"/>
                              <w:ind w:left="0" w:right="0" w:hanging="290"/>
                              <w:jc w:val="left"/>
                              <w:rPr/>
                            </w:pPr>
                            <w:r>
                              <w:rPr>
                                <w:color w:val="000000"/>
                              </w:rPr>
                              <w:t>●</w:t>
                            </w:r>
                            <w:r>
                              <w:rPr>
                                <w:rFonts w:ascii="Arial" w:hAnsi="Arial"/>
                                <w:sz w:val="20"/>
                              </w:rPr>
                              <w:t>Chairman Emeritus at the Company since January 2019</w:t>
                            </w:r>
                          </w:p>
                          <w:p>
                            <w:pPr>
                              <w:pStyle w:val="TableContents"/>
                              <w:spacing w:before="0" w:after="0"/>
                              <w:ind w:left="0" w:right="0" w:hanging="290"/>
                              <w:jc w:val="left"/>
                              <w:rPr/>
                            </w:pPr>
                            <w:r>
                              <w:rPr>
                                <w:color w:val="000000"/>
                              </w:rPr>
                              <w:t>●</w:t>
                            </w:r>
                            <w:r>
                              <w:rPr>
                                <w:rFonts w:ascii="Arial" w:hAnsi="Arial"/>
                                <w:sz w:val="20"/>
                              </w:rPr>
                              <w:t>Chairman of the Board of the Company from 1997 through January 2019</w:t>
                            </w:r>
                          </w:p>
                          <w:p>
                            <w:pPr>
                              <w:pStyle w:val="TableContents"/>
                              <w:spacing w:before="0" w:after="0"/>
                              <w:ind w:left="0" w:right="0" w:hanging="290"/>
                              <w:jc w:val="left"/>
                              <w:rPr/>
                            </w:pPr>
                            <w:r>
                              <w:rPr>
                                <w:color w:val="000000"/>
                              </w:rPr>
                              <w:t>●</w:t>
                            </w:r>
                            <w:r>
                              <w:rPr>
                                <w:rFonts w:ascii="Arial" w:hAnsi="Arial"/>
                                <w:sz w:val="20"/>
                              </w:rPr>
                              <w:t>Former executive officer working in conjunction with our Chief Executive Officer and overseeing the Companys long-term strategic direction; formerly served as our Chief Executive Officer</w:t>
                            </w:r>
                          </w:p>
                          <w:p>
                            <w:pPr>
                              <w:pStyle w:val="TableContents"/>
                              <w:spacing w:before="0" w:after="0"/>
                              <w:ind w:left="0" w:right="0" w:hanging="290"/>
                              <w:jc w:val="left"/>
                              <w:rPr/>
                            </w:pPr>
                            <w:r>
                              <w:rPr>
                                <w:color w:val="000000"/>
                              </w:rPr>
                              <w:t>●</w:t>
                            </w:r>
                            <w:r>
                              <w:rPr>
                                <w:rFonts w:ascii="Arial" w:hAnsi="Arial"/>
                                <w:sz w:val="20"/>
                              </w:rPr>
                              <w:t xml:space="preserve">Founded our predecessor, S.L. Green Properties, Inc., in 1980; prior to our initial public offering in 1997, Mr. Green was involved in the acquisition of over 50 Manhattan office buildings containing in excess of 10.0 million square feet </w:t>
                            </w:r>
                          </w:p>
                          <w:p>
                            <w:pPr>
                              <w:pStyle w:val="TableContents"/>
                              <w:spacing w:before="0" w:after="0"/>
                              <w:ind w:left="0" w:right="0" w:hanging="290"/>
                              <w:jc w:val="left"/>
                              <w:rPr/>
                            </w:pPr>
                            <w:r>
                              <w:rPr>
                                <w:color w:val="000000"/>
                              </w:rPr>
                              <w:t>●</w:t>
                            </w:r>
                            <w:r>
                              <w:rPr>
                                <w:rFonts w:ascii="Arial" w:hAnsi="Arial"/>
                                <w:sz w:val="20"/>
                              </w:rPr>
                              <w:t>Chairman of the Board of Gramercy Capital Corp. from August 2004 to June 2009</w:t>
                            </w:r>
                          </w:p>
                          <w:p>
                            <w:pPr>
                              <w:pStyle w:val="TableContents"/>
                              <w:spacing w:before="0" w:after="0"/>
                              <w:ind w:left="0" w:right="0" w:hanging="290"/>
                              <w:jc w:val="left"/>
                              <w:rPr/>
                            </w:pPr>
                            <w:r>
                              <w:rPr>
                                <w:color w:val="000000"/>
                              </w:rPr>
                              <w:t>●</w:t>
                            </w:r>
                            <w:r>
                              <w:rPr>
                                <w:rFonts w:ascii="Arial" w:hAnsi="Arial"/>
                                <w:sz w:val="20"/>
                              </w:rPr>
                              <w:t>At-large member of the Executive Committee of the Board of Governors of the Real Estate Board of New York</w:t>
                            </w:r>
                          </w:p>
                          <w:p>
                            <w:pPr>
                              <w:pStyle w:val="TableContents"/>
                              <w:spacing w:before="0" w:after="0"/>
                              <w:ind w:left="0" w:right="0" w:hanging="290"/>
                              <w:jc w:val="left"/>
                              <w:rPr/>
                            </w:pPr>
                            <w:r>
                              <w:rPr>
                                <w:color w:val="000000"/>
                              </w:rPr>
                              <w:t>●</w:t>
                            </w:r>
                            <w:r>
                              <w:rPr>
                                <w:rFonts w:ascii="Arial" w:hAnsi="Arial"/>
                                <w:sz w:val="20"/>
                              </w:rPr>
                              <w:t>Member of the Board of Directors of Streetsquash, Inc., a Section 501(c)(3) tax-exempt organization</w:t>
                            </w:r>
                          </w:p>
                          <w:p>
                            <w:pPr>
                              <w:pStyle w:val="TableContents"/>
                              <w:spacing w:before="0" w:after="0"/>
                              <w:ind w:left="0" w:right="0" w:hanging="290"/>
                              <w:jc w:val="left"/>
                              <w:rPr/>
                            </w:pPr>
                            <w:r>
                              <w:rPr>
                                <w:color w:val="000000"/>
                              </w:rPr>
                              <w:t>●</w:t>
                            </w:r>
                            <w:r>
                              <w:rPr>
                                <w:rFonts w:ascii="Arial" w:hAnsi="Arial"/>
                                <w:sz w:val="20"/>
                              </w:rPr>
                              <w:t>Previously member of the Board of Directors of Stemedica Cell Technologies, Inc., August 2007 to April 2009; Chairman of the Real Estate Board of New Yorks Tax Committee</w:t>
                            </w:r>
                          </w:p>
                          <w:p>
                            <w:pPr>
                              <w:pStyle w:val="TableContents"/>
                              <w:spacing w:before="0" w:after="0"/>
                              <w:ind w:left="0" w:right="0" w:hanging="290"/>
                              <w:jc w:val="left"/>
                              <w:rPr/>
                            </w:pPr>
                            <w:r>
                              <w:rPr>
                                <w:color w:val="000000"/>
                              </w:rPr>
                              <w:t>●</w:t>
                            </w:r>
                            <w:r>
                              <w:rPr>
                                <w:rFonts w:ascii="Arial" w:hAnsi="Arial"/>
                                <w:sz w:val="20"/>
                              </w:rPr>
                              <w:t>B.A. degree from Hartwick College and J.D. degree from Boston College Law School</w:t>
                            </w:r>
                          </w:p>
                        </w:tc>
                      </w:tr>
                      <w:tr>
                        <w:trPr/>
                        <w:tc>
                          <w:tcPr>
                            <w:tcW w:w="970" w:type="dxa"/>
                            <w:tcBorders/>
                            <w:shd w:fill="auto" w:val="clear"/>
                            <w:vAlign w:val="center"/>
                          </w:tcPr>
                          <w:p>
                            <w:pPr>
                              <w:pStyle w:val="TableContents"/>
                              <w:spacing w:before="0" w:after="283"/>
                              <w:jc w:val="left"/>
                              <w:rPr/>
                            </w:pPr>
                            <w:r>
                              <w:rPr/>
                              <w:t> </w:t>
                            </w:r>
                          </w:p>
                        </w:tc>
                        <w:tc>
                          <w:tcPr>
                            <w:tcW w:w="4869"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r>
                      <w:tr>
                        <w:trPr/>
                        <w:tc>
                          <w:tcPr>
                            <w:tcW w:w="970"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4869"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998"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3368"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970" w:type="dxa"/>
                            <w:tcBorders/>
                            <w:shd w:fill="auto" w:val="clear"/>
                            <w:vAlign w:val="center"/>
                          </w:tcPr>
                          <w:p>
                            <w:pPr>
                              <w:pStyle w:val="TableContents"/>
                              <w:spacing w:before="0" w:after="283"/>
                              <w:jc w:val="center"/>
                              <w:rPr/>
                            </w:pPr>
                            <w:r>
                              <w:rPr/>
                              <w:drawing>
                                <wp:inline distT="0" distB="0" distL="0" distR="0">
                                  <wp:extent cx="285750" cy="314325"/>
                                  <wp:effectExtent l="0" t="0" r="0" b="0"/>
                                  <wp:docPr id="305"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18" descr=""/>
                                          <pic:cNvPicPr>
                                            <a:picLocks noChangeAspect="1" noChangeArrowheads="1"/>
                                          </pic:cNvPicPr>
                                        </pic:nvPicPr>
                                        <pic:blipFill>
                                          <a:blip r:embed="rId219"/>
                                          <a:srcRect l="-3526" t="-3207" r="-3526" b="-3207"/>
                                          <a:stretch>
                                            <a:fillRect/>
                                          </a:stretch>
                                        </pic:blipFill>
                                        <pic:spPr bwMode="auto">
                                          <a:xfrm>
                                            <a:off x="0" y="0"/>
                                            <a:ext cx="285750" cy="314325"/>
                                          </a:xfrm>
                                          <a:prstGeom prst="rect">
                                            <a:avLst/>
                                          </a:prstGeom>
                                          <a:ln w="635">
                                            <a:solidFill>
                                              <a:srgbClr val="000000"/>
                                            </a:solidFill>
                                          </a:ln>
                                        </pic:spPr>
                                      </pic:pic>
                                    </a:graphicData>
                                  </a:graphic>
                                </wp:inline>
                              </w:drawing>
                            </w:r>
                          </w:p>
                        </w:tc>
                        <w:tc>
                          <w:tcPr>
                            <w:tcW w:w="4869"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c>
                          <w:tcPr>
                            <w:tcW w:w="998" w:type="dxa"/>
                            <w:tcBorders/>
                            <w:shd w:fill="auto" w:val="clear"/>
                            <w:vAlign w:val="center"/>
                          </w:tcPr>
                          <w:p>
                            <w:pPr>
                              <w:pStyle w:val="TableContents"/>
                              <w:spacing w:before="0" w:after="283"/>
                              <w:jc w:val="center"/>
                              <w:rPr/>
                            </w:pPr>
                            <w:r>
                              <w:rPr/>
                              <w:drawing>
                                <wp:inline distT="0" distB="0" distL="0" distR="0">
                                  <wp:extent cx="342900" cy="342900"/>
                                  <wp:effectExtent l="0" t="0" r="0" b="0"/>
                                  <wp:docPr id="306"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19" descr=""/>
                                          <pic:cNvPicPr>
                                            <a:picLocks noChangeAspect="1" noChangeArrowheads="1"/>
                                          </pic:cNvPicPr>
                                        </pic:nvPicPr>
                                        <pic:blipFill>
                                          <a:blip r:embed="rId220"/>
                                          <a:srcRect l="-2938" t="-2938" r="-2938" b="-2938"/>
                                          <a:stretch>
                                            <a:fillRect/>
                                          </a:stretch>
                                        </pic:blipFill>
                                        <pic:spPr bwMode="auto">
                                          <a:xfrm>
                                            <a:off x="0" y="0"/>
                                            <a:ext cx="342900" cy="342900"/>
                                          </a:xfrm>
                                          <a:prstGeom prst="rect">
                                            <a:avLst/>
                                          </a:prstGeom>
                                          <a:ln w="635">
                                            <a:solidFill>
                                              <a:srgbClr val="000000"/>
                                            </a:solidFill>
                                          </a:ln>
                                        </pic:spPr>
                                      </pic:pic>
                                    </a:graphicData>
                                  </a:graphic>
                                </wp:inline>
                              </w:drawing>
                            </w:r>
                          </w:p>
                        </w:tc>
                        <w:tc>
                          <w:tcPr>
                            <w:tcW w:w="3368" w:type="dxa"/>
                            <w:tcBorders/>
                            <w:shd w:fill="auto" w:val="clear"/>
                            <w:vAlign w:val="center"/>
                          </w:tcPr>
                          <w:p>
                            <w:pPr>
                              <w:pStyle w:val="TableContents"/>
                              <w:spacing w:before="0" w:after="283"/>
                              <w:jc w:val="left"/>
                              <w:rPr>
                                <w:rFonts w:ascii="Arial" w:hAnsi="Arial"/>
                                <w:sz w:val="20"/>
                              </w:rPr>
                            </w:pPr>
                            <w:r>
                              <w:rPr>
                                <w:rFonts w:ascii="Arial" w:hAnsi="Arial"/>
                                <w:sz w:val="20"/>
                              </w:rPr>
                              <w:t>Finance/Capital Markets</w:t>
                            </w:r>
                          </w:p>
                        </w:tc>
                      </w:tr>
                      <w:tr>
                        <w:trPr/>
                        <w:tc>
                          <w:tcPr>
                            <w:tcW w:w="970" w:type="dxa"/>
                            <w:tcBorders/>
                            <w:shd w:fill="auto" w:val="clear"/>
                            <w:vAlign w:val="center"/>
                          </w:tcPr>
                          <w:p>
                            <w:pPr>
                              <w:pStyle w:val="TableContents"/>
                              <w:spacing w:before="0" w:after="283"/>
                              <w:jc w:val="center"/>
                              <w:rPr/>
                            </w:pPr>
                            <w:r>
                              <w:rPr/>
                              <w:drawing>
                                <wp:inline distT="0" distB="0" distL="0" distR="0">
                                  <wp:extent cx="314325" cy="342900"/>
                                  <wp:effectExtent l="0" t="0" r="0" b="0"/>
                                  <wp:docPr id="307"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20" descr=""/>
                                          <pic:cNvPicPr>
                                            <a:picLocks noChangeAspect="1" noChangeArrowheads="1"/>
                                          </pic:cNvPicPr>
                                        </pic:nvPicPr>
                                        <pic:blipFill>
                                          <a:blip r:embed="rId221"/>
                                          <a:srcRect l="-3207" t="-2938" r="-3207" b="-2938"/>
                                          <a:stretch>
                                            <a:fillRect/>
                                          </a:stretch>
                                        </pic:blipFill>
                                        <pic:spPr bwMode="auto">
                                          <a:xfrm>
                                            <a:off x="0" y="0"/>
                                            <a:ext cx="314325" cy="342900"/>
                                          </a:xfrm>
                                          <a:prstGeom prst="rect">
                                            <a:avLst/>
                                          </a:prstGeom>
                                          <a:ln w="635">
                                            <a:solidFill>
                                              <a:srgbClr val="000000"/>
                                            </a:solidFill>
                                          </a:ln>
                                        </pic:spPr>
                                      </pic:pic>
                                    </a:graphicData>
                                  </a:graphic>
                                </wp:inline>
                              </w:drawing>
                            </w:r>
                          </w:p>
                        </w:tc>
                        <w:tc>
                          <w:tcPr>
                            <w:tcW w:w="4869"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998" w:type="dxa"/>
                            <w:tcBorders/>
                            <w:shd w:fill="auto" w:val="clear"/>
                            <w:vAlign w:val="center"/>
                          </w:tcPr>
                          <w:p>
                            <w:pPr>
                              <w:pStyle w:val="TableContents"/>
                              <w:spacing w:before="0" w:after="283"/>
                              <w:jc w:val="center"/>
                              <w:rPr/>
                            </w:pPr>
                            <w:r>
                              <w:rPr/>
                              <w:drawing>
                                <wp:inline distT="0" distB="0" distL="0" distR="0">
                                  <wp:extent cx="342900" cy="323850"/>
                                  <wp:effectExtent l="0" t="0" r="0" b="0"/>
                                  <wp:docPr id="308"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21" descr=""/>
                                          <pic:cNvPicPr>
                                            <a:picLocks noChangeAspect="1" noChangeArrowheads="1"/>
                                          </pic:cNvPicPr>
                                        </pic:nvPicPr>
                                        <pic:blipFill>
                                          <a:blip r:embed="rId222"/>
                                          <a:srcRect l="-2938" t="-3111" r="-2938" b="-3111"/>
                                          <a:stretch>
                                            <a:fillRect/>
                                          </a:stretch>
                                        </pic:blipFill>
                                        <pic:spPr bwMode="auto">
                                          <a:xfrm>
                                            <a:off x="0" y="0"/>
                                            <a:ext cx="342900" cy="323850"/>
                                          </a:xfrm>
                                          <a:prstGeom prst="rect">
                                            <a:avLst/>
                                          </a:prstGeom>
                                          <a:ln w="635">
                                            <a:solidFill>
                                              <a:srgbClr val="000000"/>
                                            </a:solidFill>
                                          </a:ln>
                                        </pic:spPr>
                                      </pic:pic>
                                    </a:graphicData>
                                  </a:graphic>
                                </wp:inline>
                              </w:drawing>
                            </w:r>
                          </w:p>
                        </w:tc>
                        <w:tc>
                          <w:tcPr>
                            <w:tcW w:w="3368" w:type="dxa"/>
                            <w:tcBorders/>
                            <w:shd w:fill="auto" w:val="clear"/>
                            <w:vAlign w:val="center"/>
                          </w:tcPr>
                          <w:p>
                            <w:pPr>
                              <w:pStyle w:val="TableContents"/>
                              <w:spacing w:before="0" w:after="283"/>
                              <w:jc w:val="left"/>
                              <w:rPr>
                                <w:rFonts w:ascii="Arial" w:hAnsi="Arial"/>
                                <w:sz w:val="20"/>
                              </w:rPr>
                            </w:pPr>
                            <w:r>
                              <w:rPr>
                                <w:rFonts w:ascii="Arial" w:hAnsi="Arial"/>
                                <w:sz w:val="20"/>
                              </w:rPr>
                              <w:t>REIT/Real Estate Industry</w:t>
                            </w:r>
                          </w:p>
                        </w:tc>
                      </w:tr>
                      <w:tr>
                        <w:trPr/>
                        <w:tc>
                          <w:tcPr>
                            <w:tcW w:w="970" w:type="dxa"/>
                            <w:tcBorders/>
                            <w:shd w:fill="auto" w:val="clear"/>
                            <w:vAlign w:val="center"/>
                          </w:tcPr>
                          <w:p>
                            <w:pPr>
                              <w:pStyle w:val="TableContents"/>
                              <w:spacing w:before="0" w:after="283"/>
                              <w:jc w:val="center"/>
                              <w:rPr/>
                            </w:pPr>
                            <w:r>
                              <w:rPr/>
                              <w:drawing>
                                <wp:inline distT="0" distB="0" distL="0" distR="0">
                                  <wp:extent cx="314325" cy="304800"/>
                                  <wp:effectExtent l="0" t="0" r="0" b="0"/>
                                  <wp:docPr id="309"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22" descr=""/>
                                          <pic:cNvPicPr>
                                            <a:picLocks noChangeAspect="1" noChangeArrowheads="1"/>
                                          </pic:cNvPicPr>
                                        </pic:nvPicPr>
                                        <pic:blipFill>
                                          <a:blip r:embed="rId223"/>
                                          <a:srcRect l="-3207" t="-3305" r="-3207" b="-3305"/>
                                          <a:stretch>
                                            <a:fillRect/>
                                          </a:stretch>
                                        </pic:blipFill>
                                        <pic:spPr bwMode="auto">
                                          <a:xfrm>
                                            <a:off x="0" y="0"/>
                                            <a:ext cx="314325" cy="304800"/>
                                          </a:xfrm>
                                          <a:prstGeom prst="rect">
                                            <a:avLst/>
                                          </a:prstGeom>
                                          <a:ln w="635">
                                            <a:solidFill>
                                              <a:srgbClr val="000000"/>
                                            </a:solidFill>
                                          </a:ln>
                                        </pic:spPr>
                                      </pic:pic>
                                    </a:graphicData>
                                  </a:graphic>
                                </wp:inline>
                              </w:drawing>
                            </w:r>
                          </w:p>
                        </w:tc>
                        <w:tc>
                          <w:tcPr>
                            <w:tcW w:w="4869" w:type="dxa"/>
                            <w:tcBorders/>
                            <w:shd w:fill="auto" w:val="clear"/>
                            <w:vAlign w:val="center"/>
                          </w:tcPr>
                          <w:p>
                            <w:pPr>
                              <w:pStyle w:val="TableContents"/>
                              <w:spacing w:before="0" w:after="283"/>
                              <w:jc w:val="left"/>
                              <w:rPr>
                                <w:rFonts w:ascii="Arial" w:hAnsi="Arial"/>
                                <w:sz w:val="20"/>
                              </w:rPr>
                            </w:pPr>
                            <w:r>
                              <w:rPr>
                                <w:rFonts w:ascii="Arial" w:hAnsi="Arial"/>
                                <w:sz w:val="20"/>
                              </w:rPr>
                              <w:t>Experience Over Several Business Cycles</w:t>
                            </w:r>
                          </w:p>
                        </w:tc>
                        <w:tc>
                          <w:tcPr>
                            <w:tcW w:w="998" w:type="dxa"/>
                            <w:tcBorders/>
                            <w:shd w:fill="auto" w:val="clear"/>
                            <w:vAlign w:val="center"/>
                          </w:tcPr>
                          <w:p>
                            <w:pPr>
                              <w:pStyle w:val="TableContents"/>
                              <w:spacing w:before="0" w:after="283"/>
                              <w:jc w:val="center"/>
                              <w:rPr/>
                            </w:pPr>
                            <w:r>
                              <w:rPr/>
                              <w:drawing>
                                <wp:inline distT="0" distB="0" distL="0" distR="0">
                                  <wp:extent cx="314325" cy="304800"/>
                                  <wp:effectExtent l="0" t="0" r="0" b="0"/>
                                  <wp:docPr id="310"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23" descr=""/>
                                          <pic:cNvPicPr>
                                            <a:picLocks noChangeAspect="1" noChangeArrowheads="1"/>
                                          </pic:cNvPicPr>
                                        </pic:nvPicPr>
                                        <pic:blipFill>
                                          <a:blip r:embed="rId224"/>
                                          <a:srcRect l="-3207" t="-3305" r="-3207" b="-3305"/>
                                          <a:stretch>
                                            <a:fillRect/>
                                          </a:stretch>
                                        </pic:blipFill>
                                        <pic:spPr bwMode="auto">
                                          <a:xfrm>
                                            <a:off x="0" y="0"/>
                                            <a:ext cx="314325" cy="304800"/>
                                          </a:xfrm>
                                          <a:prstGeom prst="rect">
                                            <a:avLst/>
                                          </a:prstGeom>
                                          <a:ln w="635">
                                            <a:solidFill>
                                              <a:srgbClr val="000000"/>
                                            </a:solidFill>
                                          </a:ln>
                                        </pic:spPr>
                                      </pic:pic>
                                    </a:graphicData>
                                  </a:graphic>
                                </wp:inline>
                              </w:drawing>
                            </w:r>
                          </w:p>
                        </w:tc>
                        <w:tc>
                          <w:tcPr>
                            <w:tcW w:w="3368" w:type="dxa"/>
                            <w:tcBorders/>
                            <w:shd w:fill="auto" w:val="clear"/>
                            <w:vAlign w:val="center"/>
                          </w:tcPr>
                          <w:p>
                            <w:pPr>
                              <w:pStyle w:val="TableContents"/>
                              <w:spacing w:before="0" w:after="283"/>
                              <w:jc w:val="left"/>
                              <w:rPr>
                                <w:rFonts w:ascii="Arial" w:hAnsi="Arial"/>
                                <w:sz w:val="20"/>
                              </w:rPr>
                            </w:pPr>
                            <w:r>
                              <w:rPr>
                                <w:rFonts w:ascii="Arial" w:hAnsi="Arial"/>
                                <w:sz w:val="20"/>
                              </w:rPr>
                              <w:t>Talent Management</w:t>
                            </w:r>
                          </w:p>
                        </w:tc>
                      </w:tr>
                      <w:tr>
                        <w:trPr/>
                        <w:tc>
                          <w:tcPr>
                            <w:tcW w:w="970" w:type="dxa"/>
                            <w:tcBorders/>
                            <w:shd w:fill="auto" w:val="clear"/>
                            <w:vAlign w:val="center"/>
                          </w:tcPr>
                          <w:p>
                            <w:pPr>
                              <w:pStyle w:val="TableContents"/>
                              <w:spacing w:before="0" w:after="283"/>
                              <w:jc w:val="center"/>
                              <w:rPr/>
                            </w:pPr>
                            <w:r>
                              <w:rPr/>
                              <w:drawing>
                                <wp:inline distT="0" distB="0" distL="0" distR="0">
                                  <wp:extent cx="333375" cy="342900"/>
                                  <wp:effectExtent l="0" t="0" r="0" b="0"/>
                                  <wp:docPr id="311"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24" descr=""/>
                                          <pic:cNvPicPr>
                                            <a:picLocks noChangeAspect="1" noChangeArrowheads="1"/>
                                          </pic:cNvPicPr>
                                        </pic:nvPicPr>
                                        <pic:blipFill>
                                          <a:blip r:embed="rId225"/>
                                          <a:srcRect l="-3023" t="-2938" r="-3023" b="-2938"/>
                                          <a:stretch>
                                            <a:fillRect/>
                                          </a:stretch>
                                        </pic:blipFill>
                                        <pic:spPr bwMode="auto">
                                          <a:xfrm>
                                            <a:off x="0" y="0"/>
                                            <a:ext cx="333375" cy="342900"/>
                                          </a:xfrm>
                                          <a:prstGeom prst="rect">
                                            <a:avLst/>
                                          </a:prstGeom>
                                          <a:ln w="635">
                                            <a:solidFill>
                                              <a:srgbClr val="000000"/>
                                            </a:solidFill>
                                          </a:ln>
                                        </pic:spPr>
                                      </pic:pic>
                                    </a:graphicData>
                                  </a:graphic>
                                </wp:inline>
                              </w:drawing>
                            </w:r>
                          </w:p>
                        </w:tc>
                        <w:tc>
                          <w:tcPr>
                            <w:tcW w:w="4869" w:type="dxa"/>
                            <w:tcBorders/>
                            <w:shd w:fill="auto" w:val="clear"/>
                            <w:vAlign w:val="center"/>
                          </w:tcPr>
                          <w:p>
                            <w:pPr>
                              <w:pStyle w:val="TableContents"/>
                              <w:spacing w:before="0" w:after="283"/>
                              <w:jc w:val="left"/>
                              <w:rPr>
                                <w:rFonts w:ascii="Arial" w:hAnsi="Arial"/>
                                <w:sz w:val="20"/>
                              </w:rPr>
                            </w:pPr>
                            <w:r>
                              <w:rPr>
                                <w:rFonts w:ascii="Arial" w:hAnsi="Arial"/>
                                <w:sz w:val="20"/>
                              </w:rPr>
                              <w:t>Government/Regulatory Experience</w:t>
                            </w:r>
                          </w:p>
                        </w:tc>
                        <w:tc>
                          <w:tcPr>
                            <w:tcW w:w="998" w:type="dxa"/>
                            <w:tcBorders/>
                            <w:shd w:fill="auto" w:val="clear"/>
                            <w:vAlign w:val="center"/>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18</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0" w:after="0"/>
        <w:rPr/>
      </w:pPr>
      <w:r>
        <w:rPr/>
      </w: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1619885" cy="4998720"/>
                <wp:effectExtent l="0" t="0" r="0" b="0"/>
                <wp:wrapSquare wrapText="largest"/>
                <wp:docPr id="312" name="Frame21"/>
                <a:graphic xmlns:a="http://schemas.openxmlformats.org/drawingml/2006/main">
                  <a:graphicData uri="http://schemas.microsoft.com/office/word/2010/wordprocessingShape">
                    <wps:wsp>
                      <wps:cNvSpPr txBox="1"/>
                      <wps:spPr>
                        <a:xfrm>
                          <a:off x="0" y="0"/>
                          <a:ext cx="1619885" cy="4998720"/>
                        </a:xfrm>
                        <a:prstGeom prst="rect"/>
                      </wps:spPr>
                      <wps:txbx>
                        <w:txbxContent>
                          <w:tbl>
                            <w:tblPr>
                              <w:tblW w:w="5659" w:type="dxa"/>
                              <w:jc w:val="left"/>
                              <w:tblInd w:w="0" w:type="dxa"/>
                              <w:tblCellMar>
                                <w:top w:w="0" w:type="dxa"/>
                                <w:left w:w="0" w:type="dxa"/>
                                <w:bottom w:w="0" w:type="dxa"/>
                                <w:right w:w="28" w:type="dxa"/>
                              </w:tblCellMar>
                            </w:tblPr>
                            <w:tblGrid>
                              <w:gridCol w:w="565"/>
                              <w:gridCol w:w="4914"/>
                              <w:gridCol w:w="180"/>
                            </w:tblGrid>
                            <w:tr>
                              <w:trPr/>
                              <w:tc>
                                <w:tcPr>
                                  <w:tcW w:w="565" w:type="dxa"/>
                                  <w:tcBorders>
                                    <w:right w:val="single" w:sz="32" w:space="0" w:color="8EAD3C"/>
                                  </w:tcBorders>
                                  <w:shd w:fill="auto" w:val="clear"/>
                                  <w:vAlign w:val="center"/>
                                </w:tcPr>
                                <w:p>
                                  <w:pPr>
                                    <w:pStyle w:val="TableContents"/>
                                    <w:spacing w:before="0" w:after="283"/>
                                    <w:jc w:val="left"/>
                                    <w:rPr/>
                                  </w:pPr>
                                  <w:r>
                                    <w:rPr/>
                                    <w:t>   </w:t>
                                  </w:r>
                                </w:p>
                              </w:tc>
                              <w:tc>
                                <w:tcPr>
                                  <w:tcW w:w="4914"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5479" w:type="dxa"/>
                                  <w:gridSpan w:val="2"/>
                                  <w:tcBorders/>
                                  <w:shd w:fill="1A2343" w:val="clear"/>
                                  <w:tcMar>
                                    <w:right w:w="0" w:type="dxa"/>
                                  </w:tcMar>
                                  <w:vAlign w:val="center"/>
                                </w:tcPr>
                                <w:p>
                                  <w:pPr>
                                    <w:pStyle w:val="TableContents"/>
                                    <w:jc w:val="left"/>
                                    <w:rPr>
                                      <w:rFonts w:ascii="Arial" w:hAnsi="Arial"/>
                                      <w:b/>
                                      <w:color w:val="FFFFFF"/>
                                      <w:sz w:val="24"/>
                                    </w:rPr>
                                  </w:pPr>
                                  <w:r>
                                    <w:rPr>
                                      <w:rFonts w:ascii="Arial" w:hAnsi="Arial"/>
                                      <w:b/>
                                      <w:color w:val="FFFFFF"/>
                                      <w:sz w:val="24"/>
                                    </w:rPr>
                                    <w:t>CRAIG M.</w:t>
                                    <w:br/>
                                    <w:t>HATKOFF</w:t>
                                  </w:r>
                                </w:p>
                                <w:p>
                                  <w:pPr>
                                    <w:pStyle w:val="TableContents"/>
                                    <w:jc w:val="left"/>
                                    <w:rPr/>
                                  </w:pPr>
                                  <w:r>
                                    <w:rPr/>
                                    <w:drawing>
                                      <wp:inline distT="0" distB="0" distL="0" distR="0">
                                        <wp:extent cx="1162050" cy="1466850"/>
                                        <wp:effectExtent l="0" t="0" r="0" b="0"/>
                                        <wp:docPr id="313"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25" descr=""/>
                                                <pic:cNvPicPr>
                                                  <a:picLocks noChangeAspect="1" noChangeArrowheads="1"/>
                                                </pic:cNvPicPr>
                                              </pic:nvPicPr>
                                              <pic:blipFill>
                                                <a:blip r:embed="rId226"/>
                                                <a:srcRect l="-867" t="-687" r="-867" b="-687"/>
                                                <a:stretch>
                                                  <a:fillRect/>
                                                </a:stretch>
                                              </pic:blipFill>
                                              <pic:spPr bwMode="auto">
                                                <a:xfrm>
                                                  <a:off x="0" y="0"/>
                                                  <a:ext cx="1162050" cy="1466850"/>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Independent Director</w:t>
                                  </w:r>
                                </w:p>
                                <w:p>
                                  <w:pPr>
                                    <w:pStyle w:val="TableContents"/>
                                    <w:jc w:val="left"/>
                                    <w:rPr/>
                                  </w:pPr>
                                  <w:r>
                                    <w:rPr>
                                      <w:rFonts w:ascii="Arial" w:hAnsi="Arial"/>
                                      <w:color w:val="FFFFFF"/>
                                      <w:sz w:val="20"/>
                                    </w:rPr>
                                    <w:t xml:space="preserve">Director Since: </w:t>
                                  </w:r>
                                  <w:r>
                                    <w:rPr>
                                      <w:rStyle w:val="StrongEmphasis"/>
                                      <w:rFonts w:ascii="Arial" w:hAnsi="Arial"/>
                                      <w:color w:val="FFFFFF"/>
                                      <w:sz w:val="20"/>
                                    </w:rPr>
                                    <w:t xml:space="preserve">2011 </w:t>
                                  </w:r>
                                </w:p>
                                <w:p>
                                  <w:pPr>
                                    <w:pStyle w:val="TableContents"/>
                                    <w:jc w:val="left"/>
                                    <w:rPr/>
                                  </w:pPr>
                                  <w:r>
                                    <w:rPr>
                                      <w:rFonts w:ascii="Arial" w:hAnsi="Arial"/>
                                      <w:color w:val="FFFFFF"/>
                                      <w:sz w:val="20"/>
                                    </w:rPr>
                                    <w:t xml:space="preserve">Age: </w:t>
                                  </w:r>
                                  <w:r>
                                    <w:rPr>
                                      <w:rStyle w:val="StrongEmphasis"/>
                                      <w:rFonts w:ascii="Arial" w:hAnsi="Arial"/>
                                      <w:color w:val="FFFFFF"/>
                                      <w:sz w:val="20"/>
                                    </w:rPr>
                                    <w:t xml:space="preserve">69 </w:t>
                                  </w:r>
                                </w:p>
                                <w:p>
                                  <w:pPr>
                                    <w:pStyle w:val="TableContents"/>
                                    <w:jc w:val="left"/>
                                    <w:rPr>
                                      <w:rFonts w:ascii="Arial" w:hAnsi="Arial"/>
                                      <w:color w:val="FFFFFF"/>
                                      <w:sz w:val="20"/>
                                    </w:rPr>
                                  </w:pPr>
                                  <w:r>
                                    <w:rPr>
                                      <w:rFonts w:ascii="Arial" w:hAnsi="Arial"/>
                                      <w:color w:val="FFFFFF"/>
                                      <w:sz w:val="20"/>
                                    </w:rPr>
                                    <w:t>SL Green</w:t>
                                    <w:br/>
                                    <w:t>Board Service:</w:t>
                                  </w:r>
                                </w:p>
                                <w:p>
                                  <w:pPr>
                                    <w:pStyle w:val="TableContents"/>
                                    <w:spacing w:before="0" w:after="0"/>
                                    <w:ind w:left="0" w:right="0" w:hanging="290"/>
                                    <w:jc w:val="left"/>
                                    <w:rPr/>
                                  </w:pPr>
                                  <w:r>
                                    <w:rPr>
                                      <w:color w:val="FFFFFF"/>
                                    </w:rPr>
                                    <w:t>●</w:t>
                                  </w:r>
                                  <w:r>
                                    <w:rPr>
                                      <w:rStyle w:val="StrongEmphasis"/>
                                      <w:rFonts w:ascii="arial" w:hAnsi="arial"/>
                                      <w:color w:val="FFFFFF"/>
                                      <w:sz w:val="20"/>
                                    </w:rPr>
                                    <w:t>Audit Committee</w:t>
                                  </w:r>
                                </w:p>
                                <w:p>
                                  <w:pPr>
                                    <w:pStyle w:val="TableContents"/>
                                    <w:spacing w:before="0" w:after="0"/>
                                    <w:ind w:left="0" w:right="0" w:hanging="290"/>
                                    <w:jc w:val="left"/>
                                    <w:rPr/>
                                  </w:pPr>
                                  <w:r>
                                    <w:rPr>
                                      <w:color w:val="FFFFFF"/>
                                    </w:rPr>
                                    <w:t>●</w:t>
                                  </w:r>
                                  <w:r>
                                    <w:rPr>
                                      <w:rStyle w:val="StrongEmphasis"/>
                                      <w:rFonts w:ascii="arial" w:hAnsi="arial"/>
                                      <w:color w:val="FFFFFF"/>
                                      <w:sz w:val="20"/>
                                    </w:rPr>
                                    <w:t>Nominating and Corporate Governance Committee, Chair</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565" w:type="dxa"/>
                                  <w:tcBorders/>
                                  <w:shd w:fill="auto" w:val="clear"/>
                                  <w:tcMar>
                                    <w:right w:w="0" w:type="dxa"/>
                                  </w:tcMar>
                                  <w:vAlign w:val="center"/>
                                </w:tcPr>
                                <w:p>
                                  <w:pPr>
                                    <w:pStyle w:val="TableContents"/>
                                    <w:spacing w:before="0" w:after="283"/>
                                    <w:jc w:val="left"/>
                                    <w:rPr/>
                                  </w:pPr>
                                  <w:r>
                                    <w:rPr/>
                                    <w:t> </w:t>
                                  </w:r>
                                </w:p>
                              </w:tc>
                              <w:tc>
                                <w:tcPr>
                                  <w:tcW w:w="4914"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25000</wp14:pctWidth>
                </wp14:sizeRelH>
              </wp:anchor>
            </w:drawing>
          </mc:Choice>
          <mc:Fallback>
            <w:pict>
              <v:rect style="position:absolute;rotation:0;width:127.55pt;height:393.6pt;mso-wrap-distance-left:0pt;mso-wrap-distance-right:0pt;mso-wrap-distance-top:0pt;mso-wrap-distance-bottom:0pt;margin-top:0pt;mso-position-vertical:top;mso-position-vertical-relative:text;margin-left:0pt;mso-position-horizontal:left;mso-position-horizontal-relative:text">
                <v:textbox>
                  <w:txbxContent>
                    <w:tbl>
                      <w:tblPr>
                        <w:tblW w:w="5659" w:type="dxa"/>
                        <w:jc w:val="left"/>
                        <w:tblInd w:w="0" w:type="dxa"/>
                        <w:tblCellMar>
                          <w:top w:w="0" w:type="dxa"/>
                          <w:left w:w="0" w:type="dxa"/>
                          <w:bottom w:w="0" w:type="dxa"/>
                          <w:right w:w="28" w:type="dxa"/>
                        </w:tblCellMar>
                      </w:tblPr>
                      <w:tblGrid>
                        <w:gridCol w:w="565"/>
                        <w:gridCol w:w="4914"/>
                        <w:gridCol w:w="180"/>
                      </w:tblGrid>
                      <w:tr>
                        <w:trPr/>
                        <w:tc>
                          <w:tcPr>
                            <w:tcW w:w="565" w:type="dxa"/>
                            <w:tcBorders>
                              <w:right w:val="single" w:sz="32" w:space="0" w:color="8EAD3C"/>
                            </w:tcBorders>
                            <w:shd w:fill="auto" w:val="clear"/>
                            <w:vAlign w:val="center"/>
                          </w:tcPr>
                          <w:p>
                            <w:pPr>
                              <w:pStyle w:val="TableContents"/>
                              <w:spacing w:before="0" w:after="283"/>
                              <w:jc w:val="left"/>
                              <w:rPr/>
                            </w:pPr>
                            <w:r>
                              <w:rPr/>
                              <w:t>   </w:t>
                            </w:r>
                          </w:p>
                        </w:tc>
                        <w:tc>
                          <w:tcPr>
                            <w:tcW w:w="4914"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5479" w:type="dxa"/>
                            <w:gridSpan w:val="2"/>
                            <w:tcBorders/>
                            <w:shd w:fill="1A2343" w:val="clear"/>
                            <w:tcMar>
                              <w:right w:w="0" w:type="dxa"/>
                            </w:tcMar>
                            <w:vAlign w:val="center"/>
                          </w:tcPr>
                          <w:p>
                            <w:pPr>
                              <w:pStyle w:val="TableContents"/>
                              <w:jc w:val="left"/>
                              <w:rPr>
                                <w:rFonts w:ascii="Arial" w:hAnsi="Arial"/>
                                <w:b/>
                                <w:color w:val="FFFFFF"/>
                                <w:sz w:val="24"/>
                              </w:rPr>
                            </w:pPr>
                            <w:r>
                              <w:rPr>
                                <w:rFonts w:ascii="Arial" w:hAnsi="Arial"/>
                                <w:b/>
                                <w:color w:val="FFFFFF"/>
                                <w:sz w:val="24"/>
                              </w:rPr>
                              <w:t>CRAIG M.</w:t>
                              <w:br/>
                              <w:t>HATKOFF</w:t>
                            </w:r>
                          </w:p>
                          <w:p>
                            <w:pPr>
                              <w:pStyle w:val="TableContents"/>
                              <w:jc w:val="left"/>
                              <w:rPr/>
                            </w:pPr>
                            <w:r>
                              <w:rPr/>
                              <w:drawing>
                                <wp:inline distT="0" distB="0" distL="0" distR="0">
                                  <wp:extent cx="1162050" cy="1466850"/>
                                  <wp:effectExtent l="0" t="0" r="0" b="0"/>
                                  <wp:docPr id="314"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25" descr=""/>
                                          <pic:cNvPicPr>
                                            <a:picLocks noChangeAspect="1" noChangeArrowheads="1"/>
                                          </pic:cNvPicPr>
                                        </pic:nvPicPr>
                                        <pic:blipFill>
                                          <a:blip r:embed="rId226"/>
                                          <a:srcRect l="-867" t="-687" r="-867" b="-687"/>
                                          <a:stretch>
                                            <a:fillRect/>
                                          </a:stretch>
                                        </pic:blipFill>
                                        <pic:spPr bwMode="auto">
                                          <a:xfrm>
                                            <a:off x="0" y="0"/>
                                            <a:ext cx="1162050" cy="1466850"/>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Independent Director</w:t>
                            </w:r>
                          </w:p>
                          <w:p>
                            <w:pPr>
                              <w:pStyle w:val="TableContents"/>
                              <w:jc w:val="left"/>
                              <w:rPr/>
                            </w:pPr>
                            <w:r>
                              <w:rPr>
                                <w:rFonts w:ascii="Arial" w:hAnsi="Arial"/>
                                <w:color w:val="FFFFFF"/>
                                <w:sz w:val="20"/>
                              </w:rPr>
                              <w:t xml:space="preserve">Director Since: </w:t>
                            </w:r>
                            <w:r>
                              <w:rPr>
                                <w:rStyle w:val="StrongEmphasis"/>
                                <w:rFonts w:ascii="Arial" w:hAnsi="Arial"/>
                                <w:color w:val="FFFFFF"/>
                                <w:sz w:val="20"/>
                              </w:rPr>
                              <w:t xml:space="preserve">2011 </w:t>
                            </w:r>
                          </w:p>
                          <w:p>
                            <w:pPr>
                              <w:pStyle w:val="TableContents"/>
                              <w:jc w:val="left"/>
                              <w:rPr/>
                            </w:pPr>
                            <w:r>
                              <w:rPr>
                                <w:rFonts w:ascii="Arial" w:hAnsi="Arial"/>
                                <w:color w:val="FFFFFF"/>
                                <w:sz w:val="20"/>
                              </w:rPr>
                              <w:t xml:space="preserve">Age: </w:t>
                            </w:r>
                            <w:r>
                              <w:rPr>
                                <w:rStyle w:val="StrongEmphasis"/>
                                <w:rFonts w:ascii="Arial" w:hAnsi="Arial"/>
                                <w:color w:val="FFFFFF"/>
                                <w:sz w:val="20"/>
                              </w:rPr>
                              <w:t xml:space="preserve">69 </w:t>
                            </w:r>
                          </w:p>
                          <w:p>
                            <w:pPr>
                              <w:pStyle w:val="TableContents"/>
                              <w:jc w:val="left"/>
                              <w:rPr>
                                <w:rFonts w:ascii="Arial" w:hAnsi="Arial"/>
                                <w:color w:val="FFFFFF"/>
                                <w:sz w:val="20"/>
                              </w:rPr>
                            </w:pPr>
                            <w:r>
                              <w:rPr>
                                <w:rFonts w:ascii="Arial" w:hAnsi="Arial"/>
                                <w:color w:val="FFFFFF"/>
                                <w:sz w:val="20"/>
                              </w:rPr>
                              <w:t>SL Green</w:t>
                              <w:br/>
                              <w:t>Board Service:</w:t>
                            </w:r>
                          </w:p>
                          <w:p>
                            <w:pPr>
                              <w:pStyle w:val="TableContents"/>
                              <w:spacing w:before="0" w:after="0"/>
                              <w:ind w:left="0" w:right="0" w:hanging="290"/>
                              <w:jc w:val="left"/>
                              <w:rPr/>
                            </w:pPr>
                            <w:r>
                              <w:rPr>
                                <w:color w:val="FFFFFF"/>
                              </w:rPr>
                              <w:t>●</w:t>
                            </w:r>
                            <w:r>
                              <w:rPr>
                                <w:rStyle w:val="StrongEmphasis"/>
                                <w:rFonts w:ascii="arial" w:hAnsi="arial"/>
                                <w:color w:val="FFFFFF"/>
                                <w:sz w:val="20"/>
                              </w:rPr>
                              <w:t>Audit Committee</w:t>
                            </w:r>
                          </w:p>
                          <w:p>
                            <w:pPr>
                              <w:pStyle w:val="TableContents"/>
                              <w:spacing w:before="0" w:after="0"/>
                              <w:ind w:left="0" w:right="0" w:hanging="290"/>
                              <w:jc w:val="left"/>
                              <w:rPr/>
                            </w:pPr>
                            <w:r>
                              <w:rPr>
                                <w:color w:val="FFFFFF"/>
                              </w:rPr>
                              <w:t>●</w:t>
                            </w:r>
                            <w:r>
                              <w:rPr>
                                <w:rStyle w:val="StrongEmphasis"/>
                                <w:rFonts w:ascii="arial" w:hAnsi="arial"/>
                                <w:color w:val="FFFFFF"/>
                                <w:sz w:val="20"/>
                              </w:rPr>
                              <w:t>Nominating and Corporate Governance Committee, Chair</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565" w:type="dxa"/>
                            <w:tcBorders/>
                            <w:shd w:fill="auto" w:val="clear"/>
                            <w:tcMar>
                              <w:right w:w="0" w:type="dxa"/>
                            </w:tcMar>
                            <w:vAlign w:val="center"/>
                          </w:tcPr>
                          <w:p>
                            <w:pPr>
                              <w:pStyle w:val="TableContents"/>
                              <w:spacing w:before="0" w:after="283"/>
                              <w:jc w:val="left"/>
                              <w:rPr/>
                            </w:pPr>
                            <w:r>
                              <w:rPr/>
                              <w:t> </w:t>
                            </w:r>
                          </w:p>
                        </w:tc>
                        <w:tc>
                          <w:tcPr>
                            <w:tcW w:w="4914"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olumn">
                  <wp:align>right</wp:align>
                </wp:positionH>
                <wp:positionV relativeFrom="line">
                  <wp:posOffset>635</wp:posOffset>
                </wp:positionV>
                <wp:extent cx="4600575" cy="9800590"/>
                <wp:effectExtent l="0" t="0" r="0" b="0"/>
                <wp:wrapSquare wrapText="largest"/>
                <wp:docPr id="315" name="Frame22"/>
                <a:graphic xmlns:a="http://schemas.openxmlformats.org/drawingml/2006/main">
                  <a:graphicData uri="http://schemas.microsoft.com/office/word/2010/wordprocessingShape">
                    <wps:wsp>
                      <wps:cNvSpPr txBox="1"/>
                      <wps:spPr>
                        <a:xfrm>
                          <a:off x="0" y="0"/>
                          <a:ext cx="4600575" cy="9800590"/>
                        </a:xfrm>
                        <a:prstGeom prst="rect"/>
                      </wps:spPr>
                      <wps:txbx>
                        <w:txbxContent>
                          <w:tbl>
                            <w:tblPr>
                              <w:tblW w:w="10205" w:type="dxa"/>
                              <w:jc w:val="left"/>
                              <w:tblInd w:w="0" w:type="dxa"/>
                              <w:tblCellMar>
                                <w:top w:w="0" w:type="dxa"/>
                                <w:left w:w="0" w:type="dxa"/>
                                <w:bottom w:w="0" w:type="dxa"/>
                                <w:right w:w="0" w:type="dxa"/>
                              </w:tblCellMar>
                            </w:tblPr>
                            <w:tblGrid>
                              <w:gridCol w:w="975"/>
                              <w:gridCol w:w="2990"/>
                              <w:gridCol w:w="1145"/>
                              <w:gridCol w:w="5095"/>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Mr. Hatkoff has in-depth expertise and knowledge of real estate, capital markets, finance, private investing, entrepreneurship and executive management through his work with Chemical Bank, Victor Capital Group and Capital Trust. As a result of the foregoing, Mr. Hatkoff provides a unique insight into the financial markets generally, valuation analysis, strategic planning, and unique financing structures and alternatives. He also possesses entrepreneurial, brand marketing, social media, technology and innovation, and senior leadership experience through his private investments and service on the Boards of numerous educational and charitable organizations. Mr. Hatkoff also has extensive Board and Board committee experience at other public companies, including his prior service at Taubman Centers, Inc. and his long-standing service to Capital Trust, Inc., which enables him to provide significant insight as to governance and compliance-related matters particular to real estate companies.</w:t>
                                  </w:r>
                                </w:p>
                              </w:tc>
                            </w:tr>
                            <w:tr>
                              <w:trPr/>
                              <w:tc>
                                <w:tcPr>
                                  <w:tcW w:w="975" w:type="dxa"/>
                                  <w:tcBorders/>
                                  <w:shd w:fill="auto" w:val="clear"/>
                                  <w:vAlign w:val="center"/>
                                </w:tcPr>
                                <w:p>
                                  <w:pPr>
                                    <w:pStyle w:val="TableContents"/>
                                    <w:spacing w:before="0" w:after="283"/>
                                    <w:jc w:val="left"/>
                                    <w:rPr/>
                                  </w:pPr>
                                  <w:r>
                                    <w:rPr/>
                                    <w:t> </w:t>
                                  </w:r>
                                </w:p>
                              </w:tc>
                              <w:tc>
                                <w:tcPr>
                                  <w:tcW w:w="299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5095" w:type="dxa"/>
                                  <w:tcBorders/>
                                  <w:shd w:fill="auto" w:val="clear"/>
                                  <w:vAlign w:val="center"/>
                                </w:tcPr>
                                <w:p>
                                  <w:pPr>
                                    <w:pStyle w:val="TableContents"/>
                                    <w:spacing w:before="0" w:after="283"/>
                                    <w:rPr>
                                      <w:sz w:val="4"/>
                                      <w:szCs w:val="4"/>
                                    </w:rPr>
                                  </w:pPr>
                                  <w:r>
                                    <w:rPr>
                                      <w:sz w:val="4"/>
                                      <w:szCs w:val="4"/>
                                    </w:rPr>
                                  </w:r>
                                </w:p>
                              </w:tc>
                            </w:tr>
                            <w:tr>
                              <w:trPr/>
                              <w:tc>
                                <w:tcPr>
                                  <w:tcW w:w="975"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2990"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145"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5095"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0"/>
                                    </w:rPr>
                                    <w:t>Professional Experience</w:t>
                                  </w:r>
                                </w:p>
                                <w:p>
                                  <w:pPr>
                                    <w:pStyle w:val="TableContents"/>
                                    <w:spacing w:before="0" w:after="0"/>
                                    <w:ind w:left="0" w:right="0" w:hanging="290"/>
                                    <w:jc w:val="left"/>
                                    <w:rPr/>
                                  </w:pPr>
                                  <w:r>
                                    <w:rPr>
                                      <w:color w:val="000000"/>
                                    </w:rPr>
                                    <w:t>●</w:t>
                                  </w:r>
                                  <w:r>
                                    <w:rPr>
                                      <w:rFonts w:ascii="Arial" w:hAnsi="Arial"/>
                                      <w:sz w:val="20"/>
                                    </w:rPr>
                                    <w:t>Vice Chairman of Capital Trust, Inc., a real estate investment management company that was listed on the New York Stock Exchange, and one of the largest dedicated real estate mezzanine lenders, from 1997 to 2000, and served on its Board of Directors from 1997 to 2010</w:t>
                                  </w:r>
                                </w:p>
                                <w:p>
                                  <w:pPr>
                                    <w:pStyle w:val="TableContents"/>
                                    <w:spacing w:before="0" w:after="0"/>
                                    <w:ind w:left="0" w:right="0" w:hanging="290"/>
                                    <w:jc w:val="left"/>
                                    <w:rPr/>
                                  </w:pPr>
                                  <w:r>
                                    <w:rPr>
                                      <w:color w:val="000000"/>
                                    </w:rPr>
                                    <w:t>●</w:t>
                                  </w:r>
                                  <w:r>
                                    <w:rPr>
                                      <w:rFonts w:ascii="Arial" w:hAnsi="Arial"/>
                                      <w:sz w:val="20"/>
                                    </w:rPr>
                                    <w:t>Trustee of the New York City School Construction Authority, the agency responsible for the construction of all public schools in New York City, from 2002 to 2005</w:t>
                                  </w:r>
                                </w:p>
                                <w:p>
                                  <w:pPr>
                                    <w:pStyle w:val="TableContents"/>
                                    <w:spacing w:before="0" w:after="0"/>
                                    <w:ind w:left="0" w:right="0" w:hanging="290"/>
                                    <w:jc w:val="left"/>
                                    <w:rPr/>
                                  </w:pPr>
                                  <w:r>
                                    <w:rPr>
                                      <w:color w:val="000000"/>
                                    </w:rPr>
                                    <w:t>●</w:t>
                                  </w:r>
                                  <w:r>
                                    <w:rPr>
                                      <w:rFonts w:ascii="Arial" w:hAnsi="Arial"/>
                                      <w:sz w:val="20"/>
                                    </w:rPr>
                                    <w:t>Founder and a managing partner of Victor Capital Group, L.P. from 1989 until its acquisition by Capital Trust, Inc. in 1997</w:t>
                                  </w:r>
                                </w:p>
                                <w:p>
                                  <w:pPr>
                                    <w:pStyle w:val="TableContents"/>
                                    <w:spacing w:before="0" w:after="0"/>
                                    <w:ind w:left="0" w:right="0" w:hanging="290"/>
                                    <w:jc w:val="left"/>
                                    <w:rPr/>
                                  </w:pPr>
                                  <w:r>
                                    <w:rPr>
                                      <w:color w:val="000000"/>
                                    </w:rPr>
                                    <w:t>●</w:t>
                                  </w:r>
                                  <w:r>
                                    <w:rPr>
                                      <w:rFonts w:ascii="Arial" w:hAnsi="Arial"/>
                                      <w:sz w:val="20"/>
                                    </w:rPr>
                                    <w:t>Former co-head of the real estate investment banking unit at Chemical Bank, where he was a pioneer in commercial mortgage securitization</w:t>
                                  </w:r>
                                </w:p>
                                <w:p>
                                  <w:pPr>
                                    <w:pStyle w:val="TableContents"/>
                                    <w:spacing w:before="0" w:after="0"/>
                                    <w:ind w:left="0" w:right="0" w:hanging="290"/>
                                    <w:jc w:val="left"/>
                                    <w:rPr/>
                                  </w:pPr>
                                  <w:r>
                                    <w:rPr>
                                      <w:color w:val="000000"/>
                                    </w:rPr>
                                    <w:t>●</w:t>
                                  </w:r>
                                  <w:r>
                                    <w:rPr>
                                      <w:rFonts w:ascii="Arial" w:hAnsi="Arial"/>
                                      <w:sz w:val="20"/>
                                    </w:rPr>
                                    <w:t>Co-founder of the Tribeca Film Festival; Chairman of Turtle Pond Publications LLC, which is active in childrens publishing and entertainment, and private investor in other entrepreneurial ventures</w:t>
                                  </w:r>
                                </w:p>
                                <w:p>
                                  <w:pPr>
                                    <w:pStyle w:val="TableContents"/>
                                    <w:spacing w:before="0" w:after="0"/>
                                    <w:ind w:left="0" w:right="0" w:hanging="290"/>
                                    <w:jc w:val="left"/>
                                    <w:rPr/>
                                  </w:pPr>
                                  <w:r>
                                    <w:rPr>
                                      <w:color w:val="000000"/>
                                    </w:rPr>
                                    <w:t>●</w:t>
                                  </w:r>
                                  <w:r>
                                    <w:rPr>
                                      <w:rFonts w:ascii="Arial" w:hAnsi="Arial"/>
                                      <w:sz w:val="20"/>
                                    </w:rPr>
                                    <w:t>Adjunct Professor at Columbia Business School</w:t>
                                  </w:r>
                                </w:p>
                                <w:p>
                                  <w:pPr>
                                    <w:pStyle w:val="TableContents"/>
                                    <w:spacing w:before="0" w:after="0"/>
                                    <w:ind w:left="0" w:right="0" w:hanging="290"/>
                                    <w:jc w:val="left"/>
                                    <w:rPr/>
                                  </w:pPr>
                                  <w:r>
                                    <w:rPr>
                                      <w:color w:val="000000"/>
                                    </w:rPr>
                                    <w:t>●</w:t>
                                  </w:r>
                                  <w:r>
                                    <w:rPr>
                                      <w:rFonts w:ascii="Arial" w:hAnsi="Arial"/>
                                      <w:sz w:val="20"/>
                                    </w:rPr>
                                    <w:t>Member of the Board of Directors of Mandela Institute for Humanity</w:t>
                                  </w:r>
                                </w:p>
                                <w:p>
                                  <w:pPr>
                                    <w:pStyle w:val="TableContents"/>
                                    <w:ind w:left="0" w:right="0" w:hanging="290"/>
                                    <w:jc w:val="left"/>
                                    <w:rPr/>
                                  </w:pPr>
                                  <w:r>
                                    <w:rPr>
                                      <w:color w:val="000000"/>
                                    </w:rPr>
                                    <w:t>●</w:t>
                                  </w:r>
                                  <w:r>
                                    <w:rPr>
                                      <w:rFonts w:ascii="Arial" w:hAnsi="Arial"/>
                                      <w:sz w:val="20"/>
                                    </w:rPr>
                                    <w:t>Former member of the Board of Directors of Taubman Centers, Inc., 2004 to January 2019 and Colony Capital, Inc. from February 2019 to February 2021</w:t>
                                  </w:r>
                                </w:p>
                                <w:p>
                                  <w:pPr>
                                    <w:pStyle w:val="TableContents"/>
                                    <w:jc w:val="left"/>
                                    <w:rPr/>
                                  </w:pPr>
                                  <w:r>
                                    <w:rPr>
                                      <w:rStyle w:val="StrongEmphasis"/>
                                      <w:rFonts w:ascii="Arial" w:hAnsi="Arial"/>
                                      <w:color w:val="1A2343"/>
                                      <w:sz w:val="20"/>
                                    </w:rPr>
                                    <w:t>Other Public Board Directorships</w:t>
                                  </w:r>
                                </w:p>
                                <w:p>
                                  <w:pPr>
                                    <w:pStyle w:val="TableContents"/>
                                    <w:spacing w:before="0" w:after="0"/>
                                    <w:ind w:left="0" w:right="0" w:hanging="290"/>
                                    <w:jc w:val="left"/>
                                    <w:rPr/>
                                  </w:pPr>
                                  <w:r>
                                    <w:rPr>
                                      <w:color w:val="000000"/>
                                    </w:rPr>
                                    <w:t>●</w:t>
                                  </w:r>
                                  <w:r>
                                    <w:rPr>
                                      <w:rFonts w:ascii="Arial" w:hAnsi="Arial"/>
                                      <w:sz w:val="20"/>
                                    </w:rPr>
                                    <w:t>Jaguar Global Growth Corporation I since February 2022</w:t>
                                  </w:r>
                                </w:p>
                              </w:tc>
                            </w:tr>
                            <w:tr>
                              <w:trPr/>
                              <w:tc>
                                <w:tcPr>
                                  <w:tcW w:w="975" w:type="dxa"/>
                                  <w:tcBorders/>
                                  <w:shd w:fill="auto" w:val="clear"/>
                                  <w:vAlign w:val="center"/>
                                </w:tcPr>
                                <w:p>
                                  <w:pPr>
                                    <w:pStyle w:val="TableContents"/>
                                    <w:spacing w:before="0" w:after="283"/>
                                    <w:jc w:val="left"/>
                                    <w:rPr/>
                                  </w:pPr>
                                  <w:r>
                                    <w:rPr/>
                                    <w:t> </w:t>
                                  </w:r>
                                </w:p>
                              </w:tc>
                              <w:tc>
                                <w:tcPr>
                                  <w:tcW w:w="299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5095" w:type="dxa"/>
                                  <w:tcBorders/>
                                  <w:shd w:fill="auto" w:val="clear"/>
                                  <w:vAlign w:val="center"/>
                                </w:tcPr>
                                <w:p>
                                  <w:pPr>
                                    <w:pStyle w:val="TableContents"/>
                                    <w:spacing w:before="0" w:after="283"/>
                                    <w:rPr>
                                      <w:sz w:val="4"/>
                                      <w:szCs w:val="4"/>
                                    </w:rPr>
                                  </w:pPr>
                                  <w:r>
                                    <w:rPr>
                                      <w:sz w:val="4"/>
                                      <w:szCs w:val="4"/>
                                    </w:rPr>
                                  </w:r>
                                </w:p>
                              </w:tc>
                            </w:tr>
                            <w:tr>
                              <w:trPr/>
                              <w:tc>
                                <w:tcPr>
                                  <w:tcW w:w="975"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2990"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145"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5095"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975" w:type="dxa"/>
                                  <w:tcBorders/>
                                  <w:shd w:fill="auto" w:val="clear"/>
                                  <w:vAlign w:val="center"/>
                                </w:tcPr>
                                <w:p>
                                  <w:pPr>
                                    <w:pStyle w:val="TableContents"/>
                                    <w:spacing w:before="0" w:after="283"/>
                                    <w:jc w:val="center"/>
                                    <w:rPr/>
                                  </w:pPr>
                                  <w:r>
                                    <w:rPr/>
                                    <w:drawing>
                                      <wp:inline distT="0" distB="0" distL="0" distR="0">
                                        <wp:extent cx="285750" cy="304800"/>
                                        <wp:effectExtent l="0" t="0" r="0" b="0"/>
                                        <wp:docPr id="31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26" descr=""/>
                                                <pic:cNvPicPr>
                                                  <a:picLocks noChangeAspect="1" noChangeArrowheads="1"/>
                                                </pic:cNvPicPr>
                                              </pic:nvPicPr>
                                              <pic:blipFill>
                                                <a:blip r:embed="rId227"/>
                                                <a:srcRect l="-3526" t="-3305" r="-3526" b="-3305"/>
                                                <a:stretch>
                                                  <a:fillRect/>
                                                </a:stretch>
                                              </pic:blipFill>
                                              <pic:spPr bwMode="auto">
                                                <a:xfrm>
                                                  <a:off x="0" y="0"/>
                                                  <a:ext cx="285750" cy="304800"/>
                                                </a:xfrm>
                                                <a:prstGeom prst="rect">
                                                  <a:avLst/>
                                                </a:prstGeom>
                                                <a:ln w="635">
                                                  <a:solidFill>
                                                    <a:srgbClr val="000000"/>
                                                  </a:solidFill>
                                                </a:ln>
                                              </pic:spPr>
                                            </pic:pic>
                                          </a:graphicData>
                                        </a:graphic>
                                      </wp:inline>
                                    </w:drawing>
                                  </w:r>
                                </w:p>
                              </w:tc>
                              <w:tc>
                                <w:tcPr>
                                  <w:tcW w:w="2990"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c>
                                <w:tcPr>
                                  <w:tcW w:w="1145" w:type="dxa"/>
                                  <w:tcBorders/>
                                  <w:shd w:fill="auto" w:val="clear"/>
                                  <w:vAlign w:val="center"/>
                                </w:tcPr>
                                <w:p>
                                  <w:pPr>
                                    <w:pStyle w:val="TableContents"/>
                                    <w:spacing w:before="0" w:after="283"/>
                                    <w:jc w:val="center"/>
                                    <w:rPr/>
                                  </w:pPr>
                                  <w:r>
                                    <w:rPr/>
                                    <w:drawing>
                                      <wp:inline distT="0" distB="0" distL="0" distR="0">
                                        <wp:extent cx="342900" cy="342900"/>
                                        <wp:effectExtent l="0" t="0" r="0" b="0"/>
                                        <wp:docPr id="31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27" descr=""/>
                                                <pic:cNvPicPr>
                                                  <a:picLocks noChangeAspect="1" noChangeArrowheads="1"/>
                                                </pic:cNvPicPr>
                                              </pic:nvPicPr>
                                              <pic:blipFill>
                                                <a:blip r:embed="rId228"/>
                                                <a:srcRect l="-2938" t="-2938" r="-2938" b="-2938"/>
                                                <a:stretch>
                                                  <a:fillRect/>
                                                </a:stretch>
                                              </pic:blipFill>
                                              <pic:spPr bwMode="auto">
                                                <a:xfrm>
                                                  <a:off x="0" y="0"/>
                                                  <a:ext cx="342900" cy="342900"/>
                                                </a:xfrm>
                                                <a:prstGeom prst="rect">
                                                  <a:avLst/>
                                                </a:prstGeom>
                                                <a:ln w="635">
                                                  <a:solidFill>
                                                    <a:srgbClr val="000000"/>
                                                  </a:solidFill>
                                                </a:ln>
                                              </pic:spPr>
                                            </pic:pic>
                                          </a:graphicData>
                                        </a:graphic>
                                      </wp:inline>
                                    </w:drawing>
                                  </w:r>
                                </w:p>
                              </w:tc>
                              <w:tc>
                                <w:tcPr>
                                  <w:tcW w:w="5095" w:type="dxa"/>
                                  <w:tcBorders/>
                                  <w:shd w:fill="auto" w:val="clear"/>
                                  <w:vAlign w:val="center"/>
                                </w:tcPr>
                                <w:p>
                                  <w:pPr>
                                    <w:pStyle w:val="TableContents"/>
                                    <w:spacing w:before="0" w:after="283"/>
                                    <w:jc w:val="left"/>
                                    <w:rPr>
                                      <w:rFonts w:ascii="Arial" w:hAnsi="Arial"/>
                                      <w:sz w:val="20"/>
                                    </w:rPr>
                                  </w:pPr>
                                  <w:r>
                                    <w:rPr>
                                      <w:rFonts w:ascii="Arial" w:hAnsi="Arial"/>
                                      <w:sz w:val="20"/>
                                    </w:rPr>
                                    <w:t>Finance/Capital Markets</w:t>
                                  </w:r>
                                </w:p>
                              </w:tc>
                            </w:tr>
                            <w:tr>
                              <w:trPr/>
                              <w:tc>
                                <w:tcPr>
                                  <w:tcW w:w="975" w:type="dxa"/>
                                  <w:tcBorders/>
                                  <w:shd w:fill="auto" w:val="clear"/>
                                  <w:vAlign w:val="center"/>
                                </w:tcPr>
                                <w:p>
                                  <w:pPr>
                                    <w:pStyle w:val="TableContents"/>
                                    <w:spacing w:before="0" w:after="283"/>
                                    <w:jc w:val="center"/>
                                    <w:rPr/>
                                  </w:pPr>
                                  <w:r>
                                    <w:rPr/>
                                    <w:drawing>
                                      <wp:inline distT="0" distB="0" distL="0" distR="0">
                                        <wp:extent cx="314325" cy="342900"/>
                                        <wp:effectExtent l="0" t="0" r="0" b="0"/>
                                        <wp:docPr id="31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28" descr=""/>
                                                <pic:cNvPicPr>
                                                  <a:picLocks noChangeAspect="1" noChangeArrowheads="1"/>
                                                </pic:cNvPicPr>
                                              </pic:nvPicPr>
                                              <pic:blipFill>
                                                <a:blip r:embed="rId229"/>
                                                <a:srcRect l="-3207" t="-2938" r="-3207" b="-2938"/>
                                                <a:stretch>
                                                  <a:fillRect/>
                                                </a:stretch>
                                              </pic:blipFill>
                                              <pic:spPr bwMode="auto">
                                                <a:xfrm>
                                                  <a:off x="0" y="0"/>
                                                  <a:ext cx="314325" cy="342900"/>
                                                </a:xfrm>
                                                <a:prstGeom prst="rect">
                                                  <a:avLst/>
                                                </a:prstGeom>
                                                <a:ln w="635">
                                                  <a:solidFill>
                                                    <a:srgbClr val="000000"/>
                                                  </a:solidFill>
                                                </a:ln>
                                              </pic:spPr>
                                            </pic:pic>
                                          </a:graphicData>
                                        </a:graphic>
                                      </wp:inline>
                                    </w:drawing>
                                  </w:r>
                                </w:p>
                              </w:tc>
                              <w:tc>
                                <w:tcPr>
                                  <w:tcW w:w="2990"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1145" w:type="dxa"/>
                                  <w:tcBorders/>
                                  <w:shd w:fill="auto" w:val="clear"/>
                                  <w:vAlign w:val="center"/>
                                </w:tcPr>
                                <w:p>
                                  <w:pPr>
                                    <w:pStyle w:val="TableContents"/>
                                    <w:spacing w:before="0" w:after="283"/>
                                    <w:jc w:val="center"/>
                                    <w:rPr/>
                                  </w:pPr>
                                  <w:r>
                                    <w:rPr/>
                                    <w:drawing>
                                      <wp:inline distT="0" distB="0" distL="0" distR="0">
                                        <wp:extent cx="409575" cy="381000"/>
                                        <wp:effectExtent l="0" t="0" r="0" b="0"/>
                                        <wp:docPr id="31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29" descr=""/>
                                                <pic:cNvPicPr>
                                                  <a:picLocks noChangeAspect="1" noChangeArrowheads="1"/>
                                                </pic:cNvPicPr>
                                              </pic:nvPicPr>
                                              <pic:blipFill>
                                                <a:blip r:embed="rId230"/>
                                                <a:srcRect l="-2460" t="-2646" r="-2460" b="-2646"/>
                                                <a:stretch>
                                                  <a:fillRect/>
                                                </a:stretch>
                                              </pic:blipFill>
                                              <pic:spPr bwMode="auto">
                                                <a:xfrm>
                                                  <a:off x="0" y="0"/>
                                                  <a:ext cx="409575" cy="381000"/>
                                                </a:xfrm>
                                                <a:prstGeom prst="rect">
                                                  <a:avLst/>
                                                </a:prstGeom>
                                                <a:ln w="635">
                                                  <a:solidFill>
                                                    <a:srgbClr val="000000"/>
                                                  </a:solidFill>
                                                </a:ln>
                                              </pic:spPr>
                                            </pic:pic>
                                          </a:graphicData>
                                        </a:graphic>
                                      </wp:inline>
                                    </w:drawing>
                                  </w:r>
                                </w:p>
                              </w:tc>
                              <w:tc>
                                <w:tcPr>
                                  <w:tcW w:w="5095" w:type="dxa"/>
                                  <w:tcBorders/>
                                  <w:shd w:fill="auto" w:val="clear"/>
                                  <w:vAlign w:val="center"/>
                                </w:tcPr>
                                <w:p>
                                  <w:pPr>
                                    <w:pStyle w:val="TableContents"/>
                                    <w:spacing w:before="0" w:after="283"/>
                                    <w:jc w:val="left"/>
                                    <w:rPr>
                                      <w:rFonts w:ascii="Arial" w:hAnsi="Arial"/>
                                      <w:sz w:val="20"/>
                                    </w:rPr>
                                  </w:pPr>
                                  <w:r>
                                    <w:rPr>
                                      <w:rFonts w:ascii="Arial" w:hAnsi="Arial"/>
                                      <w:sz w:val="20"/>
                                    </w:rPr>
                                    <w:t>Public Company Board Service/Corporate Governance</w:t>
                                  </w:r>
                                </w:p>
                              </w:tc>
                            </w:tr>
                            <w:tr>
                              <w:trPr/>
                              <w:tc>
                                <w:tcPr>
                                  <w:tcW w:w="975" w:type="dxa"/>
                                  <w:tcBorders/>
                                  <w:shd w:fill="auto" w:val="clear"/>
                                  <w:vAlign w:val="center"/>
                                </w:tcPr>
                                <w:p>
                                  <w:pPr>
                                    <w:pStyle w:val="TableContents"/>
                                    <w:spacing w:before="0" w:after="283"/>
                                    <w:jc w:val="center"/>
                                    <w:rPr/>
                                  </w:pPr>
                                  <w:r>
                                    <w:rPr/>
                                    <w:drawing>
                                      <wp:inline distT="0" distB="0" distL="0" distR="0">
                                        <wp:extent cx="352425" cy="342900"/>
                                        <wp:effectExtent l="0" t="0" r="0" b="0"/>
                                        <wp:docPr id="32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30" descr=""/>
                                                <pic:cNvPicPr>
                                                  <a:picLocks noChangeAspect="1" noChangeArrowheads="1"/>
                                                </pic:cNvPicPr>
                                              </pic:nvPicPr>
                                              <pic:blipFill>
                                                <a:blip r:embed="rId231"/>
                                                <a:srcRect l="-2860" t="-2938" r="-2860" b="-2938"/>
                                                <a:stretch>
                                                  <a:fillRect/>
                                                </a:stretch>
                                              </pic:blipFill>
                                              <pic:spPr bwMode="auto">
                                                <a:xfrm>
                                                  <a:off x="0" y="0"/>
                                                  <a:ext cx="352425" cy="342900"/>
                                                </a:xfrm>
                                                <a:prstGeom prst="rect">
                                                  <a:avLst/>
                                                </a:prstGeom>
                                                <a:ln w="635">
                                                  <a:solidFill>
                                                    <a:srgbClr val="000000"/>
                                                  </a:solidFill>
                                                </a:ln>
                                              </pic:spPr>
                                            </pic:pic>
                                          </a:graphicData>
                                        </a:graphic>
                                      </wp:inline>
                                    </w:drawing>
                                  </w:r>
                                </w:p>
                              </w:tc>
                              <w:tc>
                                <w:tcPr>
                                  <w:tcW w:w="2990" w:type="dxa"/>
                                  <w:tcBorders/>
                                  <w:shd w:fill="auto" w:val="clear"/>
                                  <w:vAlign w:val="center"/>
                                </w:tcPr>
                                <w:p>
                                  <w:pPr>
                                    <w:pStyle w:val="TableContents"/>
                                    <w:spacing w:before="0" w:after="283"/>
                                    <w:jc w:val="left"/>
                                    <w:rPr>
                                      <w:rFonts w:ascii="Arial" w:hAnsi="Arial"/>
                                      <w:sz w:val="20"/>
                                    </w:rPr>
                                  </w:pPr>
                                  <w:r>
                                    <w:rPr>
                                      <w:rFonts w:ascii="Arial" w:hAnsi="Arial"/>
                                      <w:sz w:val="20"/>
                                    </w:rPr>
                                    <w:t>REIT/Real Estate Industry</w:t>
                                  </w:r>
                                </w:p>
                              </w:tc>
                              <w:tc>
                                <w:tcPr>
                                  <w:tcW w:w="1145" w:type="dxa"/>
                                  <w:tcBorders/>
                                  <w:shd w:fill="auto" w:val="clear"/>
                                  <w:vAlign w:val="center"/>
                                </w:tcPr>
                                <w:p>
                                  <w:pPr>
                                    <w:pStyle w:val="TableContents"/>
                                    <w:spacing w:before="0" w:after="283"/>
                                    <w:jc w:val="center"/>
                                    <w:rPr/>
                                  </w:pPr>
                                  <w:r>
                                    <w:rPr/>
                                    <w:drawing>
                                      <wp:inline distT="0" distB="0" distL="0" distR="0">
                                        <wp:extent cx="314325" cy="304800"/>
                                        <wp:effectExtent l="0" t="0" r="0" b="0"/>
                                        <wp:docPr id="32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31" descr=""/>
                                                <pic:cNvPicPr>
                                                  <a:picLocks noChangeAspect="1" noChangeArrowheads="1"/>
                                                </pic:cNvPicPr>
                                              </pic:nvPicPr>
                                              <pic:blipFill>
                                                <a:blip r:embed="rId232"/>
                                                <a:srcRect l="-3207" t="-3305" r="-3207" b="-3305"/>
                                                <a:stretch>
                                                  <a:fillRect/>
                                                </a:stretch>
                                              </pic:blipFill>
                                              <pic:spPr bwMode="auto">
                                                <a:xfrm>
                                                  <a:off x="0" y="0"/>
                                                  <a:ext cx="314325" cy="304800"/>
                                                </a:xfrm>
                                                <a:prstGeom prst="rect">
                                                  <a:avLst/>
                                                </a:prstGeom>
                                                <a:ln w="635">
                                                  <a:solidFill>
                                                    <a:srgbClr val="000000"/>
                                                  </a:solidFill>
                                                </a:ln>
                                              </pic:spPr>
                                            </pic:pic>
                                          </a:graphicData>
                                        </a:graphic>
                                      </wp:inline>
                                    </w:drawing>
                                  </w:r>
                                </w:p>
                              </w:tc>
                              <w:tc>
                                <w:tcPr>
                                  <w:tcW w:w="509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Experience Over Several Business Cycles </w:t>
                                  </w:r>
                                </w:p>
                              </w:tc>
                            </w:tr>
                            <w:tr>
                              <w:trPr/>
                              <w:tc>
                                <w:tcPr>
                                  <w:tcW w:w="975" w:type="dxa"/>
                                  <w:tcBorders/>
                                  <w:shd w:fill="auto" w:val="clear"/>
                                  <w:vAlign w:val="center"/>
                                </w:tcPr>
                                <w:p>
                                  <w:pPr>
                                    <w:pStyle w:val="TableContents"/>
                                    <w:spacing w:before="0" w:after="283"/>
                                    <w:jc w:val="center"/>
                                    <w:rPr/>
                                  </w:pPr>
                                  <w:r>
                                    <w:rPr/>
                                    <w:drawing>
                                      <wp:inline distT="0" distB="0" distL="0" distR="0">
                                        <wp:extent cx="314325" cy="304800"/>
                                        <wp:effectExtent l="0" t="0" r="0" b="0"/>
                                        <wp:docPr id="32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32" descr=""/>
                                                <pic:cNvPicPr>
                                                  <a:picLocks noChangeAspect="1" noChangeArrowheads="1"/>
                                                </pic:cNvPicPr>
                                              </pic:nvPicPr>
                                              <pic:blipFill>
                                                <a:blip r:embed="rId233"/>
                                                <a:srcRect l="-3207" t="-3305" r="-3207" b="-3305"/>
                                                <a:stretch>
                                                  <a:fillRect/>
                                                </a:stretch>
                                              </pic:blipFill>
                                              <pic:spPr bwMode="auto">
                                                <a:xfrm>
                                                  <a:off x="0" y="0"/>
                                                  <a:ext cx="314325" cy="304800"/>
                                                </a:xfrm>
                                                <a:prstGeom prst="rect">
                                                  <a:avLst/>
                                                </a:prstGeom>
                                                <a:ln w="635">
                                                  <a:solidFill>
                                                    <a:srgbClr val="000000"/>
                                                  </a:solidFill>
                                                </a:ln>
                                              </pic:spPr>
                                            </pic:pic>
                                          </a:graphicData>
                                        </a:graphic>
                                      </wp:inline>
                                    </w:drawing>
                                  </w:r>
                                </w:p>
                              </w:tc>
                              <w:tc>
                                <w:tcPr>
                                  <w:tcW w:w="299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Talent Management </w:t>
                                  </w:r>
                                </w:p>
                              </w:tc>
                              <w:tc>
                                <w:tcPr>
                                  <w:tcW w:w="1145" w:type="dxa"/>
                                  <w:tcBorders/>
                                  <w:shd w:fill="auto" w:val="clear"/>
                                  <w:vAlign w:val="center"/>
                                </w:tcPr>
                                <w:p>
                                  <w:pPr>
                                    <w:pStyle w:val="TableContents"/>
                                    <w:spacing w:before="0" w:after="283"/>
                                    <w:jc w:val="center"/>
                                    <w:rPr/>
                                  </w:pPr>
                                  <w:r>
                                    <w:rPr/>
                                    <w:drawing>
                                      <wp:inline distT="0" distB="0" distL="0" distR="0">
                                        <wp:extent cx="342900" cy="285750"/>
                                        <wp:effectExtent l="0" t="0" r="0" b="0"/>
                                        <wp:docPr id="32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33" descr=""/>
                                                <pic:cNvPicPr>
                                                  <a:picLocks noChangeAspect="1" noChangeArrowheads="1"/>
                                                </pic:cNvPicPr>
                                              </pic:nvPicPr>
                                              <pic:blipFill>
                                                <a:blip r:embed="rId234"/>
                                                <a:srcRect l="-2938" t="-3526" r="-2938" b="-3526"/>
                                                <a:stretch>
                                                  <a:fillRect/>
                                                </a:stretch>
                                              </pic:blipFill>
                                              <pic:spPr bwMode="auto">
                                                <a:xfrm>
                                                  <a:off x="0" y="0"/>
                                                  <a:ext cx="342900" cy="285750"/>
                                                </a:xfrm>
                                                <a:prstGeom prst="rect">
                                                  <a:avLst/>
                                                </a:prstGeom>
                                                <a:ln w="635">
                                                  <a:solidFill>
                                                    <a:srgbClr val="000000"/>
                                                  </a:solidFill>
                                                </a:ln>
                                              </pic:spPr>
                                            </pic:pic>
                                          </a:graphicData>
                                        </a:graphic>
                                      </wp:inline>
                                    </w:drawing>
                                  </w:r>
                                </w:p>
                              </w:tc>
                              <w:tc>
                                <w:tcPr>
                                  <w:tcW w:w="5095" w:type="dxa"/>
                                  <w:tcBorders/>
                                  <w:shd w:fill="auto" w:val="clear"/>
                                  <w:vAlign w:val="center"/>
                                </w:tcPr>
                                <w:p>
                                  <w:pPr>
                                    <w:pStyle w:val="TableContents"/>
                                    <w:spacing w:before="0" w:after="283"/>
                                    <w:jc w:val="left"/>
                                    <w:rPr>
                                      <w:rFonts w:ascii="Arial" w:hAnsi="Arial"/>
                                      <w:sz w:val="20"/>
                                    </w:rPr>
                                  </w:pPr>
                                  <w:r>
                                    <w:rPr>
                                      <w:rFonts w:ascii="Arial" w:hAnsi="Arial"/>
                                      <w:sz w:val="20"/>
                                    </w:rPr>
                                    <w:t>Academia</w:t>
                                  </w:r>
                                </w:p>
                              </w:tc>
                            </w:tr>
                            <w:tr>
                              <w:trPr/>
                              <w:tc>
                                <w:tcPr>
                                  <w:tcW w:w="975" w:type="dxa"/>
                                  <w:tcBorders/>
                                  <w:shd w:fill="auto" w:val="clear"/>
                                  <w:vAlign w:val="center"/>
                                </w:tcPr>
                                <w:p>
                                  <w:pPr>
                                    <w:pStyle w:val="TableContents"/>
                                    <w:spacing w:before="0" w:after="283"/>
                                    <w:jc w:val="center"/>
                                    <w:rPr/>
                                  </w:pPr>
                                  <w:r>
                                    <w:rPr/>
                                    <w:drawing>
                                      <wp:inline distT="0" distB="0" distL="0" distR="0">
                                        <wp:extent cx="314325" cy="400050"/>
                                        <wp:effectExtent l="0" t="0" r="0" b="0"/>
                                        <wp:docPr id="32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34" descr=""/>
                                                <pic:cNvPicPr>
                                                  <a:picLocks noChangeAspect="1" noChangeArrowheads="1"/>
                                                </pic:cNvPicPr>
                                              </pic:nvPicPr>
                                              <pic:blipFill>
                                                <a:blip r:embed="rId235"/>
                                                <a:srcRect l="-3207" t="-2520" r="-3207" b="-2520"/>
                                                <a:stretch>
                                                  <a:fillRect/>
                                                </a:stretch>
                                              </pic:blipFill>
                                              <pic:spPr bwMode="auto">
                                                <a:xfrm>
                                                  <a:off x="0" y="0"/>
                                                  <a:ext cx="314325" cy="400050"/>
                                                </a:xfrm>
                                                <a:prstGeom prst="rect">
                                                  <a:avLst/>
                                                </a:prstGeom>
                                                <a:ln w="635">
                                                  <a:solidFill>
                                                    <a:srgbClr val="000000"/>
                                                  </a:solidFill>
                                                </a:ln>
                                              </pic:spPr>
                                            </pic:pic>
                                          </a:graphicData>
                                        </a:graphic>
                                      </wp:inline>
                                    </w:drawing>
                                  </w:r>
                                </w:p>
                              </w:tc>
                              <w:tc>
                                <w:tcPr>
                                  <w:tcW w:w="2990" w:type="dxa"/>
                                  <w:tcBorders/>
                                  <w:shd w:fill="auto" w:val="clear"/>
                                  <w:vAlign w:val="center"/>
                                </w:tcPr>
                                <w:p>
                                  <w:pPr>
                                    <w:pStyle w:val="TableContents"/>
                                    <w:spacing w:before="0" w:after="283"/>
                                    <w:jc w:val="left"/>
                                    <w:rPr>
                                      <w:rFonts w:ascii="Arial" w:hAnsi="Arial"/>
                                      <w:sz w:val="20"/>
                                    </w:rPr>
                                  </w:pPr>
                                  <w:r>
                                    <w:rPr>
                                      <w:rFonts w:ascii="Arial" w:hAnsi="Arial"/>
                                      <w:sz w:val="20"/>
                                    </w:rPr>
                                    <w:t>Accounting</w:t>
                                  </w:r>
                                </w:p>
                              </w:tc>
                              <w:tc>
                                <w:tcPr>
                                  <w:tcW w:w="1145" w:type="dxa"/>
                                  <w:tcBorders/>
                                  <w:shd w:fill="auto" w:val="clear"/>
                                  <w:vAlign w:val="center"/>
                                </w:tcPr>
                                <w:p>
                                  <w:pPr>
                                    <w:pStyle w:val="TableContents"/>
                                    <w:spacing w:before="0" w:after="283"/>
                                    <w:jc w:val="center"/>
                                    <w:rPr/>
                                  </w:pPr>
                                  <w:r>
                                    <w:rPr/>
                                    <w:drawing>
                                      <wp:inline distT="0" distB="0" distL="0" distR="0">
                                        <wp:extent cx="381000" cy="323850"/>
                                        <wp:effectExtent l="0" t="0" r="0" b="0"/>
                                        <wp:docPr id="32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35" descr=""/>
                                                <pic:cNvPicPr>
                                                  <a:picLocks noChangeAspect="1" noChangeArrowheads="1"/>
                                                </pic:cNvPicPr>
                                              </pic:nvPicPr>
                                              <pic:blipFill>
                                                <a:blip r:embed="rId236"/>
                                                <a:srcRect l="-2646" t="-3111" r="-2646" b="-3111"/>
                                                <a:stretch>
                                                  <a:fillRect/>
                                                </a:stretch>
                                              </pic:blipFill>
                                              <pic:spPr bwMode="auto">
                                                <a:xfrm>
                                                  <a:off x="0" y="0"/>
                                                  <a:ext cx="381000" cy="323850"/>
                                                </a:xfrm>
                                                <a:prstGeom prst="rect">
                                                  <a:avLst/>
                                                </a:prstGeom>
                                                <a:ln w="635">
                                                  <a:solidFill>
                                                    <a:srgbClr val="000000"/>
                                                  </a:solidFill>
                                                </a:ln>
                                              </pic:spPr>
                                            </pic:pic>
                                          </a:graphicData>
                                        </a:graphic>
                                      </wp:inline>
                                    </w:drawing>
                                  </w:r>
                                  <w:r>
                                    <w:rPr/>
                                    <w:t xml:space="preserve"> </w:t>
                                  </w:r>
                                </w:p>
                              </w:tc>
                              <w:tc>
                                <w:tcPr>
                                  <w:tcW w:w="5095" w:type="dxa"/>
                                  <w:tcBorders/>
                                  <w:shd w:fill="auto" w:val="clear"/>
                                  <w:vAlign w:val="center"/>
                                </w:tcPr>
                                <w:p>
                                  <w:pPr>
                                    <w:pStyle w:val="TableContents"/>
                                    <w:spacing w:before="0" w:after="283"/>
                                    <w:jc w:val="left"/>
                                    <w:rPr>
                                      <w:rFonts w:ascii="Arial" w:hAnsi="Arial"/>
                                      <w:sz w:val="20"/>
                                    </w:rPr>
                                  </w:pPr>
                                  <w:r>
                                    <w:rPr>
                                      <w:rFonts w:ascii="Arial" w:hAnsi="Arial"/>
                                      <w:sz w:val="20"/>
                                    </w:rPr>
                                    <w:t>Technology/Cybersecurity</w:t>
                                  </w:r>
                                </w:p>
                              </w:tc>
                            </w:tr>
                          </w:tbl>
                          <w:p>
                            <w:pPr>
                              <w:pStyle w:val="TextBody"/>
                              <w:spacing w:before="0" w:after="283"/>
                              <w:rPr/>
                            </w:pPr>
                            <w:r>
                              <w:rPr/>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771.7pt;mso-wrap-distance-left:0pt;mso-wrap-distance-right:0pt;mso-wrap-distance-top:0pt;mso-wrap-distance-bottom:0pt;margin-top:0pt;mso-position-vertical:top;mso-position-vertical-relative:text;margin-left:148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975"/>
                        <w:gridCol w:w="2990"/>
                        <w:gridCol w:w="1145"/>
                        <w:gridCol w:w="5095"/>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Mr. Hatkoff has in-depth expertise and knowledge of real estate, capital markets, finance, private investing, entrepreneurship and executive management through his work with Chemical Bank, Victor Capital Group and Capital Trust. As a result of the foregoing, Mr. Hatkoff provides a unique insight into the financial markets generally, valuation analysis, strategic planning, and unique financing structures and alternatives. He also possesses entrepreneurial, brand marketing, social media, technology and innovation, and senior leadership experience through his private investments and service on the Boards of numerous educational and charitable organizations. Mr. Hatkoff also has extensive Board and Board committee experience at other public companies, including his prior service at Taubman Centers, Inc. and his long-standing service to Capital Trust, Inc., which enables him to provide significant insight as to governance and compliance-related matters particular to real estate companies.</w:t>
                            </w:r>
                          </w:p>
                        </w:tc>
                      </w:tr>
                      <w:tr>
                        <w:trPr/>
                        <w:tc>
                          <w:tcPr>
                            <w:tcW w:w="975" w:type="dxa"/>
                            <w:tcBorders/>
                            <w:shd w:fill="auto" w:val="clear"/>
                            <w:vAlign w:val="center"/>
                          </w:tcPr>
                          <w:p>
                            <w:pPr>
                              <w:pStyle w:val="TableContents"/>
                              <w:spacing w:before="0" w:after="283"/>
                              <w:jc w:val="left"/>
                              <w:rPr/>
                            </w:pPr>
                            <w:r>
                              <w:rPr/>
                              <w:t> </w:t>
                            </w:r>
                          </w:p>
                        </w:tc>
                        <w:tc>
                          <w:tcPr>
                            <w:tcW w:w="299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5095" w:type="dxa"/>
                            <w:tcBorders/>
                            <w:shd w:fill="auto" w:val="clear"/>
                            <w:vAlign w:val="center"/>
                          </w:tcPr>
                          <w:p>
                            <w:pPr>
                              <w:pStyle w:val="TableContents"/>
                              <w:spacing w:before="0" w:after="283"/>
                              <w:rPr>
                                <w:sz w:val="4"/>
                                <w:szCs w:val="4"/>
                              </w:rPr>
                            </w:pPr>
                            <w:r>
                              <w:rPr>
                                <w:sz w:val="4"/>
                                <w:szCs w:val="4"/>
                              </w:rPr>
                            </w:r>
                          </w:p>
                        </w:tc>
                      </w:tr>
                      <w:tr>
                        <w:trPr/>
                        <w:tc>
                          <w:tcPr>
                            <w:tcW w:w="975"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2990"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145"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5095"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0"/>
                              </w:rPr>
                              <w:t>Professional Experience</w:t>
                            </w:r>
                          </w:p>
                          <w:p>
                            <w:pPr>
                              <w:pStyle w:val="TableContents"/>
                              <w:spacing w:before="0" w:after="0"/>
                              <w:ind w:left="0" w:right="0" w:hanging="290"/>
                              <w:jc w:val="left"/>
                              <w:rPr/>
                            </w:pPr>
                            <w:r>
                              <w:rPr>
                                <w:color w:val="000000"/>
                              </w:rPr>
                              <w:t>●</w:t>
                            </w:r>
                            <w:r>
                              <w:rPr>
                                <w:rFonts w:ascii="Arial" w:hAnsi="Arial"/>
                                <w:sz w:val="20"/>
                              </w:rPr>
                              <w:t>Vice Chairman of Capital Trust, Inc., a real estate investment management company that was listed on the New York Stock Exchange, and one of the largest dedicated real estate mezzanine lenders, from 1997 to 2000, and served on its Board of Directors from 1997 to 2010</w:t>
                            </w:r>
                          </w:p>
                          <w:p>
                            <w:pPr>
                              <w:pStyle w:val="TableContents"/>
                              <w:spacing w:before="0" w:after="0"/>
                              <w:ind w:left="0" w:right="0" w:hanging="290"/>
                              <w:jc w:val="left"/>
                              <w:rPr/>
                            </w:pPr>
                            <w:r>
                              <w:rPr>
                                <w:color w:val="000000"/>
                              </w:rPr>
                              <w:t>●</w:t>
                            </w:r>
                            <w:r>
                              <w:rPr>
                                <w:rFonts w:ascii="Arial" w:hAnsi="Arial"/>
                                <w:sz w:val="20"/>
                              </w:rPr>
                              <w:t>Trustee of the New York City School Construction Authority, the agency responsible for the construction of all public schools in New York City, from 2002 to 2005</w:t>
                            </w:r>
                          </w:p>
                          <w:p>
                            <w:pPr>
                              <w:pStyle w:val="TableContents"/>
                              <w:spacing w:before="0" w:after="0"/>
                              <w:ind w:left="0" w:right="0" w:hanging="290"/>
                              <w:jc w:val="left"/>
                              <w:rPr/>
                            </w:pPr>
                            <w:r>
                              <w:rPr>
                                <w:color w:val="000000"/>
                              </w:rPr>
                              <w:t>●</w:t>
                            </w:r>
                            <w:r>
                              <w:rPr>
                                <w:rFonts w:ascii="Arial" w:hAnsi="Arial"/>
                                <w:sz w:val="20"/>
                              </w:rPr>
                              <w:t>Founder and a managing partner of Victor Capital Group, L.P. from 1989 until its acquisition by Capital Trust, Inc. in 1997</w:t>
                            </w:r>
                          </w:p>
                          <w:p>
                            <w:pPr>
                              <w:pStyle w:val="TableContents"/>
                              <w:spacing w:before="0" w:after="0"/>
                              <w:ind w:left="0" w:right="0" w:hanging="290"/>
                              <w:jc w:val="left"/>
                              <w:rPr/>
                            </w:pPr>
                            <w:r>
                              <w:rPr>
                                <w:color w:val="000000"/>
                              </w:rPr>
                              <w:t>●</w:t>
                            </w:r>
                            <w:r>
                              <w:rPr>
                                <w:rFonts w:ascii="Arial" w:hAnsi="Arial"/>
                                <w:sz w:val="20"/>
                              </w:rPr>
                              <w:t>Former co-head of the real estate investment banking unit at Chemical Bank, where he was a pioneer in commercial mortgage securitization</w:t>
                            </w:r>
                          </w:p>
                          <w:p>
                            <w:pPr>
                              <w:pStyle w:val="TableContents"/>
                              <w:spacing w:before="0" w:after="0"/>
                              <w:ind w:left="0" w:right="0" w:hanging="290"/>
                              <w:jc w:val="left"/>
                              <w:rPr/>
                            </w:pPr>
                            <w:r>
                              <w:rPr>
                                <w:color w:val="000000"/>
                              </w:rPr>
                              <w:t>●</w:t>
                            </w:r>
                            <w:r>
                              <w:rPr>
                                <w:rFonts w:ascii="Arial" w:hAnsi="Arial"/>
                                <w:sz w:val="20"/>
                              </w:rPr>
                              <w:t>Co-founder of the Tribeca Film Festival; Chairman of Turtle Pond Publications LLC, which is active in childrens publishing and entertainment, and private investor in other entrepreneurial ventures</w:t>
                            </w:r>
                          </w:p>
                          <w:p>
                            <w:pPr>
                              <w:pStyle w:val="TableContents"/>
                              <w:spacing w:before="0" w:after="0"/>
                              <w:ind w:left="0" w:right="0" w:hanging="290"/>
                              <w:jc w:val="left"/>
                              <w:rPr/>
                            </w:pPr>
                            <w:r>
                              <w:rPr>
                                <w:color w:val="000000"/>
                              </w:rPr>
                              <w:t>●</w:t>
                            </w:r>
                            <w:r>
                              <w:rPr>
                                <w:rFonts w:ascii="Arial" w:hAnsi="Arial"/>
                                <w:sz w:val="20"/>
                              </w:rPr>
                              <w:t>Adjunct Professor at Columbia Business School</w:t>
                            </w:r>
                          </w:p>
                          <w:p>
                            <w:pPr>
                              <w:pStyle w:val="TableContents"/>
                              <w:spacing w:before="0" w:after="0"/>
                              <w:ind w:left="0" w:right="0" w:hanging="290"/>
                              <w:jc w:val="left"/>
                              <w:rPr/>
                            </w:pPr>
                            <w:r>
                              <w:rPr>
                                <w:color w:val="000000"/>
                              </w:rPr>
                              <w:t>●</w:t>
                            </w:r>
                            <w:r>
                              <w:rPr>
                                <w:rFonts w:ascii="Arial" w:hAnsi="Arial"/>
                                <w:sz w:val="20"/>
                              </w:rPr>
                              <w:t>Member of the Board of Directors of Mandela Institute for Humanity</w:t>
                            </w:r>
                          </w:p>
                          <w:p>
                            <w:pPr>
                              <w:pStyle w:val="TableContents"/>
                              <w:ind w:left="0" w:right="0" w:hanging="290"/>
                              <w:jc w:val="left"/>
                              <w:rPr/>
                            </w:pPr>
                            <w:r>
                              <w:rPr>
                                <w:color w:val="000000"/>
                              </w:rPr>
                              <w:t>●</w:t>
                            </w:r>
                            <w:r>
                              <w:rPr>
                                <w:rFonts w:ascii="Arial" w:hAnsi="Arial"/>
                                <w:sz w:val="20"/>
                              </w:rPr>
                              <w:t>Former member of the Board of Directors of Taubman Centers, Inc., 2004 to January 2019 and Colony Capital, Inc. from February 2019 to February 2021</w:t>
                            </w:r>
                          </w:p>
                          <w:p>
                            <w:pPr>
                              <w:pStyle w:val="TableContents"/>
                              <w:jc w:val="left"/>
                              <w:rPr/>
                            </w:pPr>
                            <w:r>
                              <w:rPr>
                                <w:rStyle w:val="StrongEmphasis"/>
                                <w:rFonts w:ascii="Arial" w:hAnsi="Arial"/>
                                <w:color w:val="1A2343"/>
                                <w:sz w:val="20"/>
                              </w:rPr>
                              <w:t>Other Public Board Directorships</w:t>
                            </w:r>
                          </w:p>
                          <w:p>
                            <w:pPr>
                              <w:pStyle w:val="TableContents"/>
                              <w:spacing w:before="0" w:after="0"/>
                              <w:ind w:left="0" w:right="0" w:hanging="290"/>
                              <w:jc w:val="left"/>
                              <w:rPr/>
                            </w:pPr>
                            <w:r>
                              <w:rPr>
                                <w:color w:val="000000"/>
                              </w:rPr>
                              <w:t>●</w:t>
                            </w:r>
                            <w:r>
                              <w:rPr>
                                <w:rFonts w:ascii="Arial" w:hAnsi="Arial"/>
                                <w:sz w:val="20"/>
                              </w:rPr>
                              <w:t>Jaguar Global Growth Corporation I since February 2022</w:t>
                            </w:r>
                          </w:p>
                        </w:tc>
                      </w:tr>
                      <w:tr>
                        <w:trPr/>
                        <w:tc>
                          <w:tcPr>
                            <w:tcW w:w="975" w:type="dxa"/>
                            <w:tcBorders/>
                            <w:shd w:fill="auto" w:val="clear"/>
                            <w:vAlign w:val="center"/>
                          </w:tcPr>
                          <w:p>
                            <w:pPr>
                              <w:pStyle w:val="TableContents"/>
                              <w:spacing w:before="0" w:after="283"/>
                              <w:jc w:val="left"/>
                              <w:rPr/>
                            </w:pPr>
                            <w:r>
                              <w:rPr/>
                              <w:t> </w:t>
                            </w:r>
                          </w:p>
                        </w:tc>
                        <w:tc>
                          <w:tcPr>
                            <w:tcW w:w="299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5095" w:type="dxa"/>
                            <w:tcBorders/>
                            <w:shd w:fill="auto" w:val="clear"/>
                            <w:vAlign w:val="center"/>
                          </w:tcPr>
                          <w:p>
                            <w:pPr>
                              <w:pStyle w:val="TableContents"/>
                              <w:spacing w:before="0" w:after="283"/>
                              <w:rPr>
                                <w:sz w:val="4"/>
                                <w:szCs w:val="4"/>
                              </w:rPr>
                            </w:pPr>
                            <w:r>
                              <w:rPr>
                                <w:sz w:val="4"/>
                                <w:szCs w:val="4"/>
                              </w:rPr>
                            </w:r>
                          </w:p>
                        </w:tc>
                      </w:tr>
                      <w:tr>
                        <w:trPr/>
                        <w:tc>
                          <w:tcPr>
                            <w:tcW w:w="975"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2990"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145"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5095"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975" w:type="dxa"/>
                            <w:tcBorders/>
                            <w:shd w:fill="auto" w:val="clear"/>
                            <w:vAlign w:val="center"/>
                          </w:tcPr>
                          <w:p>
                            <w:pPr>
                              <w:pStyle w:val="TableContents"/>
                              <w:spacing w:before="0" w:after="283"/>
                              <w:jc w:val="center"/>
                              <w:rPr/>
                            </w:pPr>
                            <w:r>
                              <w:rPr/>
                              <w:drawing>
                                <wp:inline distT="0" distB="0" distL="0" distR="0">
                                  <wp:extent cx="285750" cy="304800"/>
                                  <wp:effectExtent l="0" t="0" r="0" b="0"/>
                                  <wp:docPr id="32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26" descr=""/>
                                          <pic:cNvPicPr>
                                            <a:picLocks noChangeAspect="1" noChangeArrowheads="1"/>
                                          </pic:cNvPicPr>
                                        </pic:nvPicPr>
                                        <pic:blipFill>
                                          <a:blip r:embed="rId227"/>
                                          <a:srcRect l="-3526" t="-3305" r="-3526" b="-3305"/>
                                          <a:stretch>
                                            <a:fillRect/>
                                          </a:stretch>
                                        </pic:blipFill>
                                        <pic:spPr bwMode="auto">
                                          <a:xfrm>
                                            <a:off x="0" y="0"/>
                                            <a:ext cx="285750" cy="304800"/>
                                          </a:xfrm>
                                          <a:prstGeom prst="rect">
                                            <a:avLst/>
                                          </a:prstGeom>
                                          <a:ln w="635">
                                            <a:solidFill>
                                              <a:srgbClr val="000000"/>
                                            </a:solidFill>
                                          </a:ln>
                                        </pic:spPr>
                                      </pic:pic>
                                    </a:graphicData>
                                  </a:graphic>
                                </wp:inline>
                              </w:drawing>
                            </w:r>
                          </w:p>
                        </w:tc>
                        <w:tc>
                          <w:tcPr>
                            <w:tcW w:w="2990"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c>
                          <w:tcPr>
                            <w:tcW w:w="1145" w:type="dxa"/>
                            <w:tcBorders/>
                            <w:shd w:fill="auto" w:val="clear"/>
                            <w:vAlign w:val="center"/>
                          </w:tcPr>
                          <w:p>
                            <w:pPr>
                              <w:pStyle w:val="TableContents"/>
                              <w:spacing w:before="0" w:after="283"/>
                              <w:jc w:val="center"/>
                              <w:rPr/>
                            </w:pPr>
                            <w:r>
                              <w:rPr/>
                              <w:drawing>
                                <wp:inline distT="0" distB="0" distL="0" distR="0">
                                  <wp:extent cx="342900" cy="342900"/>
                                  <wp:effectExtent l="0" t="0" r="0" b="0"/>
                                  <wp:docPr id="32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27" descr=""/>
                                          <pic:cNvPicPr>
                                            <a:picLocks noChangeAspect="1" noChangeArrowheads="1"/>
                                          </pic:cNvPicPr>
                                        </pic:nvPicPr>
                                        <pic:blipFill>
                                          <a:blip r:embed="rId228"/>
                                          <a:srcRect l="-2938" t="-2938" r="-2938" b="-2938"/>
                                          <a:stretch>
                                            <a:fillRect/>
                                          </a:stretch>
                                        </pic:blipFill>
                                        <pic:spPr bwMode="auto">
                                          <a:xfrm>
                                            <a:off x="0" y="0"/>
                                            <a:ext cx="342900" cy="342900"/>
                                          </a:xfrm>
                                          <a:prstGeom prst="rect">
                                            <a:avLst/>
                                          </a:prstGeom>
                                          <a:ln w="635">
                                            <a:solidFill>
                                              <a:srgbClr val="000000"/>
                                            </a:solidFill>
                                          </a:ln>
                                        </pic:spPr>
                                      </pic:pic>
                                    </a:graphicData>
                                  </a:graphic>
                                </wp:inline>
                              </w:drawing>
                            </w:r>
                          </w:p>
                        </w:tc>
                        <w:tc>
                          <w:tcPr>
                            <w:tcW w:w="5095" w:type="dxa"/>
                            <w:tcBorders/>
                            <w:shd w:fill="auto" w:val="clear"/>
                            <w:vAlign w:val="center"/>
                          </w:tcPr>
                          <w:p>
                            <w:pPr>
                              <w:pStyle w:val="TableContents"/>
                              <w:spacing w:before="0" w:after="283"/>
                              <w:jc w:val="left"/>
                              <w:rPr>
                                <w:rFonts w:ascii="Arial" w:hAnsi="Arial"/>
                                <w:sz w:val="20"/>
                              </w:rPr>
                            </w:pPr>
                            <w:r>
                              <w:rPr>
                                <w:rFonts w:ascii="Arial" w:hAnsi="Arial"/>
                                <w:sz w:val="20"/>
                              </w:rPr>
                              <w:t>Finance/Capital Markets</w:t>
                            </w:r>
                          </w:p>
                        </w:tc>
                      </w:tr>
                      <w:tr>
                        <w:trPr/>
                        <w:tc>
                          <w:tcPr>
                            <w:tcW w:w="975" w:type="dxa"/>
                            <w:tcBorders/>
                            <w:shd w:fill="auto" w:val="clear"/>
                            <w:vAlign w:val="center"/>
                          </w:tcPr>
                          <w:p>
                            <w:pPr>
                              <w:pStyle w:val="TableContents"/>
                              <w:spacing w:before="0" w:after="283"/>
                              <w:jc w:val="center"/>
                              <w:rPr/>
                            </w:pPr>
                            <w:r>
                              <w:rPr/>
                              <w:drawing>
                                <wp:inline distT="0" distB="0" distL="0" distR="0">
                                  <wp:extent cx="314325" cy="342900"/>
                                  <wp:effectExtent l="0" t="0" r="0" b="0"/>
                                  <wp:docPr id="32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28" descr=""/>
                                          <pic:cNvPicPr>
                                            <a:picLocks noChangeAspect="1" noChangeArrowheads="1"/>
                                          </pic:cNvPicPr>
                                        </pic:nvPicPr>
                                        <pic:blipFill>
                                          <a:blip r:embed="rId229"/>
                                          <a:srcRect l="-3207" t="-2938" r="-3207" b="-2938"/>
                                          <a:stretch>
                                            <a:fillRect/>
                                          </a:stretch>
                                        </pic:blipFill>
                                        <pic:spPr bwMode="auto">
                                          <a:xfrm>
                                            <a:off x="0" y="0"/>
                                            <a:ext cx="314325" cy="342900"/>
                                          </a:xfrm>
                                          <a:prstGeom prst="rect">
                                            <a:avLst/>
                                          </a:prstGeom>
                                          <a:ln w="635">
                                            <a:solidFill>
                                              <a:srgbClr val="000000"/>
                                            </a:solidFill>
                                          </a:ln>
                                        </pic:spPr>
                                      </pic:pic>
                                    </a:graphicData>
                                  </a:graphic>
                                </wp:inline>
                              </w:drawing>
                            </w:r>
                          </w:p>
                        </w:tc>
                        <w:tc>
                          <w:tcPr>
                            <w:tcW w:w="2990"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1145" w:type="dxa"/>
                            <w:tcBorders/>
                            <w:shd w:fill="auto" w:val="clear"/>
                            <w:vAlign w:val="center"/>
                          </w:tcPr>
                          <w:p>
                            <w:pPr>
                              <w:pStyle w:val="TableContents"/>
                              <w:spacing w:before="0" w:after="283"/>
                              <w:jc w:val="center"/>
                              <w:rPr/>
                            </w:pPr>
                            <w:r>
                              <w:rPr/>
                              <w:drawing>
                                <wp:inline distT="0" distB="0" distL="0" distR="0">
                                  <wp:extent cx="409575" cy="381000"/>
                                  <wp:effectExtent l="0" t="0" r="0" b="0"/>
                                  <wp:docPr id="32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29" descr=""/>
                                          <pic:cNvPicPr>
                                            <a:picLocks noChangeAspect="1" noChangeArrowheads="1"/>
                                          </pic:cNvPicPr>
                                        </pic:nvPicPr>
                                        <pic:blipFill>
                                          <a:blip r:embed="rId230"/>
                                          <a:srcRect l="-2460" t="-2646" r="-2460" b="-2646"/>
                                          <a:stretch>
                                            <a:fillRect/>
                                          </a:stretch>
                                        </pic:blipFill>
                                        <pic:spPr bwMode="auto">
                                          <a:xfrm>
                                            <a:off x="0" y="0"/>
                                            <a:ext cx="409575" cy="381000"/>
                                          </a:xfrm>
                                          <a:prstGeom prst="rect">
                                            <a:avLst/>
                                          </a:prstGeom>
                                          <a:ln w="635">
                                            <a:solidFill>
                                              <a:srgbClr val="000000"/>
                                            </a:solidFill>
                                          </a:ln>
                                        </pic:spPr>
                                      </pic:pic>
                                    </a:graphicData>
                                  </a:graphic>
                                </wp:inline>
                              </w:drawing>
                            </w:r>
                          </w:p>
                        </w:tc>
                        <w:tc>
                          <w:tcPr>
                            <w:tcW w:w="5095" w:type="dxa"/>
                            <w:tcBorders/>
                            <w:shd w:fill="auto" w:val="clear"/>
                            <w:vAlign w:val="center"/>
                          </w:tcPr>
                          <w:p>
                            <w:pPr>
                              <w:pStyle w:val="TableContents"/>
                              <w:spacing w:before="0" w:after="283"/>
                              <w:jc w:val="left"/>
                              <w:rPr>
                                <w:rFonts w:ascii="Arial" w:hAnsi="Arial"/>
                                <w:sz w:val="20"/>
                              </w:rPr>
                            </w:pPr>
                            <w:r>
                              <w:rPr>
                                <w:rFonts w:ascii="Arial" w:hAnsi="Arial"/>
                                <w:sz w:val="20"/>
                              </w:rPr>
                              <w:t>Public Company Board Service/Corporate Governance</w:t>
                            </w:r>
                          </w:p>
                        </w:tc>
                      </w:tr>
                      <w:tr>
                        <w:trPr/>
                        <w:tc>
                          <w:tcPr>
                            <w:tcW w:w="975" w:type="dxa"/>
                            <w:tcBorders/>
                            <w:shd w:fill="auto" w:val="clear"/>
                            <w:vAlign w:val="center"/>
                          </w:tcPr>
                          <w:p>
                            <w:pPr>
                              <w:pStyle w:val="TableContents"/>
                              <w:spacing w:before="0" w:after="283"/>
                              <w:jc w:val="center"/>
                              <w:rPr/>
                            </w:pPr>
                            <w:r>
                              <w:rPr/>
                              <w:drawing>
                                <wp:inline distT="0" distB="0" distL="0" distR="0">
                                  <wp:extent cx="352425" cy="342900"/>
                                  <wp:effectExtent l="0" t="0" r="0" b="0"/>
                                  <wp:docPr id="33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30" descr=""/>
                                          <pic:cNvPicPr>
                                            <a:picLocks noChangeAspect="1" noChangeArrowheads="1"/>
                                          </pic:cNvPicPr>
                                        </pic:nvPicPr>
                                        <pic:blipFill>
                                          <a:blip r:embed="rId231"/>
                                          <a:srcRect l="-2860" t="-2938" r="-2860" b="-2938"/>
                                          <a:stretch>
                                            <a:fillRect/>
                                          </a:stretch>
                                        </pic:blipFill>
                                        <pic:spPr bwMode="auto">
                                          <a:xfrm>
                                            <a:off x="0" y="0"/>
                                            <a:ext cx="352425" cy="342900"/>
                                          </a:xfrm>
                                          <a:prstGeom prst="rect">
                                            <a:avLst/>
                                          </a:prstGeom>
                                          <a:ln w="635">
                                            <a:solidFill>
                                              <a:srgbClr val="000000"/>
                                            </a:solidFill>
                                          </a:ln>
                                        </pic:spPr>
                                      </pic:pic>
                                    </a:graphicData>
                                  </a:graphic>
                                </wp:inline>
                              </w:drawing>
                            </w:r>
                          </w:p>
                        </w:tc>
                        <w:tc>
                          <w:tcPr>
                            <w:tcW w:w="2990" w:type="dxa"/>
                            <w:tcBorders/>
                            <w:shd w:fill="auto" w:val="clear"/>
                            <w:vAlign w:val="center"/>
                          </w:tcPr>
                          <w:p>
                            <w:pPr>
                              <w:pStyle w:val="TableContents"/>
                              <w:spacing w:before="0" w:after="283"/>
                              <w:jc w:val="left"/>
                              <w:rPr>
                                <w:rFonts w:ascii="Arial" w:hAnsi="Arial"/>
                                <w:sz w:val="20"/>
                              </w:rPr>
                            </w:pPr>
                            <w:r>
                              <w:rPr>
                                <w:rFonts w:ascii="Arial" w:hAnsi="Arial"/>
                                <w:sz w:val="20"/>
                              </w:rPr>
                              <w:t>REIT/Real Estate Industry</w:t>
                            </w:r>
                          </w:p>
                        </w:tc>
                        <w:tc>
                          <w:tcPr>
                            <w:tcW w:w="1145" w:type="dxa"/>
                            <w:tcBorders/>
                            <w:shd w:fill="auto" w:val="clear"/>
                            <w:vAlign w:val="center"/>
                          </w:tcPr>
                          <w:p>
                            <w:pPr>
                              <w:pStyle w:val="TableContents"/>
                              <w:spacing w:before="0" w:after="283"/>
                              <w:jc w:val="center"/>
                              <w:rPr/>
                            </w:pPr>
                            <w:r>
                              <w:rPr/>
                              <w:drawing>
                                <wp:inline distT="0" distB="0" distL="0" distR="0">
                                  <wp:extent cx="314325" cy="304800"/>
                                  <wp:effectExtent l="0" t="0" r="0" b="0"/>
                                  <wp:docPr id="33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31" descr=""/>
                                          <pic:cNvPicPr>
                                            <a:picLocks noChangeAspect="1" noChangeArrowheads="1"/>
                                          </pic:cNvPicPr>
                                        </pic:nvPicPr>
                                        <pic:blipFill>
                                          <a:blip r:embed="rId232"/>
                                          <a:srcRect l="-3207" t="-3305" r="-3207" b="-3305"/>
                                          <a:stretch>
                                            <a:fillRect/>
                                          </a:stretch>
                                        </pic:blipFill>
                                        <pic:spPr bwMode="auto">
                                          <a:xfrm>
                                            <a:off x="0" y="0"/>
                                            <a:ext cx="314325" cy="304800"/>
                                          </a:xfrm>
                                          <a:prstGeom prst="rect">
                                            <a:avLst/>
                                          </a:prstGeom>
                                          <a:ln w="635">
                                            <a:solidFill>
                                              <a:srgbClr val="000000"/>
                                            </a:solidFill>
                                          </a:ln>
                                        </pic:spPr>
                                      </pic:pic>
                                    </a:graphicData>
                                  </a:graphic>
                                </wp:inline>
                              </w:drawing>
                            </w:r>
                          </w:p>
                        </w:tc>
                        <w:tc>
                          <w:tcPr>
                            <w:tcW w:w="509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Experience Over Several Business Cycles </w:t>
                            </w:r>
                          </w:p>
                        </w:tc>
                      </w:tr>
                      <w:tr>
                        <w:trPr/>
                        <w:tc>
                          <w:tcPr>
                            <w:tcW w:w="975" w:type="dxa"/>
                            <w:tcBorders/>
                            <w:shd w:fill="auto" w:val="clear"/>
                            <w:vAlign w:val="center"/>
                          </w:tcPr>
                          <w:p>
                            <w:pPr>
                              <w:pStyle w:val="TableContents"/>
                              <w:spacing w:before="0" w:after="283"/>
                              <w:jc w:val="center"/>
                              <w:rPr/>
                            </w:pPr>
                            <w:r>
                              <w:rPr/>
                              <w:drawing>
                                <wp:inline distT="0" distB="0" distL="0" distR="0">
                                  <wp:extent cx="314325" cy="304800"/>
                                  <wp:effectExtent l="0" t="0" r="0" b="0"/>
                                  <wp:docPr id="33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32" descr=""/>
                                          <pic:cNvPicPr>
                                            <a:picLocks noChangeAspect="1" noChangeArrowheads="1"/>
                                          </pic:cNvPicPr>
                                        </pic:nvPicPr>
                                        <pic:blipFill>
                                          <a:blip r:embed="rId233"/>
                                          <a:srcRect l="-3207" t="-3305" r="-3207" b="-3305"/>
                                          <a:stretch>
                                            <a:fillRect/>
                                          </a:stretch>
                                        </pic:blipFill>
                                        <pic:spPr bwMode="auto">
                                          <a:xfrm>
                                            <a:off x="0" y="0"/>
                                            <a:ext cx="314325" cy="304800"/>
                                          </a:xfrm>
                                          <a:prstGeom prst="rect">
                                            <a:avLst/>
                                          </a:prstGeom>
                                          <a:ln w="635">
                                            <a:solidFill>
                                              <a:srgbClr val="000000"/>
                                            </a:solidFill>
                                          </a:ln>
                                        </pic:spPr>
                                      </pic:pic>
                                    </a:graphicData>
                                  </a:graphic>
                                </wp:inline>
                              </w:drawing>
                            </w:r>
                          </w:p>
                        </w:tc>
                        <w:tc>
                          <w:tcPr>
                            <w:tcW w:w="299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Talent Management </w:t>
                            </w:r>
                          </w:p>
                        </w:tc>
                        <w:tc>
                          <w:tcPr>
                            <w:tcW w:w="1145" w:type="dxa"/>
                            <w:tcBorders/>
                            <w:shd w:fill="auto" w:val="clear"/>
                            <w:vAlign w:val="center"/>
                          </w:tcPr>
                          <w:p>
                            <w:pPr>
                              <w:pStyle w:val="TableContents"/>
                              <w:spacing w:before="0" w:after="283"/>
                              <w:jc w:val="center"/>
                              <w:rPr/>
                            </w:pPr>
                            <w:r>
                              <w:rPr/>
                              <w:drawing>
                                <wp:inline distT="0" distB="0" distL="0" distR="0">
                                  <wp:extent cx="342900" cy="285750"/>
                                  <wp:effectExtent l="0" t="0" r="0" b="0"/>
                                  <wp:docPr id="33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33" descr=""/>
                                          <pic:cNvPicPr>
                                            <a:picLocks noChangeAspect="1" noChangeArrowheads="1"/>
                                          </pic:cNvPicPr>
                                        </pic:nvPicPr>
                                        <pic:blipFill>
                                          <a:blip r:embed="rId234"/>
                                          <a:srcRect l="-2938" t="-3526" r="-2938" b="-3526"/>
                                          <a:stretch>
                                            <a:fillRect/>
                                          </a:stretch>
                                        </pic:blipFill>
                                        <pic:spPr bwMode="auto">
                                          <a:xfrm>
                                            <a:off x="0" y="0"/>
                                            <a:ext cx="342900" cy="285750"/>
                                          </a:xfrm>
                                          <a:prstGeom prst="rect">
                                            <a:avLst/>
                                          </a:prstGeom>
                                          <a:ln w="635">
                                            <a:solidFill>
                                              <a:srgbClr val="000000"/>
                                            </a:solidFill>
                                          </a:ln>
                                        </pic:spPr>
                                      </pic:pic>
                                    </a:graphicData>
                                  </a:graphic>
                                </wp:inline>
                              </w:drawing>
                            </w:r>
                          </w:p>
                        </w:tc>
                        <w:tc>
                          <w:tcPr>
                            <w:tcW w:w="5095" w:type="dxa"/>
                            <w:tcBorders/>
                            <w:shd w:fill="auto" w:val="clear"/>
                            <w:vAlign w:val="center"/>
                          </w:tcPr>
                          <w:p>
                            <w:pPr>
                              <w:pStyle w:val="TableContents"/>
                              <w:spacing w:before="0" w:after="283"/>
                              <w:jc w:val="left"/>
                              <w:rPr>
                                <w:rFonts w:ascii="Arial" w:hAnsi="Arial"/>
                                <w:sz w:val="20"/>
                              </w:rPr>
                            </w:pPr>
                            <w:r>
                              <w:rPr>
                                <w:rFonts w:ascii="Arial" w:hAnsi="Arial"/>
                                <w:sz w:val="20"/>
                              </w:rPr>
                              <w:t>Academia</w:t>
                            </w:r>
                          </w:p>
                        </w:tc>
                      </w:tr>
                      <w:tr>
                        <w:trPr/>
                        <w:tc>
                          <w:tcPr>
                            <w:tcW w:w="975" w:type="dxa"/>
                            <w:tcBorders/>
                            <w:shd w:fill="auto" w:val="clear"/>
                            <w:vAlign w:val="center"/>
                          </w:tcPr>
                          <w:p>
                            <w:pPr>
                              <w:pStyle w:val="TableContents"/>
                              <w:spacing w:before="0" w:after="283"/>
                              <w:jc w:val="center"/>
                              <w:rPr/>
                            </w:pPr>
                            <w:r>
                              <w:rPr/>
                              <w:drawing>
                                <wp:inline distT="0" distB="0" distL="0" distR="0">
                                  <wp:extent cx="314325" cy="400050"/>
                                  <wp:effectExtent l="0" t="0" r="0" b="0"/>
                                  <wp:docPr id="33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34" descr=""/>
                                          <pic:cNvPicPr>
                                            <a:picLocks noChangeAspect="1" noChangeArrowheads="1"/>
                                          </pic:cNvPicPr>
                                        </pic:nvPicPr>
                                        <pic:blipFill>
                                          <a:blip r:embed="rId235"/>
                                          <a:srcRect l="-3207" t="-2520" r="-3207" b="-2520"/>
                                          <a:stretch>
                                            <a:fillRect/>
                                          </a:stretch>
                                        </pic:blipFill>
                                        <pic:spPr bwMode="auto">
                                          <a:xfrm>
                                            <a:off x="0" y="0"/>
                                            <a:ext cx="314325" cy="400050"/>
                                          </a:xfrm>
                                          <a:prstGeom prst="rect">
                                            <a:avLst/>
                                          </a:prstGeom>
                                          <a:ln w="635">
                                            <a:solidFill>
                                              <a:srgbClr val="000000"/>
                                            </a:solidFill>
                                          </a:ln>
                                        </pic:spPr>
                                      </pic:pic>
                                    </a:graphicData>
                                  </a:graphic>
                                </wp:inline>
                              </w:drawing>
                            </w:r>
                          </w:p>
                        </w:tc>
                        <w:tc>
                          <w:tcPr>
                            <w:tcW w:w="2990" w:type="dxa"/>
                            <w:tcBorders/>
                            <w:shd w:fill="auto" w:val="clear"/>
                            <w:vAlign w:val="center"/>
                          </w:tcPr>
                          <w:p>
                            <w:pPr>
                              <w:pStyle w:val="TableContents"/>
                              <w:spacing w:before="0" w:after="283"/>
                              <w:jc w:val="left"/>
                              <w:rPr>
                                <w:rFonts w:ascii="Arial" w:hAnsi="Arial"/>
                                <w:sz w:val="20"/>
                              </w:rPr>
                            </w:pPr>
                            <w:r>
                              <w:rPr>
                                <w:rFonts w:ascii="Arial" w:hAnsi="Arial"/>
                                <w:sz w:val="20"/>
                              </w:rPr>
                              <w:t>Accounting</w:t>
                            </w:r>
                          </w:p>
                        </w:tc>
                        <w:tc>
                          <w:tcPr>
                            <w:tcW w:w="1145" w:type="dxa"/>
                            <w:tcBorders/>
                            <w:shd w:fill="auto" w:val="clear"/>
                            <w:vAlign w:val="center"/>
                          </w:tcPr>
                          <w:p>
                            <w:pPr>
                              <w:pStyle w:val="TableContents"/>
                              <w:spacing w:before="0" w:after="283"/>
                              <w:jc w:val="center"/>
                              <w:rPr/>
                            </w:pPr>
                            <w:r>
                              <w:rPr/>
                              <w:drawing>
                                <wp:inline distT="0" distB="0" distL="0" distR="0">
                                  <wp:extent cx="381000" cy="323850"/>
                                  <wp:effectExtent l="0" t="0" r="0" b="0"/>
                                  <wp:docPr id="33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35" descr=""/>
                                          <pic:cNvPicPr>
                                            <a:picLocks noChangeAspect="1" noChangeArrowheads="1"/>
                                          </pic:cNvPicPr>
                                        </pic:nvPicPr>
                                        <pic:blipFill>
                                          <a:blip r:embed="rId236"/>
                                          <a:srcRect l="-2646" t="-3111" r="-2646" b="-3111"/>
                                          <a:stretch>
                                            <a:fillRect/>
                                          </a:stretch>
                                        </pic:blipFill>
                                        <pic:spPr bwMode="auto">
                                          <a:xfrm>
                                            <a:off x="0" y="0"/>
                                            <a:ext cx="381000" cy="323850"/>
                                          </a:xfrm>
                                          <a:prstGeom prst="rect">
                                            <a:avLst/>
                                          </a:prstGeom>
                                          <a:ln w="635">
                                            <a:solidFill>
                                              <a:srgbClr val="000000"/>
                                            </a:solidFill>
                                          </a:ln>
                                        </pic:spPr>
                                      </pic:pic>
                                    </a:graphicData>
                                  </a:graphic>
                                </wp:inline>
                              </w:drawing>
                            </w:r>
                            <w:r>
                              <w:rPr/>
                              <w:t xml:space="preserve"> </w:t>
                            </w:r>
                          </w:p>
                        </w:tc>
                        <w:tc>
                          <w:tcPr>
                            <w:tcW w:w="5095" w:type="dxa"/>
                            <w:tcBorders/>
                            <w:shd w:fill="auto" w:val="clear"/>
                            <w:vAlign w:val="center"/>
                          </w:tcPr>
                          <w:p>
                            <w:pPr>
                              <w:pStyle w:val="TableContents"/>
                              <w:spacing w:before="0" w:after="283"/>
                              <w:jc w:val="left"/>
                              <w:rPr>
                                <w:rFonts w:ascii="Arial" w:hAnsi="Arial"/>
                                <w:sz w:val="20"/>
                              </w:rPr>
                            </w:pPr>
                            <w:r>
                              <w:rPr>
                                <w:rFonts w:ascii="Arial" w:hAnsi="Arial"/>
                                <w:sz w:val="20"/>
                              </w:rPr>
                              <w:t>Technology/Cybersecurity</w:t>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900" w:type="dxa"/>
        <w:jc w:val="left"/>
        <w:tblInd w:w="0" w:type="dxa"/>
        <w:tblCellMar>
          <w:top w:w="0" w:type="dxa"/>
          <w:left w:w="0" w:type="dxa"/>
          <w:bottom w:w="0" w:type="dxa"/>
          <w:right w:w="0" w:type="dxa"/>
        </w:tblCellMar>
      </w:tblPr>
      <w:tblGrid>
        <w:gridCol w:w="4610"/>
        <w:gridCol w:w="290"/>
      </w:tblGrid>
      <w:tr>
        <w:trPr/>
        <w:tc>
          <w:tcPr>
            <w:tcW w:w="4610" w:type="dxa"/>
            <w:tcBorders/>
            <w:shd w:fill="auto" w:val="clear"/>
            <w:vAlign w:val="center"/>
          </w:tcPr>
          <w:p>
            <w:pPr>
              <w:pStyle w:val="TableContents"/>
              <w:spacing w:before="0" w:after="283"/>
              <w:jc w:val="left"/>
              <w:rPr>
                <w:rFonts w:ascii="Arial" w:hAnsi="Arial"/>
                <w:b/>
                <w:sz w:val="15"/>
              </w:rPr>
            </w:pPr>
            <w:r>
              <w:rPr>
                <w:rFonts w:ascii="Arial" w:hAnsi="Arial"/>
                <w:b/>
                <w:sz w:val="15"/>
              </w:rPr>
              <w:t>OUR BOARD OF DIRECTORS AND CORPORATE GOVERNANCE</w:t>
            </w:r>
          </w:p>
        </w:tc>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19</w:t>
            </w:r>
          </w:p>
        </w:tc>
      </w:tr>
    </w:tbl>
    <w:p>
      <w:pPr>
        <w:pStyle w:val="TextBody"/>
        <w:spacing w:before="0" w:after="0"/>
        <w:rPr/>
      </w:pPr>
      <w:r>
        <w:rPr/>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1619885" cy="4979035"/>
                <wp:effectExtent l="0" t="0" r="0" b="0"/>
                <wp:wrapSquare wrapText="largest"/>
                <wp:docPr id="336" name="Frame23"/>
                <a:graphic xmlns:a="http://schemas.openxmlformats.org/drawingml/2006/main">
                  <a:graphicData uri="http://schemas.microsoft.com/office/word/2010/wordprocessingShape">
                    <wps:wsp>
                      <wps:cNvSpPr txBox="1"/>
                      <wps:spPr>
                        <a:xfrm>
                          <a:off x="0" y="0"/>
                          <a:ext cx="1619885" cy="4979035"/>
                        </a:xfrm>
                        <a:prstGeom prst="rect"/>
                      </wps:spPr>
                      <wps:txbx>
                        <w:txbxContent>
                          <w:tbl>
                            <w:tblPr>
                              <w:tblW w:w="4879" w:type="dxa"/>
                              <w:jc w:val="left"/>
                              <w:tblInd w:w="0" w:type="dxa"/>
                              <w:tblCellMar>
                                <w:top w:w="0" w:type="dxa"/>
                                <w:left w:w="0" w:type="dxa"/>
                                <w:bottom w:w="0" w:type="dxa"/>
                                <w:right w:w="28" w:type="dxa"/>
                              </w:tblCellMar>
                            </w:tblPr>
                            <w:tblGrid>
                              <w:gridCol w:w="485"/>
                              <w:gridCol w:w="4214"/>
                              <w:gridCol w:w="180"/>
                            </w:tblGrid>
                            <w:tr>
                              <w:trPr/>
                              <w:tc>
                                <w:tcPr>
                                  <w:tcW w:w="485" w:type="dxa"/>
                                  <w:tcBorders>
                                    <w:right w:val="single" w:sz="32" w:space="0" w:color="8EAD3C"/>
                                  </w:tcBorders>
                                  <w:shd w:fill="auto" w:val="clear"/>
                                  <w:vAlign w:val="center"/>
                                </w:tcPr>
                                <w:p>
                                  <w:pPr>
                                    <w:pStyle w:val="TableContents"/>
                                    <w:spacing w:before="0" w:after="283"/>
                                    <w:jc w:val="left"/>
                                    <w:rPr/>
                                  </w:pPr>
                                  <w:r>
                                    <w:rPr/>
                                    <w:t>   </w:t>
                                  </w:r>
                                </w:p>
                              </w:tc>
                              <w:tc>
                                <w:tcPr>
                                  <w:tcW w:w="4214"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4699" w:type="dxa"/>
                                  <w:gridSpan w:val="2"/>
                                  <w:tcBorders/>
                                  <w:shd w:fill="1A2343" w:val="clear"/>
                                  <w:tcMar>
                                    <w:right w:w="0" w:type="dxa"/>
                                  </w:tcMar>
                                  <w:vAlign w:val="center"/>
                                </w:tcPr>
                                <w:p>
                                  <w:pPr>
                                    <w:pStyle w:val="TableContents"/>
                                    <w:jc w:val="left"/>
                                    <w:rPr>
                                      <w:rFonts w:ascii="Arial" w:hAnsi="Arial"/>
                                      <w:b/>
                                      <w:color w:val="FFFFFF"/>
                                      <w:sz w:val="24"/>
                                    </w:rPr>
                                  </w:pPr>
                                  <w:r>
                                    <w:rPr>
                                      <w:rFonts w:ascii="Arial" w:hAnsi="Arial"/>
                                      <w:b/>
                                      <w:color w:val="FFFFFF"/>
                                      <w:sz w:val="24"/>
                                    </w:rPr>
                                    <w:t>MARC</w:t>
                                    <w:br/>
                                    <w:t>HOLLIDAY</w:t>
                                  </w:r>
                                </w:p>
                                <w:p>
                                  <w:pPr>
                                    <w:pStyle w:val="TableContents"/>
                                    <w:jc w:val="left"/>
                                    <w:rPr/>
                                  </w:pPr>
                                  <w:r>
                                    <w:rPr/>
                                    <w:drawing>
                                      <wp:inline distT="0" distB="0" distL="0" distR="0">
                                        <wp:extent cx="1162050" cy="1476375"/>
                                        <wp:effectExtent l="0" t="0" r="0" b="0"/>
                                        <wp:docPr id="337"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36" descr=""/>
                                                <pic:cNvPicPr>
                                                  <a:picLocks noChangeAspect="1" noChangeArrowheads="1"/>
                                                </pic:cNvPicPr>
                                              </pic:nvPicPr>
                                              <pic:blipFill>
                                                <a:blip r:embed="rId237"/>
                                                <a:srcRect l="-867" t="-682" r="-867" b="-682"/>
                                                <a:stretch>
                                                  <a:fillRect/>
                                                </a:stretch>
                                              </pic:blipFill>
                                              <pic:spPr bwMode="auto">
                                                <a:xfrm>
                                                  <a:off x="0" y="0"/>
                                                  <a:ext cx="1162050" cy="1476375"/>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Chief Executive Officer and Chairman of the Board</w:t>
                                  </w:r>
                                </w:p>
                                <w:p>
                                  <w:pPr>
                                    <w:pStyle w:val="TableContents"/>
                                    <w:jc w:val="left"/>
                                    <w:rPr/>
                                  </w:pPr>
                                  <w:r>
                                    <w:rPr>
                                      <w:rFonts w:ascii="Arial" w:hAnsi="Arial"/>
                                      <w:color w:val="FFFFFF"/>
                                      <w:sz w:val="20"/>
                                    </w:rPr>
                                    <w:t xml:space="preserve">Director Since: </w:t>
                                  </w:r>
                                  <w:r>
                                    <w:rPr>
                                      <w:rStyle w:val="StrongEmphasis"/>
                                      <w:rFonts w:ascii="Arial" w:hAnsi="Arial"/>
                                      <w:color w:val="FFFFFF"/>
                                      <w:sz w:val="20"/>
                                    </w:rPr>
                                    <w:t xml:space="preserve">2001 </w:t>
                                  </w:r>
                                </w:p>
                                <w:p>
                                  <w:pPr>
                                    <w:pStyle w:val="TableContents"/>
                                    <w:jc w:val="left"/>
                                    <w:rPr/>
                                  </w:pPr>
                                  <w:r>
                                    <w:rPr>
                                      <w:rFonts w:ascii="Arial" w:hAnsi="Arial"/>
                                      <w:color w:val="FFFFFF"/>
                                      <w:sz w:val="20"/>
                                    </w:rPr>
                                    <w:t xml:space="preserve">Age: </w:t>
                                  </w:r>
                                  <w:r>
                                    <w:rPr>
                                      <w:rStyle w:val="StrongEmphasis"/>
                                      <w:rFonts w:ascii="Arial" w:hAnsi="Arial"/>
                                      <w:color w:val="FFFFFF"/>
                                      <w:sz w:val="20"/>
                                    </w:rPr>
                                    <w:t xml:space="preserve">56 </w:t>
                                  </w:r>
                                </w:p>
                                <w:p>
                                  <w:pPr>
                                    <w:pStyle w:val="TableContents"/>
                                    <w:jc w:val="left"/>
                                    <w:rPr>
                                      <w:rFonts w:ascii="Arial" w:hAnsi="Arial"/>
                                      <w:color w:val="FFFFFF"/>
                                      <w:sz w:val="20"/>
                                    </w:rPr>
                                  </w:pPr>
                                  <w:r>
                                    <w:rPr>
                                      <w:rFonts w:ascii="Arial" w:hAnsi="Arial"/>
                                      <w:color w:val="FFFFFF"/>
                                      <w:sz w:val="20"/>
                                    </w:rPr>
                                    <w:t>SL Green</w:t>
                                    <w:br/>
                                    <w:t>Board Service:</w:t>
                                  </w:r>
                                </w:p>
                                <w:p>
                                  <w:pPr>
                                    <w:pStyle w:val="TableContents"/>
                                    <w:spacing w:before="0" w:after="0"/>
                                    <w:ind w:left="0" w:right="0" w:hanging="290"/>
                                    <w:jc w:val="left"/>
                                    <w:rPr/>
                                  </w:pPr>
                                  <w:r>
                                    <w:rPr>
                                      <w:color w:val="FFFFFF"/>
                                    </w:rPr>
                                    <w:t>●</w:t>
                                  </w:r>
                                  <w:r>
                                    <w:rPr>
                                      <w:rStyle w:val="StrongEmphasis"/>
                                      <w:rFonts w:ascii="arial" w:hAnsi="arial"/>
                                      <w:color w:val="FFFFFF"/>
                                      <w:sz w:val="20"/>
                                    </w:rPr>
                                    <w:t>Executive Committee, Chair</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485" w:type="dxa"/>
                                  <w:tcBorders/>
                                  <w:shd w:fill="auto" w:val="clear"/>
                                  <w:tcMar>
                                    <w:right w:w="0" w:type="dxa"/>
                                  </w:tcMar>
                                  <w:vAlign w:val="center"/>
                                </w:tcPr>
                                <w:p>
                                  <w:pPr>
                                    <w:pStyle w:val="TableContents"/>
                                    <w:spacing w:before="0" w:after="283"/>
                                    <w:jc w:val="left"/>
                                    <w:rPr/>
                                  </w:pPr>
                                  <w:r>
                                    <w:rPr/>
                                    <w:t> </w:t>
                                  </w:r>
                                </w:p>
                              </w:tc>
                              <w:tc>
                                <w:tcPr>
                                  <w:tcW w:w="4214"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25000</wp14:pctWidth>
                </wp14:sizeRelH>
              </wp:anchor>
            </w:drawing>
          </mc:Choice>
          <mc:Fallback>
            <w:pict>
              <v:rect style="position:absolute;rotation:0;width:127.55pt;height:392.05pt;mso-wrap-distance-left:0pt;mso-wrap-distance-right:0pt;mso-wrap-distance-top:0pt;mso-wrap-distance-bottom:0pt;margin-top:0pt;mso-position-vertical:top;mso-position-vertical-relative:text;margin-left:0pt;mso-position-horizontal:left;mso-position-horizontal-relative:text">
                <v:textbox>
                  <w:txbxContent>
                    <w:tbl>
                      <w:tblPr>
                        <w:tblW w:w="4879" w:type="dxa"/>
                        <w:jc w:val="left"/>
                        <w:tblInd w:w="0" w:type="dxa"/>
                        <w:tblCellMar>
                          <w:top w:w="0" w:type="dxa"/>
                          <w:left w:w="0" w:type="dxa"/>
                          <w:bottom w:w="0" w:type="dxa"/>
                          <w:right w:w="28" w:type="dxa"/>
                        </w:tblCellMar>
                      </w:tblPr>
                      <w:tblGrid>
                        <w:gridCol w:w="485"/>
                        <w:gridCol w:w="4214"/>
                        <w:gridCol w:w="180"/>
                      </w:tblGrid>
                      <w:tr>
                        <w:trPr/>
                        <w:tc>
                          <w:tcPr>
                            <w:tcW w:w="485" w:type="dxa"/>
                            <w:tcBorders>
                              <w:right w:val="single" w:sz="32" w:space="0" w:color="8EAD3C"/>
                            </w:tcBorders>
                            <w:shd w:fill="auto" w:val="clear"/>
                            <w:vAlign w:val="center"/>
                          </w:tcPr>
                          <w:p>
                            <w:pPr>
                              <w:pStyle w:val="TableContents"/>
                              <w:spacing w:before="0" w:after="283"/>
                              <w:jc w:val="left"/>
                              <w:rPr/>
                            </w:pPr>
                            <w:r>
                              <w:rPr/>
                              <w:t>   </w:t>
                            </w:r>
                          </w:p>
                        </w:tc>
                        <w:tc>
                          <w:tcPr>
                            <w:tcW w:w="4214"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4699" w:type="dxa"/>
                            <w:gridSpan w:val="2"/>
                            <w:tcBorders/>
                            <w:shd w:fill="1A2343" w:val="clear"/>
                            <w:tcMar>
                              <w:right w:w="0" w:type="dxa"/>
                            </w:tcMar>
                            <w:vAlign w:val="center"/>
                          </w:tcPr>
                          <w:p>
                            <w:pPr>
                              <w:pStyle w:val="TableContents"/>
                              <w:jc w:val="left"/>
                              <w:rPr>
                                <w:rFonts w:ascii="Arial" w:hAnsi="Arial"/>
                                <w:b/>
                                <w:color w:val="FFFFFF"/>
                                <w:sz w:val="24"/>
                              </w:rPr>
                            </w:pPr>
                            <w:r>
                              <w:rPr>
                                <w:rFonts w:ascii="Arial" w:hAnsi="Arial"/>
                                <w:b/>
                                <w:color w:val="FFFFFF"/>
                                <w:sz w:val="24"/>
                              </w:rPr>
                              <w:t>MARC</w:t>
                              <w:br/>
                              <w:t>HOLLIDAY</w:t>
                            </w:r>
                          </w:p>
                          <w:p>
                            <w:pPr>
                              <w:pStyle w:val="TableContents"/>
                              <w:jc w:val="left"/>
                              <w:rPr/>
                            </w:pPr>
                            <w:r>
                              <w:rPr/>
                              <w:drawing>
                                <wp:inline distT="0" distB="0" distL="0" distR="0">
                                  <wp:extent cx="1162050" cy="1476375"/>
                                  <wp:effectExtent l="0" t="0" r="0" b="0"/>
                                  <wp:docPr id="338"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36" descr=""/>
                                          <pic:cNvPicPr>
                                            <a:picLocks noChangeAspect="1" noChangeArrowheads="1"/>
                                          </pic:cNvPicPr>
                                        </pic:nvPicPr>
                                        <pic:blipFill>
                                          <a:blip r:embed="rId237"/>
                                          <a:srcRect l="-867" t="-682" r="-867" b="-682"/>
                                          <a:stretch>
                                            <a:fillRect/>
                                          </a:stretch>
                                        </pic:blipFill>
                                        <pic:spPr bwMode="auto">
                                          <a:xfrm>
                                            <a:off x="0" y="0"/>
                                            <a:ext cx="1162050" cy="1476375"/>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Chief Executive Officer and Chairman of the Board</w:t>
                            </w:r>
                          </w:p>
                          <w:p>
                            <w:pPr>
                              <w:pStyle w:val="TableContents"/>
                              <w:jc w:val="left"/>
                              <w:rPr/>
                            </w:pPr>
                            <w:r>
                              <w:rPr>
                                <w:rFonts w:ascii="Arial" w:hAnsi="Arial"/>
                                <w:color w:val="FFFFFF"/>
                                <w:sz w:val="20"/>
                              </w:rPr>
                              <w:t xml:space="preserve">Director Since: </w:t>
                            </w:r>
                            <w:r>
                              <w:rPr>
                                <w:rStyle w:val="StrongEmphasis"/>
                                <w:rFonts w:ascii="Arial" w:hAnsi="Arial"/>
                                <w:color w:val="FFFFFF"/>
                                <w:sz w:val="20"/>
                              </w:rPr>
                              <w:t xml:space="preserve">2001 </w:t>
                            </w:r>
                          </w:p>
                          <w:p>
                            <w:pPr>
                              <w:pStyle w:val="TableContents"/>
                              <w:jc w:val="left"/>
                              <w:rPr/>
                            </w:pPr>
                            <w:r>
                              <w:rPr>
                                <w:rFonts w:ascii="Arial" w:hAnsi="Arial"/>
                                <w:color w:val="FFFFFF"/>
                                <w:sz w:val="20"/>
                              </w:rPr>
                              <w:t xml:space="preserve">Age: </w:t>
                            </w:r>
                            <w:r>
                              <w:rPr>
                                <w:rStyle w:val="StrongEmphasis"/>
                                <w:rFonts w:ascii="Arial" w:hAnsi="Arial"/>
                                <w:color w:val="FFFFFF"/>
                                <w:sz w:val="20"/>
                              </w:rPr>
                              <w:t xml:space="preserve">56 </w:t>
                            </w:r>
                          </w:p>
                          <w:p>
                            <w:pPr>
                              <w:pStyle w:val="TableContents"/>
                              <w:jc w:val="left"/>
                              <w:rPr>
                                <w:rFonts w:ascii="Arial" w:hAnsi="Arial"/>
                                <w:color w:val="FFFFFF"/>
                                <w:sz w:val="20"/>
                              </w:rPr>
                            </w:pPr>
                            <w:r>
                              <w:rPr>
                                <w:rFonts w:ascii="Arial" w:hAnsi="Arial"/>
                                <w:color w:val="FFFFFF"/>
                                <w:sz w:val="20"/>
                              </w:rPr>
                              <w:t>SL Green</w:t>
                              <w:br/>
                              <w:t>Board Service:</w:t>
                            </w:r>
                          </w:p>
                          <w:p>
                            <w:pPr>
                              <w:pStyle w:val="TableContents"/>
                              <w:spacing w:before="0" w:after="0"/>
                              <w:ind w:left="0" w:right="0" w:hanging="290"/>
                              <w:jc w:val="left"/>
                              <w:rPr/>
                            </w:pPr>
                            <w:r>
                              <w:rPr>
                                <w:color w:val="FFFFFF"/>
                              </w:rPr>
                              <w:t>●</w:t>
                            </w:r>
                            <w:r>
                              <w:rPr>
                                <w:rStyle w:val="StrongEmphasis"/>
                                <w:rFonts w:ascii="arial" w:hAnsi="arial"/>
                                <w:color w:val="FFFFFF"/>
                                <w:sz w:val="20"/>
                              </w:rPr>
                              <w:t>Executive Committee, Chair</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485" w:type="dxa"/>
                            <w:tcBorders/>
                            <w:shd w:fill="auto" w:val="clear"/>
                            <w:tcMar>
                              <w:right w:w="0" w:type="dxa"/>
                            </w:tcMar>
                            <w:vAlign w:val="center"/>
                          </w:tcPr>
                          <w:p>
                            <w:pPr>
                              <w:pStyle w:val="TableContents"/>
                              <w:spacing w:before="0" w:after="283"/>
                              <w:jc w:val="left"/>
                              <w:rPr/>
                            </w:pPr>
                            <w:r>
                              <w:rPr/>
                              <w:t> </w:t>
                            </w:r>
                          </w:p>
                        </w:tc>
                        <w:tc>
                          <w:tcPr>
                            <w:tcW w:w="4214"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olumn">
                  <wp:align>right</wp:align>
                </wp:positionH>
                <wp:positionV relativeFrom="line">
                  <wp:posOffset>635</wp:posOffset>
                </wp:positionV>
                <wp:extent cx="4600575" cy="7615555"/>
                <wp:effectExtent l="0" t="0" r="0" b="0"/>
                <wp:wrapSquare wrapText="largest"/>
                <wp:docPr id="339" name="Frame24"/>
                <a:graphic xmlns:a="http://schemas.openxmlformats.org/drawingml/2006/main">
                  <a:graphicData uri="http://schemas.microsoft.com/office/word/2010/wordprocessingShape">
                    <wps:wsp>
                      <wps:cNvSpPr txBox="1"/>
                      <wps:spPr>
                        <a:xfrm>
                          <a:off x="0" y="0"/>
                          <a:ext cx="4600575" cy="7615555"/>
                        </a:xfrm>
                        <a:prstGeom prst="rect"/>
                      </wps:spPr>
                      <wps:txbx>
                        <w:txbxContent>
                          <w:tbl>
                            <w:tblPr>
                              <w:tblW w:w="10205" w:type="dxa"/>
                              <w:jc w:val="left"/>
                              <w:tblInd w:w="0" w:type="dxa"/>
                              <w:tblCellMar>
                                <w:top w:w="0" w:type="dxa"/>
                                <w:left w:w="0" w:type="dxa"/>
                                <w:bottom w:w="0" w:type="dxa"/>
                                <w:right w:w="0" w:type="dxa"/>
                              </w:tblCellMar>
                            </w:tblPr>
                            <w:tblGrid>
                              <w:gridCol w:w="961"/>
                              <w:gridCol w:w="4872"/>
                              <w:gridCol w:w="1016"/>
                              <w:gridCol w:w="3356"/>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Mr. Hollidays extensive experience and skills in real estate and finance, as well as his role as Chief Executive Officer of the Company, provide him with valuable knowledge of and expertise in our business and industry. Furthermore, Mr. Hollidays presence on the Board facilitates communication between the Board and the Companys senior management.</w:t>
                                  </w:r>
                                </w:p>
                              </w:tc>
                            </w:tr>
                            <w:tr>
                              <w:trPr/>
                              <w:tc>
                                <w:tcPr>
                                  <w:tcW w:w="961" w:type="dxa"/>
                                  <w:tcBorders/>
                                  <w:shd w:fill="auto" w:val="clear"/>
                                  <w:vAlign w:val="center"/>
                                </w:tcPr>
                                <w:p>
                                  <w:pPr>
                                    <w:pStyle w:val="TableContents"/>
                                    <w:spacing w:before="0" w:after="283"/>
                                    <w:jc w:val="left"/>
                                    <w:rPr/>
                                  </w:pPr>
                                  <w:r>
                                    <w:rPr/>
                                    <w:t> </w:t>
                                  </w:r>
                                </w:p>
                              </w:tc>
                              <w:tc>
                                <w:tcPr>
                                  <w:tcW w:w="4872"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3356" w:type="dxa"/>
                                  <w:tcBorders/>
                                  <w:shd w:fill="auto" w:val="clear"/>
                                  <w:vAlign w:val="center"/>
                                </w:tcPr>
                                <w:p>
                                  <w:pPr>
                                    <w:pStyle w:val="TableContents"/>
                                    <w:spacing w:before="0" w:after="283"/>
                                    <w:rPr>
                                      <w:sz w:val="4"/>
                                      <w:szCs w:val="4"/>
                                    </w:rPr>
                                  </w:pPr>
                                  <w:r>
                                    <w:rPr>
                                      <w:sz w:val="4"/>
                                      <w:szCs w:val="4"/>
                                    </w:rPr>
                                  </w:r>
                                </w:p>
                              </w:tc>
                            </w:tr>
                            <w:tr>
                              <w:trPr/>
                              <w:tc>
                                <w:tcPr>
                                  <w:tcW w:w="961"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4872"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016"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3356"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0"/>
                                    </w:rPr>
                                    <w:t>Professional Experience</w:t>
                                  </w:r>
                                </w:p>
                                <w:p>
                                  <w:pPr>
                                    <w:pStyle w:val="TableContents"/>
                                    <w:spacing w:before="0" w:after="0"/>
                                    <w:ind w:left="0" w:right="0" w:hanging="290"/>
                                    <w:jc w:val="left"/>
                                    <w:rPr/>
                                  </w:pPr>
                                  <w:r>
                                    <w:rPr>
                                      <w:color w:val="000000"/>
                                    </w:rPr>
                                    <w:t>●</w:t>
                                  </w:r>
                                  <w:r>
                                    <w:rPr>
                                      <w:rFonts w:ascii="Arial" w:hAnsi="Arial"/>
                                      <w:sz w:val="20"/>
                                    </w:rPr>
                                    <w:t>Chief Executive Officer of the Company since January 2004; Chairman of the Board since January 2019</w:t>
                                  </w:r>
                                </w:p>
                                <w:p>
                                  <w:pPr>
                                    <w:pStyle w:val="TableContents"/>
                                    <w:spacing w:before="0" w:after="0"/>
                                    <w:ind w:left="0" w:right="0" w:hanging="290"/>
                                    <w:jc w:val="left"/>
                                    <w:rPr/>
                                  </w:pPr>
                                  <w:r>
                                    <w:rPr>
                                      <w:color w:val="000000"/>
                                    </w:rPr>
                                    <w:t>●</w:t>
                                  </w:r>
                                  <w:r>
                                    <w:rPr>
                                      <w:rFonts w:ascii="Arial" w:hAnsi="Arial"/>
                                      <w:sz w:val="20"/>
                                    </w:rPr>
                                    <w:t>Joined the Company as Chief Investment Officer in July 1998; stepped down as President in April 2007 following promotion of Andrew Mathias, current President, to that position</w:t>
                                  </w:r>
                                </w:p>
                                <w:p>
                                  <w:pPr>
                                    <w:pStyle w:val="TableContents"/>
                                    <w:spacing w:before="0" w:after="0"/>
                                    <w:ind w:left="0" w:right="0" w:hanging="290"/>
                                    <w:jc w:val="left"/>
                                    <w:rPr/>
                                  </w:pPr>
                                  <w:r>
                                    <w:rPr>
                                      <w:color w:val="000000"/>
                                    </w:rPr>
                                    <w:t>●</w:t>
                                  </w:r>
                                  <w:r>
                                    <w:rPr>
                                      <w:rFonts w:ascii="Arial" w:hAnsi="Arial"/>
                                      <w:sz w:val="20"/>
                                    </w:rPr>
                                    <w:t>President and Chief Executive Officer of Gramercy Capital Corp., from August 2004 to October 2008, when Mr. Holliday stepped down</w:t>
                                  </w:r>
                                </w:p>
                                <w:p>
                                  <w:pPr>
                                    <w:pStyle w:val="TableContents"/>
                                    <w:spacing w:before="0" w:after="0"/>
                                    <w:ind w:left="0" w:right="0" w:hanging="290"/>
                                    <w:jc w:val="left"/>
                                    <w:rPr/>
                                  </w:pPr>
                                  <w:r>
                                    <w:rPr>
                                      <w:color w:val="000000"/>
                                    </w:rPr>
                                    <w:t>●</w:t>
                                  </w:r>
                                  <w:r>
                                    <w:rPr>
                                      <w:rFonts w:ascii="Arial" w:hAnsi="Arial"/>
                                      <w:sz w:val="20"/>
                                    </w:rPr>
                                    <w:t>Managing Director and Head of Direct Originations for New York-based Capital Trust Inc., a mezzanine finance company, where he was in charge of originating direct principal investments for the firm, consisting of mezzanine debt, preferred equity and first mortgages</w:t>
                                  </w:r>
                                </w:p>
                                <w:p>
                                  <w:pPr>
                                    <w:pStyle w:val="TableContents"/>
                                    <w:spacing w:before="0" w:after="0"/>
                                    <w:ind w:left="0" w:right="0" w:hanging="290"/>
                                    <w:jc w:val="left"/>
                                    <w:rPr/>
                                  </w:pPr>
                                  <w:r>
                                    <w:rPr>
                                      <w:color w:val="000000"/>
                                    </w:rPr>
                                    <w:t>●</w:t>
                                  </w:r>
                                  <w:r>
                                    <w:rPr>
                                      <w:rFonts w:ascii="Arial" w:hAnsi="Arial"/>
                                      <w:sz w:val="20"/>
                                    </w:rPr>
                                    <w:t>Served in various management positions, including Senior Vice President at Capital Trust, Inc.s predecessor, Victor Capital Group, L.P. from 1991 to 1997</w:t>
                                  </w:r>
                                </w:p>
                                <w:p>
                                  <w:pPr>
                                    <w:pStyle w:val="TableContents"/>
                                    <w:spacing w:before="0" w:after="0"/>
                                    <w:ind w:left="0" w:right="0" w:hanging="290"/>
                                    <w:jc w:val="left"/>
                                    <w:rPr/>
                                  </w:pPr>
                                  <w:r>
                                    <w:rPr>
                                      <w:color w:val="000000"/>
                                    </w:rPr>
                                    <w:t>●</w:t>
                                  </w:r>
                                  <w:r>
                                    <w:rPr>
                                      <w:rFonts w:ascii="Arial" w:hAnsi="Arial"/>
                                      <w:sz w:val="20"/>
                                    </w:rPr>
                                    <w:t>Chairman of the Board of Directors of NYRA and executive officer and member of the Board of the Real Estate Board of New York, and a former member of the Board of Directors of Columbia University</w:t>
                                  </w:r>
                                </w:p>
                                <w:p>
                                  <w:pPr>
                                    <w:pStyle w:val="TableContents"/>
                                    <w:spacing w:before="0" w:after="0"/>
                                    <w:ind w:left="0" w:right="0" w:hanging="290"/>
                                    <w:jc w:val="left"/>
                                    <w:rPr/>
                                  </w:pPr>
                                  <w:r>
                                    <w:rPr>
                                      <w:color w:val="000000"/>
                                    </w:rPr>
                                    <w:t>●</w:t>
                                  </w:r>
                                  <w:r>
                                    <w:rPr>
                                      <w:rFonts w:ascii="Arial" w:hAnsi="Arial"/>
                                      <w:sz w:val="20"/>
                                    </w:rPr>
                                    <w:t>B.S. degree in Business and Finance from Lehigh University in 1988 and M.S. degree in Real Estate Development from Columbia University in 1990</w:t>
                                  </w:r>
                                </w:p>
                              </w:tc>
                            </w:tr>
                            <w:tr>
                              <w:trPr/>
                              <w:tc>
                                <w:tcPr>
                                  <w:tcW w:w="961" w:type="dxa"/>
                                  <w:tcBorders/>
                                  <w:shd w:fill="auto" w:val="clear"/>
                                  <w:vAlign w:val="center"/>
                                </w:tcPr>
                                <w:p>
                                  <w:pPr>
                                    <w:pStyle w:val="TableContents"/>
                                    <w:spacing w:before="0" w:after="283"/>
                                    <w:jc w:val="left"/>
                                    <w:rPr/>
                                  </w:pPr>
                                  <w:r>
                                    <w:rPr/>
                                    <w:t> </w:t>
                                  </w:r>
                                </w:p>
                              </w:tc>
                              <w:tc>
                                <w:tcPr>
                                  <w:tcW w:w="4872"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3356" w:type="dxa"/>
                                  <w:tcBorders/>
                                  <w:shd w:fill="auto" w:val="clear"/>
                                  <w:vAlign w:val="center"/>
                                </w:tcPr>
                                <w:p>
                                  <w:pPr>
                                    <w:pStyle w:val="TableContents"/>
                                    <w:spacing w:before="0" w:after="283"/>
                                    <w:rPr>
                                      <w:sz w:val="4"/>
                                      <w:szCs w:val="4"/>
                                    </w:rPr>
                                  </w:pPr>
                                  <w:r>
                                    <w:rPr>
                                      <w:sz w:val="4"/>
                                      <w:szCs w:val="4"/>
                                    </w:rPr>
                                  </w:r>
                                </w:p>
                              </w:tc>
                            </w:tr>
                            <w:tr>
                              <w:trPr/>
                              <w:tc>
                                <w:tcPr>
                                  <w:tcW w:w="961"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4872"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016"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3356"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961" w:type="dxa"/>
                                  <w:tcBorders/>
                                  <w:shd w:fill="auto" w:val="clear"/>
                                  <w:vAlign w:val="center"/>
                                </w:tcPr>
                                <w:p>
                                  <w:pPr>
                                    <w:pStyle w:val="TableContents"/>
                                    <w:spacing w:before="0" w:after="283"/>
                                    <w:jc w:val="center"/>
                                    <w:rPr/>
                                  </w:pPr>
                                  <w:r>
                                    <w:rPr/>
                                    <w:drawing>
                                      <wp:inline distT="0" distB="0" distL="0" distR="0">
                                        <wp:extent cx="285750" cy="314325"/>
                                        <wp:effectExtent l="0" t="0" r="0" b="0"/>
                                        <wp:docPr id="340"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37" descr=""/>
                                                <pic:cNvPicPr>
                                                  <a:picLocks noChangeAspect="1" noChangeArrowheads="1"/>
                                                </pic:cNvPicPr>
                                              </pic:nvPicPr>
                                              <pic:blipFill>
                                                <a:blip r:embed="rId238"/>
                                                <a:srcRect l="-3526" t="-3207" r="-3526" b="-3207"/>
                                                <a:stretch>
                                                  <a:fillRect/>
                                                </a:stretch>
                                              </pic:blipFill>
                                              <pic:spPr bwMode="auto">
                                                <a:xfrm>
                                                  <a:off x="0" y="0"/>
                                                  <a:ext cx="285750" cy="314325"/>
                                                </a:xfrm>
                                                <a:prstGeom prst="rect">
                                                  <a:avLst/>
                                                </a:prstGeom>
                                                <a:ln w="635">
                                                  <a:solidFill>
                                                    <a:srgbClr val="000000"/>
                                                  </a:solidFill>
                                                </a:ln>
                                              </pic:spPr>
                                            </pic:pic>
                                          </a:graphicData>
                                        </a:graphic>
                                      </wp:inline>
                                    </w:drawing>
                                  </w:r>
                                </w:p>
                              </w:tc>
                              <w:tc>
                                <w:tcPr>
                                  <w:tcW w:w="4872"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c>
                                <w:tcPr>
                                  <w:tcW w:w="1016" w:type="dxa"/>
                                  <w:tcBorders/>
                                  <w:shd w:fill="auto" w:val="clear"/>
                                  <w:vAlign w:val="center"/>
                                </w:tcPr>
                                <w:p>
                                  <w:pPr>
                                    <w:pStyle w:val="TableContents"/>
                                    <w:spacing w:before="0" w:after="283"/>
                                    <w:jc w:val="center"/>
                                    <w:rPr/>
                                  </w:pPr>
                                  <w:r>
                                    <w:rPr/>
                                    <w:drawing>
                                      <wp:inline distT="0" distB="0" distL="0" distR="0">
                                        <wp:extent cx="342900" cy="342900"/>
                                        <wp:effectExtent l="0" t="0" r="0" b="0"/>
                                        <wp:docPr id="341"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238" descr=""/>
                                                <pic:cNvPicPr>
                                                  <a:picLocks noChangeAspect="1" noChangeArrowheads="1"/>
                                                </pic:cNvPicPr>
                                              </pic:nvPicPr>
                                              <pic:blipFill>
                                                <a:blip r:embed="rId239"/>
                                                <a:srcRect l="-2938" t="-2938" r="-2938" b="-2938"/>
                                                <a:stretch>
                                                  <a:fillRect/>
                                                </a:stretch>
                                              </pic:blipFill>
                                              <pic:spPr bwMode="auto">
                                                <a:xfrm>
                                                  <a:off x="0" y="0"/>
                                                  <a:ext cx="342900" cy="342900"/>
                                                </a:xfrm>
                                                <a:prstGeom prst="rect">
                                                  <a:avLst/>
                                                </a:prstGeom>
                                                <a:ln w="635">
                                                  <a:solidFill>
                                                    <a:srgbClr val="000000"/>
                                                  </a:solidFill>
                                                </a:ln>
                                              </pic:spPr>
                                            </pic:pic>
                                          </a:graphicData>
                                        </a:graphic>
                                      </wp:inline>
                                    </w:drawing>
                                  </w:r>
                                </w:p>
                              </w:tc>
                              <w:tc>
                                <w:tcPr>
                                  <w:tcW w:w="3356" w:type="dxa"/>
                                  <w:tcBorders/>
                                  <w:shd w:fill="auto" w:val="clear"/>
                                  <w:vAlign w:val="center"/>
                                </w:tcPr>
                                <w:p>
                                  <w:pPr>
                                    <w:pStyle w:val="TableContents"/>
                                    <w:spacing w:before="0" w:after="283"/>
                                    <w:jc w:val="left"/>
                                    <w:rPr>
                                      <w:rFonts w:ascii="Arial" w:hAnsi="Arial"/>
                                      <w:sz w:val="20"/>
                                    </w:rPr>
                                  </w:pPr>
                                  <w:r>
                                    <w:rPr>
                                      <w:rFonts w:ascii="Arial" w:hAnsi="Arial"/>
                                      <w:sz w:val="20"/>
                                    </w:rPr>
                                    <w:t>Finance/Capital Markets</w:t>
                                  </w:r>
                                </w:p>
                              </w:tc>
                            </w:tr>
                            <w:tr>
                              <w:trPr/>
                              <w:tc>
                                <w:tcPr>
                                  <w:tcW w:w="961" w:type="dxa"/>
                                  <w:tcBorders/>
                                  <w:shd w:fill="auto" w:val="clear"/>
                                  <w:vAlign w:val="center"/>
                                </w:tcPr>
                                <w:p>
                                  <w:pPr>
                                    <w:pStyle w:val="TableContents"/>
                                    <w:spacing w:before="0" w:after="283"/>
                                    <w:jc w:val="center"/>
                                    <w:rPr/>
                                  </w:pPr>
                                  <w:r>
                                    <w:rPr/>
                                    <w:drawing>
                                      <wp:inline distT="0" distB="0" distL="0" distR="0">
                                        <wp:extent cx="314325" cy="342900"/>
                                        <wp:effectExtent l="0" t="0" r="0" b="0"/>
                                        <wp:docPr id="342"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39" descr=""/>
                                                <pic:cNvPicPr>
                                                  <a:picLocks noChangeAspect="1" noChangeArrowheads="1"/>
                                                </pic:cNvPicPr>
                                              </pic:nvPicPr>
                                              <pic:blipFill>
                                                <a:blip r:embed="rId240"/>
                                                <a:srcRect l="-3207" t="-2938" r="-3207" b="-2938"/>
                                                <a:stretch>
                                                  <a:fillRect/>
                                                </a:stretch>
                                              </pic:blipFill>
                                              <pic:spPr bwMode="auto">
                                                <a:xfrm>
                                                  <a:off x="0" y="0"/>
                                                  <a:ext cx="314325" cy="342900"/>
                                                </a:xfrm>
                                                <a:prstGeom prst="rect">
                                                  <a:avLst/>
                                                </a:prstGeom>
                                                <a:ln w="635">
                                                  <a:solidFill>
                                                    <a:srgbClr val="000000"/>
                                                  </a:solidFill>
                                                </a:ln>
                                              </pic:spPr>
                                            </pic:pic>
                                          </a:graphicData>
                                        </a:graphic>
                                      </wp:inline>
                                    </w:drawing>
                                  </w:r>
                                </w:p>
                              </w:tc>
                              <w:tc>
                                <w:tcPr>
                                  <w:tcW w:w="4872"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1016" w:type="dxa"/>
                                  <w:tcBorders/>
                                  <w:shd w:fill="auto" w:val="clear"/>
                                  <w:vAlign w:val="center"/>
                                </w:tcPr>
                                <w:p>
                                  <w:pPr>
                                    <w:pStyle w:val="TableContents"/>
                                    <w:spacing w:before="0" w:after="283"/>
                                    <w:jc w:val="center"/>
                                    <w:rPr/>
                                  </w:pPr>
                                  <w:r>
                                    <w:rPr/>
                                    <w:drawing>
                                      <wp:inline distT="0" distB="0" distL="0" distR="0">
                                        <wp:extent cx="352425" cy="323850"/>
                                        <wp:effectExtent l="0" t="0" r="0" b="0"/>
                                        <wp:docPr id="343"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40" descr=""/>
                                                <pic:cNvPicPr>
                                                  <a:picLocks noChangeAspect="1" noChangeArrowheads="1"/>
                                                </pic:cNvPicPr>
                                              </pic:nvPicPr>
                                              <pic:blipFill>
                                                <a:blip r:embed="rId241"/>
                                                <a:srcRect l="-2860" t="-3111" r="-2860" b="-3111"/>
                                                <a:stretch>
                                                  <a:fillRect/>
                                                </a:stretch>
                                              </pic:blipFill>
                                              <pic:spPr bwMode="auto">
                                                <a:xfrm>
                                                  <a:off x="0" y="0"/>
                                                  <a:ext cx="352425" cy="323850"/>
                                                </a:xfrm>
                                                <a:prstGeom prst="rect">
                                                  <a:avLst/>
                                                </a:prstGeom>
                                                <a:ln w="635">
                                                  <a:solidFill>
                                                    <a:srgbClr val="000000"/>
                                                  </a:solidFill>
                                                </a:ln>
                                              </pic:spPr>
                                            </pic:pic>
                                          </a:graphicData>
                                        </a:graphic>
                                      </wp:inline>
                                    </w:drawing>
                                  </w:r>
                                </w:p>
                              </w:tc>
                              <w:tc>
                                <w:tcPr>
                                  <w:tcW w:w="3356" w:type="dxa"/>
                                  <w:tcBorders/>
                                  <w:shd w:fill="auto" w:val="clear"/>
                                  <w:vAlign w:val="center"/>
                                </w:tcPr>
                                <w:p>
                                  <w:pPr>
                                    <w:pStyle w:val="TableContents"/>
                                    <w:spacing w:before="0" w:after="283"/>
                                    <w:jc w:val="left"/>
                                    <w:rPr>
                                      <w:rFonts w:ascii="Arial" w:hAnsi="Arial"/>
                                      <w:sz w:val="20"/>
                                    </w:rPr>
                                  </w:pPr>
                                  <w:r>
                                    <w:rPr>
                                      <w:rFonts w:ascii="Arial" w:hAnsi="Arial"/>
                                      <w:sz w:val="20"/>
                                    </w:rPr>
                                    <w:t>REIT/Real Estate Industry</w:t>
                                  </w:r>
                                </w:p>
                              </w:tc>
                            </w:tr>
                            <w:tr>
                              <w:trPr/>
                              <w:tc>
                                <w:tcPr>
                                  <w:tcW w:w="961" w:type="dxa"/>
                                  <w:tcBorders/>
                                  <w:shd w:fill="auto" w:val="clear"/>
                                  <w:vAlign w:val="center"/>
                                </w:tcPr>
                                <w:p>
                                  <w:pPr>
                                    <w:pStyle w:val="TableContents"/>
                                    <w:spacing w:before="0" w:after="283"/>
                                    <w:jc w:val="center"/>
                                    <w:rPr/>
                                  </w:pPr>
                                  <w:r>
                                    <w:rPr/>
                                    <w:drawing>
                                      <wp:inline distT="0" distB="0" distL="0" distR="0">
                                        <wp:extent cx="314325" cy="323850"/>
                                        <wp:effectExtent l="0" t="0" r="0" b="0"/>
                                        <wp:docPr id="344"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41" descr=""/>
                                                <pic:cNvPicPr>
                                                  <a:picLocks noChangeAspect="1" noChangeArrowheads="1"/>
                                                </pic:cNvPicPr>
                                              </pic:nvPicPr>
                                              <pic:blipFill>
                                                <a:blip r:embed="rId242"/>
                                                <a:srcRect l="-3207" t="-3111" r="-3207" b="-3111"/>
                                                <a:stretch>
                                                  <a:fillRect/>
                                                </a:stretch>
                                              </pic:blipFill>
                                              <pic:spPr bwMode="auto">
                                                <a:xfrm>
                                                  <a:off x="0" y="0"/>
                                                  <a:ext cx="314325" cy="323850"/>
                                                </a:xfrm>
                                                <a:prstGeom prst="rect">
                                                  <a:avLst/>
                                                </a:prstGeom>
                                                <a:ln w="635">
                                                  <a:solidFill>
                                                    <a:srgbClr val="000000"/>
                                                  </a:solidFill>
                                                </a:ln>
                                              </pic:spPr>
                                            </pic:pic>
                                          </a:graphicData>
                                        </a:graphic>
                                      </wp:inline>
                                    </w:drawing>
                                  </w:r>
                                </w:p>
                              </w:tc>
                              <w:tc>
                                <w:tcPr>
                                  <w:tcW w:w="4872" w:type="dxa"/>
                                  <w:tcBorders/>
                                  <w:shd w:fill="auto" w:val="clear"/>
                                  <w:vAlign w:val="center"/>
                                </w:tcPr>
                                <w:p>
                                  <w:pPr>
                                    <w:pStyle w:val="TableContents"/>
                                    <w:spacing w:before="0" w:after="283"/>
                                    <w:jc w:val="left"/>
                                    <w:rPr>
                                      <w:rFonts w:ascii="Arial" w:hAnsi="Arial"/>
                                      <w:sz w:val="20"/>
                                    </w:rPr>
                                  </w:pPr>
                                  <w:r>
                                    <w:rPr>
                                      <w:rFonts w:ascii="Arial" w:hAnsi="Arial"/>
                                      <w:sz w:val="20"/>
                                    </w:rPr>
                                    <w:t>Experience Over Several Business Cycles</w:t>
                                  </w:r>
                                </w:p>
                              </w:tc>
                              <w:tc>
                                <w:tcPr>
                                  <w:tcW w:w="1016" w:type="dxa"/>
                                  <w:tcBorders/>
                                  <w:shd w:fill="auto" w:val="clear"/>
                                  <w:vAlign w:val="center"/>
                                </w:tcPr>
                                <w:p>
                                  <w:pPr>
                                    <w:pStyle w:val="TableContents"/>
                                    <w:spacing w:before="0" w:after="283"/>
                                    <w:jc w:val="center"/>
                                    <w:rPr/>
                                  </w:pPr>
                                  <w:r>
                                    <w:rPr/>
                                    <w:drawing>
                                      <wp:inline distT="0" distB="0" distL="0" distR="0">
                                        <wp:extent cx="314325" cy="304800"/>
                                        <wp:effectExtent l="0" t="0" r="0" b="0"/>
                                        <wp:docPr id="345"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42" descr=""/>
                                                <pic:cNvPicPr>
                                                  <a:picLocks noChangeAspect="1" noChangeArrowheads="1"/>
                                                </pic:cNvPicPr>
                                              </pic:nvPicPr>
                                              <pic:blipFill>
                                                <a:blip r:embed="rId243"/>
                                                <a:srcRect l="-3207" t="-3305" r="-3207" b="-3305"/>
                                                <a:stretch>
                                                  <a:fillRect/>
                                                </a:stretch>
                                              </pic:blipFill>
                                              <pic:spPr bwMode="auto">
                                                <a:xfrm>
                                                  <a:off x="0" y="0"/>
                                                  <a:ext cx="314325" cy="304800"/>
                                                </a:xfrm>
                                                <a:prstGeom prst="rect">
                                                  <a:avLst/>
                                                </a:prstGeom>
                                                <a:ln w="635">
                                                  <a:solidFill>
                                                    <a:srgbClr val="000000"/>
                                                  </a:solidFill>
                                                </a:ln>
                                              </pic:spPr>
                                            </pic:pic>
                                          </a:graphicData>
                                        </a:graphic>
                                      </wp:inline>
                                    </w:drawing>
                                  </w:r>
                                </w:p>
                              </w:tc>
                              <w:tc>
                                <w:tcPr>
                                  <w:tcW w:w="3356" w:type="dxa"/>
                                  <w:tcBorders/>
                                  <w:shd w:fill="auto" w:val="clear"/>
                                  <w:vAlign w:val="center"/>
                                </w:tcPr>
                                <w:p>
                                  <w:pPr>
                                    <w:pStyle w:val="TableContents"/>
                                    <w:spacing w:before="0" w:after="283"/>
                                    <w:jc w:val="left"/>
                                    <w:rPr>
                                      <w:rFonts w:ascii="Arial" w:hAnsi="Arial"/>
                                      <w:sz w:val="20"/>
                                    </w:rPr>
                                  </w:pPr>
                                  <w:r>
                                    <w:rPr>
                                      <w:rFonts w:ascii="Arial" w:hAnsi="Arial"/>
                                      <w:sz w:val="20"/>
                                    </w:rPr>
                                    <w:t>Talent Management</w:t>
                                  </w:r>
                                </w:p>
                              </w:tc>
                            </w:tr>
                            <w:tr>
                              <w:trPr/>
                              <w:tc>
                                <w:tcPr>
                                  <w:tcW w:w="961" w:type="dxa"/>
                                  <w:tcBorders/>
                                  <w:shd w:fill="auto" w:val="clear"/>
                                  <w:vAlign w:val="center"/>
                                </w:tcPr>
                                <w:p>
                                  <w:pPr>
                                    <w:pStyle w:val="TableContents"/>
                                    <w:spacing w:before="0" w:after="283"/>
                                    <w:jc w:val="center"/>
                                    <w:rPr/>
                                  </w:pPr>
                                  <w:r>
                                    <w:rPr/>
                                    <w:drawing>
                                      <wp:inline distT="0" distB="0" distL="0" distR="0">
                                        <wp:extent cx="333375" cy="342900"/>
                                        <wp:effectExtent l="0" t="0" r="0" b="0"/>
                                        <wp:docPr id="346"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43" descr=""/>
                                                <pic:cNvPicPr>
                                                  <a:picLocks noChangeAspect="1" noChangeArrowheads="1"/>
                                                </pic:cNvPicPr>
                                              </pic:nvPicPr>
                                              <pic:blipFill>
                                                <a:blip r:embed="rId244"/>
                                                <a:srcRect l="-3023" t="-2938" r="-3023" b="-2938"/>
                                                <a:stretch>
                                                  <a:fillRect/>
                                                </a:stretch>
                                              </pic:blipFill>
                                              <pic:spPr bwMode="auto">
                                                <a:xfrm>
                                                  <a:off x="0" y="0"/>
                                                  <a:ext cx="333375" cy="342900"/>
                                                </a:xfrm>
                                                <a:prstGeom prst="rect">
                                                  <a:avLst/>
                                                </a:prstGeom>
                                                <a:ln w="635">
                                                  <a:solidFill>
                                                    <a:srgbClr val="000000"/>
                                                  </a:solidFill>
                                                </a:ln>
                                              </pic:spPr>
                                            </pic:pic>
                                          </a:graphicData>
                                        </a:graphic>
                                      </wp:inline>
                                    </w:drawing>
                                  </w:r>
                                </w:p>
                              </w:tc>
                              <w:tc>
                                <w:tcPr>
                                  <w:tcW w:w="4872" w:type="dxa"/>
                                  <w:tcBorders/>
                                  <w:shd w:fill="auto" w:val="clear"/>
                                  <w:vAlign w:val="center"/>
                                </w:tcPr>
                                <w:p>
                                  <w:pPr>
                                    <w:pStyle w:val="TableContents"/>
                                    <w:spacing w:before="0" w:after="283"/>
                                    <w:jc w:val="left"/>
                                    <w:rPr>
                                      <w:rFonts w:ascii="Arial" w:hAnsi="Arial"/>
                                      <w:sz w:val="20"/>
                                    </w:rPr>
                                  </w:pPr>
                                  <w:r>
                                    <w:rPr>
                                      <w:rFonts w:ascii="Arial" w:hAnsi="Arial"/>
                                      <w:sz w:val="20"/>
                                    </w:rPr>
                                    <w:t>Government/Regulatory Experience</w:t>
                                  </w:r>
                                </w:p>
                              </w:tc>
                              <w:tc>
                                <w:tcPr>
                                  <w:tcW w:w="1016" w:type="dxa"/>
                                  <w:tcBorders/>
                                  <w:shd w:fill="auto" w:val="clear"/>
                                  <w:vAlign w:val="center"/>
                                </w:tcPr>
                                <w:p>
                                  <w:pPr>
                                    <w:pStyle w:val="TableContents"/>
                                    <w:spacing w:before="0" w:after="283"/>
                                    <w:rPr>
                                      <w:sz w:val="4"/>
                                      <w:szCs w:val="4"/>
                                    </w:rPr>
                                  </w:pPr>
                                  <w:r>
                                    <w:rPr>
                                      <w:sz w:val="4"/>
                                      <w:szCs w:val="4"/>
                                    </w:rPr>
                                  </w:r>
                                </w:p>
                              </w:tc>
                              <w:tc>
                                <w:tcPr>
                                  <w:tcW w:w="3356" w:type="dxa"/>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599.65pt;mso-wrap-distance-left:0pt;mso-wrap-distance-right:0pt;mso-wrap-distance-top:0pt;mso-wrap-distance-bottom:0pt;margin-top:0pt;mso-position-vertical:top;mso-position-vertical-relative:text;margin-left:148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961"/>
                        <w:gridCol w:w="4872"/>
                        <w:gridCol w:w="1016"/>
                        <w:gridCol w:w="3356"/>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Mr. Hollidays extensive experience and skills in real estate and finance, as well as his role as Chief Executive Officer of the Company, provide him with valuable knowledge of and expertise in our business and industry. Furthermore, Mr. Hollidays presence on the Board facilitates communication between the Board and the Companys senior management.</w:t>
                            </w:r>
                          </w:p>
                        </w:tc>
                      </w:tr>
                      <w:tr>
                        <w:trPr/>
                        <w:tc>
                          <w:tcPr>
                            <w:tcW w:w="961" w:type="dxa"/>
                            <w:tcBorders/>
                            <w:shd w:fill="auto" w:val="clear"/>
                            <w:vAlign w:val="center"/>
                          </w:tcPr>
                          <w:p>
                            <w:pPr>
                              <w:pStyle w:val="TableContents"/>
                              <w:spacing w:before="0" w:after="283"/>
                              <w:jc w:val="left"/>
                              <w:rPr/>
                            </w:pPr>
                            <w:r>
                              <w:rPr/>
                              <w:t> </w:t>
                            </w:r>
                          </w:p>
                        </w:tc>
                        <w:tc>
                          <w:tcPr>
                            <w:tcW w:w="4872"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3356" w:type="dxa"/>
                            <w:tcBorders/>
                            <w:shd w:fill="auto" w:val="clear"/>
                            <w:vAlign w:val="center"/>
                          </w:tcPr>
                          <w:p>
                            <w:pPr>
                              <w:pStyle w:val="TableContents"/>
                              <w:spacing w:before="0" w:after="283"/>
                              <w:rPr>
                                <w:sz w:val="4"/>
                                <w:szCs w:val="4"/>
                              </w:rPr>
                            </w:pPr>
                            <w:r>
                              <w:rPr>
                                <w:sz w:val="4"/>
                                <w:szCs w:val="4"/>
                              </w:rPr>
                            </w:r>
                          </w:p>
                        </w:tc>
                      </w:tr>
                      <w:tr>
                        <w:trPr/>
                        <w:tc>
                          <w:tcPr>
                            <w:tcW w:w="961"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4872"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016"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3356"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0"/>
                              </w:rPr>
                              <w:t>Professional Experience</w:t>
                            </w:r>
                          </w:p>
                          <w:p>
                            <w:pPr>
                              <w:pStyle w:val="TableContents"/>
                              <w:spacing w:before="0" w:after="0"/>
                              <w:ind w:left="0" w:right="0" w:hanging="290"/>
                              <w:jc w:val="left"/>
                              <w:rPr/>
                            </w:pPr>
                            <w:r>
                              <w:rPr>
                                <w:color w:val="000000"/>
                              </w:rPr>
                              <w:t>●</w:t>
                            </w:r>
                            <w:r>
                              <w:rPr>
                                <w:rFonts w:ascii="Arial" w:hAnsi="Arial"/>
                                <w:sz w:val="20"/>
                              </w:rPr>
                              <w:t>Chief Executive Officer of the Company since January 2004; Chairman of the Board since January 2019</w:t>
                            </w:r>
                          </w:p>
                          <w:p>
                            <w:pPr>
                              <w:pStyle w:val="TableContents"/>
                              <w:spacing w:before="0" w:after="0"/>
                              <w:ind w:left="0" w:right="0" w:hanging="290"/>
                              <w:jc w:val="left"/>
                              <w:rPr/>
                            </w:pPr>
                            <w:r>
                              <w:rPr>
                                <w:color w:val="000000"/>
                              </w:rPr>
                              <w:t>●</w:t>
                            </w:r>
                            <w:r>
                              <w:rPr>
                                <w:rFonts w:ascii="Arial" w:hAnsi="Arial"/>
                                <w:sz w:val="20"/>
                              </w:rPr>
                              <w:t>Joined the Company as Chief Investment Officer in July 1998; stepped down as President in April 2007 following promotion of Andrew Mathias, current President, to that position</w:t>
                            </w:r>
                          </w:p>
                          <w:p>
                            <w:pPr>
                              <w:pStyle w:val="TableContents"/>
                              <w:spacing w:before="0" w:after="0"/>
                              <w:ind w:left="0" w:right="0" w:hanging="290"/>
                              <w:jc w:val="left"/>
                              <w:rPr/>
                            </w:pPr>
                            <w:r>
                              <w:rPr>
                                <w:color w:val="000000"/>
                              </w:rPr>
                              <w:t>●</w:t>
                            </w:r>
                            <w:r>
                              <w:rPr>
                                <w:rFonts w:ascii="Arial" w:hAnsi="Arial"/>
                                <w:sz w:val="20"/>
                              </w:rPr>
                              <w:t>President and Chief Executive Officer of Gramercy Capital Corp., from August 2004 to October 2008, when Mr. Holliday stepped down</w:t>
                            </w:r>
                          </w:p>
                          <w:p>
                            <w:pPr>
                              <w:pStyle w:val="TableContents"/>
                              <w:spacing w:before="0" w:after="0"/>
                              <w:ind w:left="0" w:right="0" w:hanging="290"/>
                              <w:jc w:val="left"/>
                              <w:rPr/>
                            </w:pPr>
                            <w:r>
                              <w:rPr>
                                <w:color w:val="000000"/>
                              </w:rPr>
                              <w:t>●</w:t>
                            </w:r>
                            <w:r>
                              <w:rPr>
                                <w:rFonts w:ascii="Arial" w:hAnsi="Arial"/>
                                <w:sz w:val="20"/>
                              </w:rPr>
                              <w:t>Managing Director and Head of Direct Originations for New York-based Capital Trust Inc., a mezzanine finance company, where he was in charge of originating direct principal investments for the firm, consisting of mezzanine debt, preferred equity and first mortgages</w:t>
                            </w:r>
                          </w:p>
                          <w:p>
                            <w:pPr>
                              <w:pStyle w:val="TableContents"/>
                              <w:spacing w:before="0" w:after="0"/>
                              <w:ind w:left="0" w:right="0" w:hanging="290"/>
                              <w:jc w:val="left"/>
                              <w:rPr/>
                            </w:pPr>
                            <w:r>
                              <w:rPr>
                                <w:color w:val="000000"/>
                              </w:rPr>
                              <w:t>●</w:t>
                            </w:r>
                            <w:r>
                              <w:rPr>
                                <w:rFonts w:ascii="Arial" w:hAnsi="Arial"/>
                                <w:sz w:val="20"/>
                              </w:rPr>
                              <w:t>Served in various management positions, including Senior Vice President at Capital Trust, Inc.s predecessor, Victor Capital Group, L.P. from 1991 to 1997</w:t>
                            </w:r>
                          </w:p>
                          <w:p>
                            <w:pPr>
                              <w:pStyle w:val="TableContents"/>
                              <w:spacing w:before="0" w:after="0"/>
                              <w:ind w:left="0" w:right="0" w:hanging="290"/>
                              <w:jc w:val="left"/>
                              <w:rPr/>
                            </w:pPr>
                            <w:r>
                              <w:rPr>
                                <w:color w:val="000000"/>
                              </w:rPr>
                              <w:t>●</w:t>
                            </w:r>
                            <w:r>
                              <w:rPr>
                                <w:rFonts w:ascii="Arial" w:hAnsi="Arial"/>
                                <w:sz w:val="20"/>
                              </w:rPr>
                              <w:t>Chairman of the Board of Directors of NYRA and executive officer and member of the Board of the Real Estate Board of New York, and a former member of the Board of Directors of Columbia University</w:t>
                            </w:r>
                          </w:p>
                          <w:p>
                            <w:pPr>
                              <w:pStyle w:val="TableContents"/>
                              <w:spacing w:before="0" w:after="0"/>
                              <w:ind w:left="0" w:right="0" w:hanging="290"/>
                              <w:jc w:val="left"/>
                              <w:rPr/>
                            </w:pPr>
                            <w:r>
                              <w:rPr>
                                <w:color w:val="000000"/>
                              </w:rPr>
                              <w:t>●</w:t>
                            </w:r>
                            <w:r>
                              <w:rPr>
                                <w:rFonts w:ascii="Arial" w:hAnsi="Arial"/>
                                <w:sz w:val="20"/>
                              </w:rPr>
                              <w:t>B.S. degree in Business and Finance from Lehigh University in 1988 and M.S. degree in Real Estate Development from Columbia University in 1990</w:t>
                            </w:r>
                          </w:p>
                        </w:tc>
                      </w:tr>
                      <w:tr>
                        <w:trPr/>
                        <w:tc>
                          <w:tcPr>
                            <w:tcW w:w="961" w:type="dxa"/>
                            <w:tcBorders/>
                            <w:shd w:fill="auto" w:val="clear"/>
                            <w:vAlign w:val="center"/>
                          </w:tcPr>
                          <w:p>
                            <w:pPr>
                              <w:pStyle w:val="TableContents"/>
                              <w:spacing w:before="0" w:after="283"/>
                              <w:jc w:val="left"/>
                              <w:rPr/>
                            </w:pPr>
                            <w:r>
                              <w:rPr/>
                              <w:t> </w:t>
                            </w:r>
                          </w:p>
                        </w:tc>
                        <w:tc>
                          <w:tcPr>
                            <w:tcW w:w="4872"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3356" w:type="dxa"/>
                            <w:tcBorders/>
                            <w:shd w:fill="auto" w:val="clear"/>
                            <w:vAlign w:val="center"/>
                          </w:tcPr>
                          <w:p>
                            <w:pPr>
                              <w:pStyle w:val="TableContents"/>
                              <w:spacing w:before="0" w:after="283"/>
                              <w:rPr>
                                <w:sz w:val="4"/>
                                <w:szCs w:val="4"/>
                              </w:rPr>
                            </w:pPr>
                            <w:r>
                              <w:rPr>
                                <w:sz w:val="4"/>
                                <w:szCs w:val="4"/>
                              </w:rPr>
                            </w:r>
                          </w:p>
                        </w:tc>
                      </w:tr>
                      <w:tr>
                        <w:trPr/>
                        <w:tc>
                          <w:tcPr>
                            <w:tcW w:w="961"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4872"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016"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3356"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961" w:type="dxa"/>
                            <w:tcBorders/>
                            <w:shd w:fill="auto" w:val="clear"/>
                            <w:vAlign w:val="center"/>
                          </w:tcPr>
                          <w:p>
                            <w:pPr>
                              <w:pStyle w:val="TableContents"/>
                              <w:spacing w:before="0" w:after="283"/>
                              <w:jc w:val="center"/>
                              <w:rPr/>
                            </w:pPr>
                            <w:r>
                              <w:rPr/>
                              <w:drawing>
                                <wp:inline distT="0" distB="0" distL="0" distR="0">
                                  <wp:extent cx="285750" cy="314325"/>
                                  <wp:effectExtent l="0" t="0" r="0" b="0"/>
                                  <wp:docPr id="34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37" descr=""/>
                                          <pic:cNvPicPr>
                                            <a:picLocks noChangeAspect="1" noChangeArrowheads="1"/>
                                          </pic:cNvPicPr>
                                        </pic:nvPicPr>
                                        <pic:blipFill>
                                          <a:blip r:embed="rId238"/>
                                          <a:srcRect l="-3526" t="-3207" r="-3526" b="-3207"/>
                                          <a:stretch>
                                            <a:fillRect/>
                                          </a:stretch>
                                        </pic:blipFill>
                                        <pic:spPr bwMode="auto">
                                          <a:xfrm>
                                            <a:off x="0" y="0"/>
                                            <a:ext cx="285750" cy="314325"/>
                                          </a:xfrm>
                                          <a:prstGeom prst="rect">
                                            <a:avLst/>
                                          </a:prstGeom>
                                          <a:ln w="635">
                                            <a:solidFill>
                                              <a:srgbClr val="000000"/>
                                            </a:solidFill>
                                          </a:ln>
                                        </pic:spPr>
                                      </pic:pic>
                                    </a:graphicData>
                                  </a:graphic>
                                </wp:inline>
                              </w:drawing>
                            </w:r>
                          </w:p>
                        </w:tc>
                        <w:tc>
                          <w:tcPr>
                            <w:tcW w:w="4872"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c>
                          <w:tcPr>
                            <w:tcW w:w="1016" w:type="dxa"/>
                            <w:tcBorders/>
                            <w:shd w:fill="auto" w:val="clear"/>
                            <w:vAlign w:val="center"/>
                          </w:tcPr>
                          <w:p>
                            <w:pPr>
                              <w:pStyle w:val="TableContents"/>
                              <w:spacing w:before="0" w:after="283"/>
                              <w:jc w:val="center"/>
                              <w:rPr/>
                            </w:pPr>
                            <w:r>
                              <w:rPr/>
                              <w:drawing>
                                <wp:inline distT="0" distB="0" distL="0" distR="0">
                                  <wp:extent cx="342900" cy="342900"/>
                                  <wp:effectExtent l="0" t="0" r="0" b="0"/>
                                  <wp:docPr id="34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38" descr=""/>
                                          <pic:cNvPicPr>
                                            <a:picLocks noChangeAspect="1" noChangeArrowheads="1"/>
                                          </pic:cNvPicPr>
                                        </pic:nvPicPr>
                                        <pic:blipFill>
                                          <a:blip r:embed="rId239"/>
                                          <a:srcRect l="-2938" t="-2938" r="-2938" b="-2938"/>
                                          <a:stretch>
                                            <a:fillRect/>
                                          </a:stretch>
                                        </pic:blipFill>
                                        <pic:spPr bwMode="auto">
                                          <a:xfrm>
                                            <a:off x="0" y="0"/>
                                            <a:ext cx="342900" cy="342900"/>
                                          </a:xfrm>
                                          <a:prstGeom prst="rect">
                                            <a:avLst/>
                                          </a:prstGeom>
                                          <a:ln w="635">
                                            <a:solidFill>
                                              <a:srgbClr val="000000"/>
                                            </a:solidFill>
                                          </a:ln>
                                        </pic:spPr>
                                      </pic:pic>
                                    </a:graphicData>
                                  </a:graphic>
                                </wp:inline>
                              </w:drawing>
                            </w:r>
                          </w:p>
                        </w:tc>
                        <w:tc>
                          <w:tcPr>
                            <w:tcW w:w="3356" w:type="dxa"/>
                            <w:tcBorders/>
                            <w:shd w:fill="auto" w:val="clear"/>
                            <w:vAlign w:val="center"/>
                          </w:tcPr>
                          <w:p>
                            <w:pPr>
                              <w:pStyle w:val="TableContents"/>
                              <w:spacing w:before="0" w:after="283"/>
                              <w:jc w:val="left"/>
                              <w:rPr>
                                <w:rFonts w:ascii="Arial" w:hAnsi="Arial"/>
                                <w:sz w:val="20"/>
                              </w:rPr>
                            </w:pPr>
                            <w:r>
                              <w:rPr>
                                <w:rFonts w:ascii="Arial" w:hAnsi="Arial"/>
                                <w:sz w:val="20"/>
                              </w:rPr>
                              <w:t>Finance/Capital Markets</w:t>
                            </w:r>
                          </w:p>
                        </w:tc>
                      </w:tr>
                      <w:tr>
                        <w:trPr/>
                        <w:tc>
                          <w:tcPr>
                            <w:tcW w:w="961" w:type="dxa"/>
                            <w:tcBorders/>
                            <w:shd w:fill="auto" w:val="clear"/>
                            <w:vAlign w:val="center"/>
                          </w:tcPr>
                          <w:p>
                            <w:pPr>
                              <w:pStyle w:val="TableContents"/>
                              <w:spacing w:before="0" w:after="283"/>
                              <w:jc w:val="center"/>
                              <w:rPr/>
                            </w:pPr>
                            <w:r>
                              <w:rPr/>
                              <w:drawing>
                                <wp:inline distT="0" distB="0" distL="0" distR="0">
                                  <wp:extent cx="314325" cy="342900"/>
                                  <wp:effectExtent l="0" t="0" r="0" b="0"/>
                                  <wp:docPr id="34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239" descr=""/>
                                          <pic:cNvPicPr>
                                            <a:picLocks noChangeAspect="1" noChangeArrowheads="1"/>
                                          </pic:cNvPicPr>
                                        </pic:nvPicPr>
                                        <pic:blipFill>
                                          <a:blip r:embed="rId240"/>
                                          <a:srcRect l="-3207" t="-2938" r="-3207" b="-2938"/>
                                          <a:stretch>
                                            <a:fillRect/>
                                          </a:stretch>
                                        </pic:blipFill>
                                        <pic:spPr bwMode="auto">
                                          <a:xfrm>
                                            <a:off x="0" y="0"/>
                                            <a:ext cx="314325" cy="342900"/>
                                          </a:xfrm>
                                          <a:prstGeom prst="rect">
                                            <a:avLst/>
                                          </a:prstGeom>
                                          <a:ln w="635">
                                            <a:solidFill>
                                              <a:srgbClr val="000000"/>
                                            </a:solidFill>
                                          </a:ln>
                                        </pic:spPr>
                                      </pic:pic>
                                    </a:graphicData>
                                  </a:graphic>
                                </wp:inline>
                              </w:drawing>
                            </w:r>
                          </w:p>
                        </w:tc>
                        <w:tc>
                          <w:tcPr>
                            <w:tcW w:w="4872"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1016" w:type="dxa"/>
                            <w:tcBorders/>
                            <w:shd w:fill="auto" w:val="clear"/>
                            <w:vAlign w:val="center"/>
                          </w:tcPr>
                          <w:p>
                            <w:pPr>
                              <w:pStyle w:val="TableContents"/>
                              <w:spacing w:before="0" w:after="283"/>
                              <w:jc w:val="center"/>
                              <w:rPr/>
                            </w:pPr>
                            <w:r>
                              <w:rPr/>
                              <w:drawing>
                                <wp:inline distT="0" distB="0" distL="0" distR="0">
                                  <wp:extent cx="352425" cy="323850"/>
                                  <wp:effectExtent l="0" t="0" r="0" b="0"/>
                                  <wp:docPr id="35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40" descr=""/>
                                          <pic:cNvPicPr>
                                            <a:picLocks noChangeAspect="1" noChangeArrowheads="1"/>
                                          </pic:cNvPicPr>
                                        </pic:nvPicPr>
                                        <pic:blipFill>
                                          <a:blip r:embed="rId241"/>
                                          <a:srcRect l="-2860" t="-3111" r="-2860" b="-3111"/>
                                          <a:stretch>
                                            <a:fillRect/>
                                          </a:stretch>
                                        </pic:blipFill>
                                        <pic:spPr bwMode="auto">
                                          <a:xfrm>
                                            <a:off x="0" y="0"/>
                                            <a:ext cx="352425" cy="323850"/>
                                          </a:xfrm>
                                          <a:prstGeom prst="rect">
                                            <a:avLst/>
                                          </a:prstGeom>
                                          <a:ln w="635">
                                            <a:solidFill>
                                              <a:srgbClr val="000000"/>
                                            </a:solidFill>
                                          </a:ln>
                                        </pic:spPr>
                                      </pic:pic>
                                    </a:graphicData>
                                  </a:graphic>
                                </wp:inline>
                              </w:drawing>
                            </w:r>
                          </w:p>
                        </w:tc>
                        <w:tc>
                          <w:tcPr>
                            <w:tcW w:w="3356" w:type="dxa"/>
                            <w:tcBorders/>
                            <w:shd w:fill="auto" w:val="clear"/>
                            <w:vAlign w:val="center"/>
                          </w:tcPr>
                          <w:p>
                            <w:pPr>
                              <w:pStyle w:val="TableContents"/>
                              <w:spacing w:before="0" w:after="283"/>
                              <w:jc w:val="left"/>
                              <w:rPr>
                                <w:rFonts w:ascii="Arial" w:hAnsi="Arial"/>
                                <w:sz w:val="20"/>
                              </w:rPr>
                            </w:pPr>
                            <w:r>
                              <w:rPr>
                                <w:rFonts w:ascii="Arial" w:hAnsi="Arial"/>
                                <w:sz w:val="20"/>
                              </w:rPr>
                              <w:t>REIT/Real Estate Industry</w:t>
                            </w:r>
                          </w:p>
                        </w:tc>
                      </w:tr>
                      <w:tr>
                        <w:trPr/>
                        <w:tc>
                          <w:tcPr>
                            <w:tcW w:w="961" w:type="dxa"/>
                            <w:tcBorders/>
                            <w:shd w:fill="auto" w:val="clear"/>
                            <w:vAlign w:val="center"/>
                          </w:tcPr>
                          <w:p>
                            <w:pPr>
                              <w:pStyle w:val="TableContents"/>
                              <w:spacing w:before="0" w:after="283"/>
                              <w:jc w:val="center"/>
                              <w:rPr/>
                            </w:pPr>
                            <w:r>
                              <w:rPr/>
                              <w:drawing>
                                <wp:inline distT="0" distB="0" distL="0" distR="0">
                                  <wp:extent cx="314325" cy="323850"/>
                                  <wp:effectExtent l="0" t="0" r="0" b="0"/>
                                  <wp:docPr id="35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41" descr=""/>
                                          <pic:cNvPicPr>
                                            <a:picLocks noChangeAspect="1" noChangeArrowheads="1"/>
                                          </pic:cNvPicPr>
                                        </pic:nvPicPr>
                                        <pic:blipFill>
                                          <a:blip r:embed="rId242"/>
                                          <a:srcRect l="-3207" t="-3111" r="-3207" b="-3111"/>
                                          <a:stretch>
                                            <a:fillRect/>
                                          </a:stretch>
                                        </pic:blipFill>
                                        <pic:spPr bwMode="auto">
                                          <a:xfrm>
                                            <a:off x="0" y="0"/>
                                            <a:ext cx="314325" cy="323850"/>
                                          </a:xfrm>
                                          <a:prstGeom prst="rect">
                                            <a:avLst/>
                                          </a:prstGeom>
                                          <a:ln w="635">
                                            <a:solidFill>
                                              <a:srgbClr val="000000"/>
                                            </a:solidFill>
                                          </a:ln>
                                        </pic:spPr>
                                      </pic:pic>
                                    </a:graphicData>
                                  </a:graphic>
                                </wp:inline>
                              </w:drawing>
                            </w:r>
                          </w:p>
                        </w:tc>
                        <w:tc>
                          <w:tcPr>
                            <w:tcW w:w="4872" w:type="dxa"/>
                            <w:tcBorders/>
                            <w:shd w:fill="auto" w:val="clear"/>
                            <w:vAlign w:val="center"/>
                          </w:tcPr>
                          <w:p>
                            <w:pPr>
                              <w:pStyle w:val="TableContents"/>
                              <w:spacing w:before="0" w:after="283"/>
                              <w:jc w:val="left"/>
                              <w:rPr>
                                <w:rFonts w:ascii="Arial" w:hAnsi="Arial"/>
                                <w:sz w:val="20"/>
                              </w:rPr>
                            </w:pPr>
                            <w:r>
                              <w:rPr>
                                <w:rFonts w:ascii="Arial" w:hAnsi="Arial"/>
                                <w:sz w:val="20"/>
                              </w:rPr>
                              <w:t>Experience Over Several Business Cycles</w:t>
                            </w:r>
                          </w:p>
                        </w:tc>
                        <w:tc>
                          <w:tcPr>
                            <w:tcW w:w="1016" w:type="dxa"/>
                            <w:tcBorders/>
                            <w:shd w:fill="auto" w:val="clear"/>
                            <w:vAlign w:val="center"/>
                          </w:tcPr>
                          <w:p>
                            <w:pPr>
                              <w:pStyle w:val="TableContents"/>
                              <w:spacing w:before="0" w:after="283"/>
                              <w:jc w:val="center"/>
                              <w:rPr/>
                            </w:pPr>
                            <w:r>
                              <w:rPr/>
                              <w:drawing>
                                <wp:inline distT="0" distB="0" distL="0" distR="0">
                                  <wp:extent cx="314325" cy="304800"/>
                                  <wp:effectExtent l="0" t="0" r="0" b="0"/>
                                  <wp:docPr id="35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242" descr=""/>
                                          <pic:cNvPicPr>
                                            <a:picLocks noChangeAspect="1" noChangeArrowheads="1"/>
                                          </pic:cNvPicPr>
                                        </pic:nvPicPr>
                                        <pic:blipFill>
                                          <a:blip r:embed="rId243"/>
                                          <a:srcRect l="-3207" t="-3305" r="-3207" b="-3305"/>
                                          <a:stretch>
                                            <a:fillRect/>
                                          </a:stretch>
                                        </pic:blipFill>
                                        <pic:spPr bwMode="auto">
                                          <a:xfrm>
                                            <a:off x="0" y="0"/>
                                            <a:ext cx="314325" cy="304800"/>
                                          </a:xfrm>
                                          <a:prstGeom prst="rect">
                                            <a:avLst/>
                                          </a:prstGeom>
                                          <a:ln w="635">
                                            <a:solidFill>
                                              <a:srgbClr val="000000"/>
                                            </a:solidFill>
                                          </a:ln>
                                        </pic:spPr>
                                      </pic:pic>
                                    </a:graphicData>
                                  </a:graphic>
                                </wp:inline>
                              </w:drawing>
                            </w:r>
                          </w:p>
                        </w:tc>
                        <w:tc>
                          <w:tcPr>
                            <w:tcW w:w="3356" w:type="dxa"/>
                            <w:tcBorders/>
                            <w:shd w:fill="auto" w:val="clear"/>
                            <w:vAlign w:val="center"/>
                          </w:tcPr>
                          <w:p>
                            <w:pPr>
                              <w:pStyle w:val="TableContents"/>
                              <w:spacing w:before="0" w:after="283"/>
                              <w:jc w:val="left"/>
                              <w:rPr>
                                <w:rFonts w:ascii="Arial" w:hAnsi="Arial"/>
                                <w:sz w:val="20"/>
                              </w:rPr>
                            </w:pPr>
                            <w:r>
                              <w:rPr>
                                <w:rFonts w:ascii="Arial" w:hAnsi="Arial"/>
                                <w:sz w:val="20"/>
                              </w:rPr>
                              <w:t>Talent Management</w:t>
                            </w:r>
                          </w:p>
                        </w:tc>
                      </w:tr>
                      <w:tr>
                        <w:trPr/>
                        <w:tc>
                          <w:tcPr>
                            <w:tcW w:w="961" w:type="dxa"/>
                            <w:tcBorders/>
                            <w:shd w:fill="auto" w:val="clear"/>
                            <w:vAlign w:val="center"/>
                          </w:tcPr>
                          <w:p>
                            <w:pPr>
                              <w:pStyle w:val="TableContents"/>
                              <w:spacing w:before="0" w:after="283"/>
                              <w:jc w:val="center"/>
                              <w:rPr/>
                            </w:pPr>
                            <w:r>
                              <w:rPr/>
                              <w:drawing>
                                <wp:inline distT="0" distB="0" distL="0" distR="0">
                                  <wp:extent cx="333375" cy="342900"/>
                                  <wp:effectExtent l="0" t="0" r="0" b="0"/>
                                  <wp:docPr id="35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43" descr=""/>
                                          <pic:cNvPicPr>
                                            <a:picLocks noChangeAspect="1" noChangeArrowheads="1"/>
                                          </pic:cNvPicPr>
                                        </pic:nvPicPr>
                                        <pic:blipFill>
                                          <a:blip r:embed="rId244"/>
                                          <a:srcRect l="-3023" t="-2938" r="-3023" b="-2938"/>
                                          <a:stretch>
                                            <a:fillRect/>
                                          </a:stretch>
                                        </pic:blipFill>
                                        <pic:spPr bwMode="auto">
                                          <a:xfrm>
                                            <a:off x="0" y="0"/>
                                            <a:ext cx="333375" cy="342900"/>
                                          </a:xfrm>
                                          <a:prstGeom prst="rect">
                                            <a:avLst/>
                                          </a:prstGeom>
                                          <a:ln w="635">
                                            <a:solidFill>
                                              <a:srgbClr val="000000"/>
                                            </a:solidFill>
                                          </a:ln>
                                        </pic:spPr>
                                      </pic:pic>
                                    </a:graphicData>
                                  </a:graphic>
                                </wp:inline>
                              </w:drawing>
                            </w:r>
                          </w:p>
                        </w:tc>
                        <w:tc>
                          <w:tcPr>
                            <w:tcW w:w="4872" w:type="dxa"/>
                            <w:tcBorders/>
                            <w:shd w:fill="auto" w:val="clear"/>
                            <w:vAlign w:val="center"/>
                          </w:tcPr>
                          <w:p>
                            <w:pPr>
                              <w:pStyle w:val="TableContents"/>
                              <w:spacing w:before="0" w:after="283"/>
                              <w:jc w:val="left"/>
                              <w:rPr>
                                <w:rFonts w:ascii="Arial" w:hAnsi="Arial"/>
                                <w:sz w:val="20"/>
                              </w:rPr>
                            </w:pPr>
                            <w:r>
                              <w:rPr>
                                <w:rFonts w:ascii="Arial" w:hAnsi="Arial"/>
                                <w:sz w:val="20"/>
                              </w:rPr>
                              <w:t>Government/Regulatory Experience</w:t>
                            </w:r>
                          </w:p>
                        </w:tc>
                        <w:tc>
                          <w:tcPr>
                            <w:tcW w:w="1016" w:type="dxa"/>
                            <w:tcBorders/>
                            <w:shd w:fill="auto" w:val="clear"/>
                            <w:vAlign w:val="center"/>
                          </w:tcPr>
                          <w:p>
                            <w:pPr>
                              <w:pStyle w:val="TableContents"/>
                              <w:spacing w:before="0" w:after="283"/>
                              <w:rPr>
                                <w:sz w:val="4"/>
                                <w:szCs w:val="4"/>
                              </w:rPr>
                            </w:pPr>
                            <w:r>
                              <w:rPr>
                                <w:sz w:val="4"/>
                                <w:szCs w:val="4"/>
                              </w:rPr>
                            </w:r>
                          </w:p>
                        </w:tc>
                        <w:tc>
                          <w:tcPr>
                            <w:tcW w:w="3356" w:type="dxa"/>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20</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0" w:after="0"/>
        <w:rPr/>
      </w:pPr>
      <w:r>
        <w:rPr/>
      </w: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619885" cy="4293235"/>
                <wp:effectExtent l="0" t="0" r="0" b="0"/>
                <wp:wrapSquare wrapText="largest"/>
                <wp:docPr id="354" name="Frame25"/>
                <a:graphic xmlns:a="http://schemas.openxmlformats.org/drawingml/2006/main">
                  <a:graphicData uri="http://schemas.microsoft.com/office/word/2010/wordprocessingShape">
                    <wps:wsp>
                      <wps:cNvSpPr txBox="1"/>
                      <wps:spPr>
                        <a:xfrm>
                          <a:off x="0" y="0"/>
                          <a:ext cx="1619885" cy="4293235"/>
                        </a:xfrm>
                        <a:prstGeom prst="rect"/>
                      </wps:spPr>
                      <wps:txbx>
                        <w:txbxContent>
                          <w:tbl>
                            <w:tblPr>
                              <w:tblW w:w="2100" w:type="dxa"/>
                              <w:jc w:val="left"/>
                              <w:tblInd w:w="0" w:type="dxa"/>
                              <w:tblCellMar>
                                <w:top w:w="0" w:type="dxa"/>
                                <w:left w:w="0" w:type="dxa"/>
                                <w:bottom w:w="0" w:type="dxa"/>
                                <w:right w:w="28" w:type="dxa"/>
                              </w:tblCellMar>
                            </w:tblPr>
                            <w:tblGrid>
                              <w:gridCol w:w="198"/>
                              <w:gridCol w:w="1722"/>
                              <w:gridCol w:w="180"/>
                            </w:tblGrid>
                            <w:tr>
                              <w:trPr/>
                              <w:tc>
                                <w:tcPr>
                                  <w:tcW w:w="198" w:type="dxa"/>
                                  <w:tcBorders>
                                    <w:right w:val="single" w:sz="32" w:space="0" w:color="8EAD3C"/>
                                  </w:tcBorders>
                                  <w:shd w:fill="auto" w:val="clear"/>
                                  <w:vAlign w:val="center"/>
                                </w:tcPr>
                                <w:p>
                                  <w:pPr>
                                    <w:pStyle w:val="TableContents"/>
                                    <w:spacing w:before="0" w:after="283"/>
                                    <w:jc w:val="left"/>
                                    <w:rPr/>
                                  </w:pPr>
                                  <w:r>
                                    <w:rPr/>
                                    <w:t>   </w:t>
                                  </w:r>
                                </w:p>
                              </w:tc>
                              <w:tc>
                                <w:tcPr>
                                  <w:tcW w:w="1722"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920" w:type="dxa"/>
                                  <w:gridSpan w:val="2"/>
                                  <w:tcBorders/>
                                  <w:shd w:fill="1A2343" w:val="clear"/>
                                  <w:tcMar>
                                    <w:right w:w="0" w:type="dxa"/>
                                  </w:tcMar>
                                  <w:vAlign w:val="center"/>
                                </w:tcPr>
                                <w:p>
                                  <w:pPr>
                                    <w:pStyle w:val="TableContents"/>
                                    <w:jc w:val="left"/>
                                    <w:rPr/>
                                  </w:pPr>
                                  <w:r>
                                    <w:rPr>
                                      <w:rStyle w:val="StrongEmphasis"/>
                                      <w:rFonts w:ascii="Arial" w:hAnsi="Arial"/>
                                      <w:color w:val="FFFFFF"/>
                                      <w:sz w:val="24"/>
                                    </w:rPr>
                                    <w:t>ANDREW W.</w:t>
                                    <w:br/>
                                    <w:t>MATHIAS</w:t>
                                  </w:r>
                                  <w:r>
                                    <w:rPr>
                                      <w:rStyle w:val="StrongEmphasis"/>
                                      <w:rFonts w:ascii="Arial" w:hAnsi="Arial"/>
                                      <w:color w:val="FFFFFF"/>
                                      <w:position w:val="8"/>
                                      <w:sz w:val="19"/>
                                      <w:sz w:val="24"/>
                                    </w:rPr>
                                    <w:t>(1)</w:t>
                                  </w:r>
                                </w:p>
                                <w:p>
                                  <w:pPr>
                                    <w:pStyle w:val="TableContents"/>
                                    <w:jc w:val="left"/>
                                    <w:rPr/>
                                  </w:pPr>
                                  <w:r>
                                    <w:rPr/>
                                    <w:drawing>
                                      <wp:inline distT="0" distB="0" distL="0" distR="0">
                                        <wp:extent cx="1219200" cy="1554480"/>
                                        <wp:effectExtent l="0" t="0" r="0" b="0"/>
                                        <wp:docPr id="355"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244" descr=""/>
                                                <pic:cNvPicPr>
                                                  <a:picLocks noChangeAspect="1" noChangeArrowheads="1"/>
                                                </pic:cNvPicPr>
                                              </pic:nvPicPr>
                                              <pic:blipFill>
                                                <a:blip r:embed="rId245"/>
                                                <a:srcRect l="-808" t="-648" r="-808" b="-648"/>
                                                <a:stretch>
                                                  <a:fillRect/>
                                                </a:stretch>
                                              </pic:blipFill>
                                              <pic:spPr bwMode="auto">
                                                <a:xfrm>
                                                  <a:off x="0" y="0"/>
                                                  <a:ext cx="1219200" cy="1554480"/>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President</w:t>
                                  </w:r>
                                </w:p>
                                <w:p>
                                  <w:pPr>
                                    <w:pStyle w:val="TableContents"/>
                                    <w:jc w:val="left"/>
                                    <w:rPr/>
                                  </w:pPr>
                                  <w:r>
                                    <w:rPr>
                                      <w:rFonts w:ascii="Arial" w:hAnsi="Arial"/>
                                      <w:color w:val="FFFFFF"/>
                                      <w:sz w:val="20"/>
                                    </w:rPr>
                                    <w:t xml:space="preserve">Director Since: </w:t>
                                  </w:r>
                                  <w:r>
                                    <w:rPr>
                                      <w:rStyle w:val="StrongEmphasis"/>
                                      <w:rFonts w:ascii="Arial" w:hAnsi="Arial"/>
                                      <w:color w:val="FFFFFF"/>
                                      <w:sz w:val="20"/>
                                    </w:rPr>
                                    <w:t>2014</w:t>
                                  </w:r>
                                </w:p>
                                <w:p>
                                  <w:pPr>
                                    <w:pStyle w:val="TableContents"/>
                                    <w:spacing w:before="0" w:after="283"/>
                                    <w:jc w:val="left"/>
                                    <w:rPr/>
                                  </w:pPr>
                                  <w:r>
                                    <w:rPr>
                                      <w:rFonts w:ascii="Arial" w:hAnsi="Arial"/>
                                      <w:color w:val="FFFFFF"/>
                                      <w:sz w:val="20"/>
                                    </w:rPr>
                                    <w:t xml:space="preserve">Age: </w:t>
                                  </w:r>
                                  <w:r>
                                    <w:rPr>
                                      <w:rStyle w:val="StrongEmphasis"/>
                                      <w:rFonts w:ascii="Arial" w:hAnsi="Arial"/>
                                      <w:color w:val="FFFFFF"/>
                                      <w:sz w:val="20"/>
                                    </w:rPr>
                                    <w:t xml:space="preserve">49 </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198" w:type="dxa"/>
                                  <w:tcBorders/>
                                  <w:shd w:fill="auto" w:val="clear"/>
                                  <w:tcMar>
                                    <w:right w:w="0" w:type="dxa"/>
                                  </w:tcMar>
                                  <w:vAlign w:val="center"/>
                                </w:tcPr>
                                <w:p>
                                  <w:pPr>
                                    <w:pStyle w:val="TableContents"/>
                                    <w:spacing w:before="0" w:after="283"/>
                                    <w:jc w:val="left"/>
                                    <w:rPr/>
                                  </w:pPr>
                                  <w:r>
                                    <w:rPr/>
                                    <w:t> </w:t>
                                  </w:r>
                                </w:p>
                              </w:tc>
                              <w:tc>
                                <w:tcPr>
                                  <w:tcW w:w="1722"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25000</wp14:pctWidth>
                </wp14:sizeRelH>
              </wp:anchor>
            </w:drawing>
          </mc:Choice>
          <mc:Fallback>
            <w:pict>
              <v:rect style="position:absolute;rotation:0;width:127.55pt;height:338.05pt;mso-wrap-distance-left:0pt;mso-wrap-distance-right:0pt;mso-wrap-distance-top:0pt;mso-wrap-distance-bottom:0pt;margin-top:0pt;mso-position-vertical:top;mso-position-vertical-relative:text;margin-left:0pt;mso-position-horizontal:left;mso-position-horizontal-relative:text">
                <v:textbox>
                  <w:txbxContent>
                    <w:tbl>
                      <w:tblPr>
                        <w:tblW w:w="2100" w:type="dxa"/>
                        <w:jc w:val="left"/>
                        <w:tblInd w:w="0" w:type="dxa"/>
                        <w:tblCellMar>
                          <w:top w:w="0" w:type="dxa"/>
                          <w:left w:w="0" w:type="dxa"/>
                          <w:bottom w:w="0" w:type="dxa"/>
                          <w:right w:w="28" w:type="dxa"/>
                        </w:tblCellMar>
                      </w:tblPr>
                      <w:tblGrid>
                        <w:gridCol w:w="198"/>
                        <w:gridCol w:w="1722"/>
                        <w:gridCol w:w="180"/>
                      </w:tblGrid>
                      <w:tr>
                        <w:trPr/>
                        <w:tc>
                          <w:tcPr>
                            <w:tcW w:w="198" w:type="dxa"/>
                            <w:tcBorders>
                              <w:right w:val="single" w:sz="32" w:space="0" w:color="8EAD3C"/>
                            </w:tcBorders>
                            <w:shd w:fill="auto" w:val="clear"/>
                            <w:vAlign w:val="center"/>
                          </w:tcPr>
                          <w:p>
                            <w:pPr>
                              <w:pStyle w:val="TableContents"/>
                              <w:spacing w:before="0" w:after="283"/>
                              <w:jc w:val="left"/>
                              <w:rPr/>
                            </w:pPr>
                            <w:r>
                              <w:rPr/>
                              <w:t>   </w:t>
                            </w:r>
                          </w:p>
                        </w:tc>
                        <w:tc>
                          <w:tcPr>
                            <w:tcW w:w="1722"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920" w:type="dxa"/>
                            <w:gridSpan w:val="2"/>
                            <w:tcBorders/>
                            <w:shd w:fill="1A2343" w:val="clear"/>
                            <w:tcMar>
                              <w:right w:w="0" w:type="dxa"/>
                            </w:tcMar>
                            <w:vAlign w:val="center"/>
                          </w:tcPr>
                          <w:p>
                            <w:pPr>
                              <w:pStyle w:val="TableContents"/>
                              <w:jc w:val="left"/>
                              <w:rPr/>
                            </w:pPr>
                            <w:r>
                              <w:rPr>
                                <w:rStyle w:val="StrongEmphasis"/>
                                <w:rFonts w:ascii="Arial" w:hAnsi="Arial"/>
                                <w:color w:val="FFFFFF"/>
                                <w:sz w:val="24"/>
                              </w:rPr>
                              <w:t>ANDREW W.</w:t>
                              <w:br/>
                              <w:t>MATHIAS</w:t>
                            </w:r>
                            <w:r>
                              <w:rPr>
                                <w:rStyle w:val="StrongEmphasis"/>
                                <w:rFonts w:ascii="Arial" w:hAnsi="Arial"/>
                                <w:color w:val="FFFFFF"/>
                                <w:position w:val="8"/>
                                <w:sz w:val="19"/>
                                <w:sz w:val="24"/>
                              </w:rPr>
                              <w:t>(1)</w:t>
                            </w:r>
                          </w:p>
                          <w:p>
                            <w:pPr>
                              <w:pStyle w:val="TableContents"/>
                              <w:jc w:val="left"/>
                              <w:rPr/>
                            </w:pPr>
                            <w:r>
                              <w:rPr/>
                              <w:drawing>
                                <wp:inline distT="0" distB="0" distL="0" distR="0">
                                  <wp:extent cx="1219200" cy="1554480"/>
                                  <wp:effectExtent l="0" t="0" r="0" b="0"/>
                                  <wp:docPr id="356"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44" descr=""/>
                                          <pic:cNvPicPr>
                                            <a:picLocks noChangeAspect="1" noChangeArrowheads="1"/>
                                          </pic:cNvPicPr>
                                        </pic:nvPicPr>
                                        <pic:blipFill>
                                          <a:blip r:embed="rId245"/>
                                          <a:srcRect l="-808" t="-648" r="-808" b="-648"/>
                                          <a:stretch>
                                            <a:fillRect/>
                                          </a:stretch>
                                        </pic:blipFill>
                                        <pic:spPr bwMode="auto">
                                          <a:xfrm>
                                            <a:off x="0" y="0"/>
                                            <a:ext cx="1219200" cy="1554480"/>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0"/>
                              </w:rPr>
                              <w:t>President</w:t>
                            </w:r>
                          </w:p>
                          <w:p>
                            <w:pPr>
                              <w:pStyle w:val="TableContents"/>
                              <w:jc w:val="left"/>
                              <w:rPr/>
                            </w:pPr>
                            <w:r>
                              <w:rPr>
                                <w:rFonts w:ascii="Arial" w:hAnsi="Arial"/>
                                <w:color w:val="FFFFFF"/>
                                <w:sz w:val="20"/>
                              </w:rPr>
                              <w:t xml:space="preserve">Director Since: </w:t>
                            </w:r>
                            <w:r>
                              <w:rPr>
                                <w:rStyle w:val="StrongEmphasis"/>
                                <w:rFonts w:ascii="Arial" w:hAnsi="Arial"/>
                                <w:color w:val="FFFFFF"/>
                                <w:sz w:val="20"/>
                              </w:rPr>
                              <w:t>2014</w:t>
                            </w:r>
                          </w:p>
                          <w:p>
                            <w:pPr>
                              <w:pStyle w:val="TableContents"/>
                              <w:spacing w:before="0" w:after="283"/>
                              <w:jc w:val="left"/>
                              <w:rPr/>
                            </w:pPr>
                            <w:r>
                              <w:rPr>
                                <w:rFonts w:ascii="Arial" w:hAnsi="Arial"/>
                                <w:color w:val="FFFFFF"/>
                                <w:sz w:val="20"/>
                              </w:rPr>
                              <w:t xml:space="preserve">Age: </w:t>
                            </w:r>
                            <w:r>
                              <w:rPr>
                                <w:rStyle w:val="StrongEmphasis"/>
                                <w:rFonts w:ascii="Arial" w:hAnsi="Arial"/>
                                <w:color w:val="FFFFFF"/>
                                <w:sz w:val="20"/>
                              </w:rPr>
                              <w:t xml:space="preserve">49 </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198" w:type="dxa"/>
                            <w:tcBorders/>
                            <w:shd w:fill="auto" w:val="clear"/>
                            <w:tcMar>
                              <w:right w:w="0" w:type="dxa"/>
                            </w:tcMar>
                            <w:vAlign w:val="center"/>
                          </w:tcPr>
                          <w:p>
                            <w:pPr>
                              <w:pStyle w:val="TableContents"/>
                              <w:spacing w:before="0" w:after="283"/>
                              <w:jc w:val="left"/>
                              <w:rPr/>
                            </w:pPr>
                            <w:r>
                              <w:rPr/>
                              <w:t> </w:t>
                            </w:r>
                          </w:p>
                        </w:tc>
                        <w:tc>
                          <w:tcPr>
                            <w:tcW w:w="1722"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rPr/>
      </w:pPr>
      <w:r>
        <w:rPr/>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4600575" cy="7223125"/>
                <wp:effectExtent l="0" t="0" r="0" b="0"/>
                <wp:wrapSquare wrapText="largest"/>
                <wp:docPr id="357" name="Frame26"/>
                <a:graphic xmlns:a="http://schemas.openxmlformats.org/drawingml/2006/main">
                  <a:graphicData uri="http://schemas.microsoft.com/office/word/2010/wordprocessingShape">
                    <wps:wsp>
                      <wps:cNvSpPr txBox="1"/>
                      <wps:spPr>
                        <a:xfrm>
                          <a:off x="0" y="0"/>
                          <a:ext cx="4600575" cy="7223125"/>
                        </a:xfrm>
                        <a:prstGeom prst="rect"/>
                      </wps:spPr>
                      <wps:txbx>
                        <w:txbxContent>
                          <w:tbl>
                            <w:tblPr>
                              <w:tblW w:w="10205" w:type="dxa"/>
                              <w:jc w:val="left"/>
                              <w:tblInd w:w="0" w:type="dxa"/>
                              <w:tblCellMar>
                                <w:top w:w="0" w:type="dxa"/>
                                <w:left w:w="0" w:type="dxa"/>
                                <w:bottom w:w="0" w:type="dxa"/>
                                <w:right w:w="0" w:type="dxa"/>
                              </w:tblCellMar>
                            </w:tblPr>
                            <w:tblGrid>
                              <w:gridCol w:w="970"/>
                              <w:gridCol w:w="4851"/>
                              <w:gridCol w:w="1026"/>
                              <w:gridCol w:w="3358"/>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Mr. Mathias’ extensive experience in real estate, including commercial real estate investment, and in-depth knowledge of the New York City real estate market, as well as his role as President of the Company, provide him with valuable knowledge of our business and industry. Furthermore, Mr. Mathias’ presence on the Board facilitates communication between the Board and the Company’s senior management.</w:t>
                                  </w:r>
                                </w:p>
                              </w:tc>
                            </w:tr>
                            <w:tr>
                              <w:trPr/>
                              <w:tc>
                                <w:tcPr>
                                  <w:tcW w:w="970" w:type="dxa"/>
                                  <w:tcBorders/>
                                  <w:shd w:fill="auto" w:val="clear"/>
                                  <w:vAlign w:val="center"/>
                                </w:tcPr>
                                <w:p>
                                  <w:pPr>
                                    <w:pStyle w:val="TableContents"/>
                                    <w:spacing w:before="0" w:after="283"/>
                                    <w:jc w:val="left"/>
                                    <w:rPr/>
                                  </w:pPr>
                                  <w:r>
                                    <w:rPr/>
                                    <w:t> </w:t>
                                  </w:r>
                                </w:p>
                              </w:tc>
                              <w:tc>
                                <w:tcPr>
                                  <w:tcW w:w="4851"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3358" w:type="dxa"/>
                                  <w:tcBorders/>
                                  <w:shd w:fill="auto" w:val="clear"/>
                                  <w:vAlign w:val="center"/>
                                </w:tcPr>
                                <w:p>
                                  <w:pPr>
                                    <w:pStyle w:val="TableContents"/>
                                    <w:spacing w:before="0" w:after="283"/>
                                    <w:rPr>
                                      <w:sz w:val="4"/>
                                      <w:szCs w:val="4"/>
                                    </w:rPr>
                                  </w:pPr>
                                  <w:r>
                                    <w:rPr>
                                      <w:sz w:val="4"/>
                                      <w:szCs w:val="4"/>
                                    </w:rPr>
                                  </w:r>
                                </w:p>
                              </w:tc>
                            </w:tr>
                            <w:tr>
                              <w:trPr/>
                              <w:tc>
                                <w:tcPr>
                                  <w:tcW w:w="970"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4851"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026"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3358"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0"/>
                                    </w:rPr>
                                    <w:t>Professional Experience</w:t>
                                  </w:r>
                                </w:p>
                                <w:p>
                                  <w:pPr>
                                    <w:pStyle w:val="TableContents"/>
                                    <w:spacing w:before="0" w:after="0"/>
                                    <w:ind w:left="0" w:right="0" w:hanging="290"/>
                                    <w:jc w:val="left"/>
                                    <w:rPr/>
                                  </w:pPr>
                                  <w:r>
                                    <w:rPr>
                                      <w:color w:val="000000"/>
                                    </w:rPr>
                                    <w:t>●</w:t>
                                  </w:r>
                                  <w:r>
                                    <w:rPr>
                                      <w:rFonts w:ascii="Arial" w:hAnsi="Arial"/>
                                      <w:sz w:val="20"/>
                                    </w:rPr>
                                    <w:t>President of the Company since April 2007</w:t>
                                  </w:r>
                                </w:p>
                                <w:p>
                                  <w:pPr>
                                    <w:pStyle w:val="TableContents"/>
                                    <w:spacing w:before="0" w:after="0"/>
                                    <w:ind w:left="0" w:right="0" w:hanging="290"/>
                                    <w:jc w:val="left"/>
                                    <w:rPr/>
                                  </w:pPr>
                                  <w:r>
                                    <w:rPr>
                                      <w:color w:val="000000"/>
                                    </w:rPr>
                                    <w:t>●</w:t>
                                  </w:r>
                                  <w:r>
                                    <w:rPr>
                                      <w:rFonts w:ascii="Arial" w:hAnsi="Arial"/>
                                      <w:sz w:val="20"/>
                                    </w:rPr>
                                    <w:t>Joined the Company in March 1999 as Vice President and was promoted to Director of Investments in 2002</w:t>
                                  </w:r>
                                </w:p>
                                <w:p>
                                  <w:pPr>
                                    <w:pStyle w:val="TableContents"/>
                                    <w:spacing w:before="0" w:after="0"/>
                                    <w:ind w:left="0" w:right="0" w:hanging="290"/>
                                    <w:jc w:val="left"/>
                                    <w:rPr/>
                                  </w:pPr>
                                  <w:r>
                                    <w:rPr>
                                      <w:color w:val="000000"/>
                                    </w:rPr>
                                    <w:t>●</w:t>
                                  </w:r>
                                  <w:r>
                                    <w:rPr>
                                      <w:rFonts w:ascii="Arial" w:hAnsi="Arial"/>
                                      <w:sz w:val="20"/>
                                    </w:rPr>
                                    <w:t>Chief Investment Officer of the Company from January 2004 until January 2011</w:t>
                                  </w:r>
                                </w:p>
                                <w:p>
                                  <w:pPr>
                                    <w:pStyle w:val="TableContents"/>
                                    <w:spacing w:before="0" w:after="0"/>
                                    <w:ind w:left="0" w:right="0" w:hanging="290"/>
                                    <w:jc w:val="left"/>
                                    <w:rPr/>
                                  </w:pPr>
                                  <w:r>
                                    <w:rPr>
                                      <w:color w:val="000000"/>
                                    </w:rPr>
                                    <w:t>●</w:t>
                                  </w:r>
                                  <w:r>
                                    <w:rPr>
                                      <w:rFonts w:ascii="Arial" w:hAnsi="Arial"/>
                                      <w:sz w:val="20"/>
                                    </w:rPr>
                                    <w:t>Chief Investment Officer of Gramercy Capital Corp. from August 2004 to October 2008</w:t>
                                  </w:r>
                                </w:p>
                                <w:p>
                                  <w:pPr>
                                    <w:pStyle w:val="TableContents"/>
                                    <w:spacing w:before="0" w:after="0"/>
                                    <w:ind w:left="0" w:right="0" w:hanging="290"/>
                                    <w:jc w:val="left"/>
                                    <w:rPr/>
                                  </w:pPr>
                                  <w:r>
                                    <w:rPr>
                                      <w:color w:val="000000"/>
                                    </w:rPr>
                                    <w:t>●</w:t>
                                  </w:r>
                                  <w:r>
                                    <w:rPr>
                                      <w:rFonts w:ascii="Arial" w:hAnsi="Arial"/>
                                      <w:sz w:val="20"/>
                                    </w:rPr>
                                    <w:t>Worked at Capital Trust, Inc. and its predecessor, Victor Capital Group, L.P.</w:t>
                                  </w:r>
                                </w:p>
                                <w:p>
                                  <w:pPr>
                                    <w:pStyle w:val="TableContents"/>
                                    <w:spacing w:before="0" w:after="0"/>
                                    <w:ind w:left="0" w:right="0" w:hanging="290"/>
                                    <w:jc w:val="left"/>
                                    <w:rPr/>
                                  </w:pPr>
                                  <w:r>
                                    <w:rPr>
                                      <w:color w:val="000000"/>
                                    </w:rPr>
                                    <w:t>●</w:t>
                                  </w:r>
                                  <w:r>
                                    <w:rPr>
                                      <w:rFonts w:ascii="Arial" w:hAnsi="Arial"/>
                                      <w:sz w:val="20"/>
                                    </w:rPr>
                                    <w:t>Worked on the high yield and restructuring desk at Bear Stearns and Co.</w:t>
                                  </w:r>
                                </w:p>
                                <w:p>
                                  <w:pPr>
                                    <w:pStyle w:val="TableContents"/>
                                    <w:spacing w:before="0" w:after="0"/>
                                    <w:ind w:left="0" w:right="0" w:hanging="290"/>
                                    <w:jc w:val="left"/>
                                    <w:rPr/>
                                  </w:pPr>
                                  <w:r>
                                    <w:rPr>
                                      <w:color w:val="000000"/>
                                    </w:rPr>
                                    <w:t>●</w:t>
                                  </w:r>
                                  <w:r>
                                    <w:rPr>
                                      <w:rFonts w:ascii="Arial" w:hAnsi="Arial"/>
                                      <w:sz w:val="20"/>
                                    </w:rPr>
                                    <w:t>Member of the Board of Directors for the Regional Plan Association, which works to improve the prosperity, infrastructure, sustainability and quality of life of the New York-New Jersey-Connecticut metropolitan region</w:t>
                                  </w:r>
                                </w:p>
                                <w:p>
                                  <w:pPr>
                                    <w:pStyle w:val="TableContents"/>
                                    <w:spacing w:before="0" w:after="0"/>
                                    <w:ind w:left="0" w:right="0" w:hanging="290"/>
                                    <w:jc w:val="left"/>
                                    <w:rPr/>
                                  </w:pPr>
                                  <w:r>
                                    <w:rPr>
                                      <w:color w:val="000000"/>
                                    </w:rPr>
                                    <w:t>●</w:t>
                                  </w:r>
                                  <w:r>
                                    <w:rPr>
                                      <w:rFonts w:ascii="Arial" w:hAnsi="Arial"/>
                                      <w:sz w:val="20"/>
                                    </w:rPr>
                                    <w:t>B.S. degree in Economics from the Wharton School at the University of Pennsylvania</w:t>
                                  </w:r>
                                </w:p>
                              </w:tc>
                            </w:tr>
                            <w:tr>
                              <w:trPr/>
                              <w:tc>
                                <w:tcPr>
                                  <w:tcW w:w="970" w:type="dxa"/>
                                  <w:tcBorders/>
                                  <w:shd w:fill="auto" w:val="clear"/>
                                  <w:vAlign w:val="center"/>
                                </w:tcPr>
                                <w:p>
                                  <w:pPr>
                                    <w:pStyle w:val="TableContents"/>
                                    <w:spacing w:before="0" w:after="283"/>
                                    <w:jc w:val="left"/>
                                    <w:rPr/>
                                  </w:pPr>
                                  <w:r>
                                    <w:rPr/>
                                    <w:t> </w:t>
                                  </w:r>
                                </w:p>
                              </w:tc>
                              <w:tc>
                                <w:tcPr>
                                  <w:tcW w:w="4851"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3358" w:type="dxa"/>
                                  <w:tcBorders/>
                                  <w:shd w:fill="auto" w:val="clear"/>
                                  <w:vAlign w:val="center"/>
                                </w:tcPr>
                                <w:p>
                                  <w:pPr>
                                    <w:pStyle w:val="TableContents"/>
                                    <w:spacing w:before="0" w:after="283"/>
                                    <w:rPr>
                                      <w:sz w:val="4"/>
                                      <w:szCs w:val="4"/>
                                    </w:rPr>
                                  </w:pPr>
                                  <w:r>
                                    <w:rPr>
                                      <w:sz w:val="4"/>
                                      <w:szCs w:val="4"/>
                                    </w:rPr>
                                  </w:r>
                                </w:p>
                              </w:tc>
                            </w:tr>
                            <w:tr>
                              <w:trPr/>
                              <w:tc>
                                <w:tcPr>
                                  <w:tcW w:w="970"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4851"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026"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3358"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970" w:type="dxa"/>
                                  <w:tcBorders/>
                                  <w:shd w:fill="auto" w:val="clear"/>
                                  <w:vAlign w:val="center"/>
                                </w:tcPr>
                                <w:p>
                                  <w:pPr>
                                    <w:pStyle w:val="TableContents"/>
                                    <w:spacing w:before="0" w:after="283"/>
                                    <w:jc w:val="center"/>
                                    <w:rPr/>
                                  </w:pPr>
                                  <w:r>
                                    <w:rPr/>
                                    <w:drawing>
                                      <wp:inline distT="0" distB="0" distL="0" distR="0">
                                        <wp:extent cx="295275" cy="323850"/>
                                        <wp:effectExtent l="0" t="0" r="0" b="0"/>
                                        <wp:docPr id="358"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45" descr=""/>
                                                <pic:cNvPicPr>
                                                  <a:picLocks noChangeAspect="1" noChangeArrowheads="1"/>
                                                </pic:cNvPicPr>
                                              </pic:nvPicPr>
                                              <pic:blipFill>
                                                <a:blip r:embed="rId246"/>
                                                <a:srcRect l="-3414" t="-3111" r="-3414" b="-3111"/>
                                                <a:stretch>
                                                  <a:fillRect/>
                                                </a:stretch>
                                              </pic:blipFill>
                                              <pic:spPr bwMode="auto">
                                                <a:xfrm>
                                                  <a:off x="0" y="0"/>
                                                  <a:ext cx="295275" cy="323850"/>
                                                </a:xfrm>
                                                <a:prstGeom prst="rect">
                                                  <a:avLst/>
                                                </a:prstGeom>
                                                <a:ln w="635">
                                                  <a:solidFill>
                                                    <a:srgbClr val="000000"/>
                                                  </a:solidFill>
                                                </a:ln>
                                              </pic:spPr>
                                            </pic:pic>
                                          </a:graphicData>
                                        </a:graphic>
                                      </wp:inline>
                                    </w:drawing>
                                  </w:r>
                                </w:p>
                              </w:tc>
                              <w:tc>
                                <w:tcPr>
                                  <w:tcW w:w="4851"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c>
                                <w:tcPr>
                                  <w:tcW w:w="1026" w:type="dxa"/>
                                  <w:tcBorders/>
                                  <w:shd w:fill="auto" w:val="clear"/>
                                  <w:vAlign w:val="center"/>
                                </w:tcPr>
                                <w:p>
                                  <w:pPr>
                                    <w:pStyle w:val="TableContents"/>
                                    <w:spacing w:before="0" w:after="283"/>
                                    <w:jc w:val="center"/>
                                    <w:rPr/>
                                  </w:pPr>
                                  <w:r>
                                    <w:rPr/>
                                    <w:drawing>
                                      <wp:inline distT="0" distB="0" distL="0" distR="0">
                                        <wp:extent cx="352425" cy="342900"/>
                                        <wp:effectExtent l="0" t="0" r="0" b="0"/>
                                        <wp:docPr id="359"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46" descr=""/>
                                                <pic:cNvPicPr>
                                                  <a:picLocks noChangeAspect="1" noChangeArrowheads="1"/>
                                                </pic:cNvPicPr>
                                              </pic:nvPicPr>
                                              <pic:blipFill>
                                                <a:blip r:embed="rId247"/>
                                                <a:srcRect l="-2860" t="-2938" r="-2860" b="-2938"/>
                                                <a:stretch>
                                                  <a:fillRect/>
                                                </a:stretch>
                                              </pic:blipFill>
                                              <pic:spPr bwMode="auto">
                                                <a:xfrm>
                                                  <a:off x="0" y="0"/>
                                                  <a:ext cx="352425" cy="342900"/>
                                                </a:xfrm>
                                                <a:prstGeom prst="rect">
                                                  <a:avLst/>
                                                </a:prstGeom>
                                                <a:ln w="635">
                                                  <a:solidFill>
                                                    <a:srgbClr val="000000"/>
                                                  </a:solidFill>
                                                </a:ln>
                                              </pic:spPr>
                                            </pic:pic>
                                          </a:graphicData>
                                        </a:graphic>
                                      </wp:inline>
                                    </w:drawing>
                                  </w:r>
                                </w:p>
                              </w:tc>
                              <w:tc>
                                <w:tcPr>
                                  <w:tcW w:w="3358" w:type="dxa"/>
                                  <w:tcBorders/>
                                  <w:shd w:fill="auto" w:val="clear"/>
                                  <w:vAlign w:val="center"/>
                                </w:tcPr>
                                <w:p>
                                  <w:pPr>
                                    <w:pStyle w:val="TableContents"/>
                                    <w:spacing w:before="0" w:after="283"/>
                                    <w:jc w:val="left"/>
                                    <w:rPr>
                                      <w:rFonts w:ascii="Arial" w:hAnsi="Arial"/>
                                      <w:sz w:val="20"/>
                                    </w:rPr>
                                  </w:pPr>
                                  <w:r>
                                    <w:rPr>
                                      <w:rFonts w:ascii="Arial" w:hAnsi="Arial"/>
                                      <w:sz w:val="20"/>
                                    </w:rPr>
                                    <w:t>Finance/Capital Markets</w:t>
                                  </w:r>
                                </w:p>
                              </w:tc>
                            </w:tr>
                            <w:tr>
                              <w:trPr/>
                              <w:tc>
                                <w:tcPr>
                                  <w:tcW w:w="970" w:type="dxa"/>
                                  <w:tcBorders/>
                                  <w:shd w:fill="auto" w:val="clear"/>
                                  <w:vAlign w:val="center"/>
                                </w:tcPr>
                                <w:p>
                                  <w:pPr>
                                    <w:pStyle w:val="TableContents"/>
                                    <w:spacing w:before="0" w:after="283"/>
                                    <w:jc w:val="center"/>
                                    <w:rPr/>
                                  </w:pPr>
                                  <w:r>
                                    <w:rPr/>
                                    <w:drawing>
                                      <wp:inline distT="0" distB="0" distL="0" distR="0">
                                        <wp:extent cx="333375" cy="342900"/>
                                        <wp:effectExtent l="0" t="0" r="0" b="0"/>
                                        <wp:docPr id="360"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47" descr=""/>
                                                <pic:cNvPicPr>
                                                  <a:picLocks noChangeAspect="1" noChangeArrowheads="1"/>
                                                </pic:cNvPicPr>
                                              </pic:nvPicPr>
                                              <pic:blipFill>
                                                <a:blip r:embed="rId248"/>
                                                <a:srcRect l="-3023" t="-2938" r="-3023" b="-2938"/>
                                                <a:stretch>
                                                  <a:fillRect/>
                                                </a:stretch>
                                              </pic:blipFill>
                                              <pic:spPr bwMode="auto">
                                                <a:xfrm>
                                                  <a:off x="0" y="0"/>
                                                  <a:ext cx="333375" cy="342900"/>
                                                </a:xfrm>
                                                <a:prstGeom prst="rect">
                                                  <a:avLst/>
                                                </a:prstGeom>
                                                <a:ln w="635">
                                                  <a:solidFill>
                                                    <a:srgbClr val="000000"/>
                                                  </a:solidFill>
                                                </a:ln>
                                              </pic:spPr>
                                            </pic:pic>
                                          </a:graphicData>
                                        </a:graphic>
                                      </wp:inline>
                                    </w:drawing>
                                  </w:r>
                                </w:p>
                              </w:tc>
                              <w:tc>
                                <w:tcPr>
                                  <w:tcW w:w="4851"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1026" w:type="dxa"/>
                                  <w:tcBorders/>
                                  <w:shd w:fill="auto" w:val="clear"/>
                                  <w:vAlign w:val="center"/>
                                </w:tcPr>
                                <w:p>
                                  <w:pPr>
                                    <w:pStyle w:val="TableContents"/>
                                    <w:spacing w:before="0" w:after="283"/>
                                    <w:jc w:val="center"/>
                                    <w:rPr/>
                                  </w:pPr>
                                  <w:r>
                                    <w:rPr/>
                                    <w:drawing>
                                      <wp:inline distT="0" distB="0" distL="0" distR="0">
                                        <wp:extent cx="352425" cy="333375"/>
                                        <wp:effectExtent l="0" t="0" r="0" b="0"/>
                                        <wp:docPr id="361"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248" descr=""/>
                                                <pic:cNvPicPr>
                                                  <a:picLocks noChangeAspect="1" noChangeArrowheads="1"/>
                                                </pic:cNvPicPr>
                                              </pic:nvPicPr>
                                              <pic:blipFill>
                                                <a:blip r:embed="rId249"/>
                                                <a:srcRect l="-2860" t="-3023" r="-2860" b="-3023"/>
                                                <a:stretch>
                                                  <a:fillRect/>
                                                </a:stretch>
                                              </pic:blipFill>
                                              <pic:spPr bwMode="auto">
                                                <a:xfrm>
                                                  <a:off x="0" y="0"/>
                                                  <a:ext cx="352425" cy="333375"/>
                                                </a:xfrm>
                                                <a:prstGeom prst="rect">
                                                  <a:avLst/>
                                                </a:prstGeom>
                                                <a:ln w="635">
                                                  <a:solidFill>
                                                    <a:srgbClr val="000000"/>
                                                  </a:solidFill>
                                                </a:ln>
                                              </pic:spPr>
                                            </pic:pic>
                                          </a:graphicData>
                                        </a:graphic>
                                      </wp:inline>
                                    </w:drawing>
                                  </w:r>
                                </w:p>
                              </w:tc>
                              <w:tc>
                                <w:tcPr>
                                  <w:tcW w:w="3358" w:type="dxa"/>
                                  <w:tcBorders/>
                                  <w:shd w:fill="auto" w:val="clear"/>
                                  <w:vAlign w:val="center"/>
                                </w:tcPr>
                                <w:p>
                                  <w:pPr>
                                    <w:pStyle w:val="TableContents"/>
                                    <w:spacing w:before="0" w:after="283"/>
                                    <w:jc w:val="left"/>
                                    <w:rPr>
                                      <w:rFonts w:ascii="Arial" w:hAnsi="Arial"/>
                                      <w:sz w:val="20"/>
                                    </w:rPr>
                                  </w:pPr>
                                  <w:r>
                                    <w:rPr>
                                      <w:rFonts w:ascii="Arial" w:hAnsi="Arial"/>
                                      <w:sz w:val="20"/>
                                    </w:rPr>
                                    <w:t>REIT/Real Estate Industry</w:t>
                                  </w:r>
                                </w:p>
                              </w:tc>
                            </w:tr>
                            <w:tr>
                              <w:trPr/>
                              <w:tc>
                                <w:tcPr>
                                  <w:tcW w:w="970" w:type="dxa"/>
                                  <w:tcBorders/>
                                  <w:shd w:fill="auto" w:val="clear"/>
                                  <w:vAlign w:val="center"/>
                                </w:tcPr>
                                <w:p>
                                  <w:pPr>
                                    <w:pStyle w:val="TableContents"/>
                                    <w:spacing w:before="0" w:after="283"/>
                                    <w:jc w:val="center"/>
                                    <w:rPr/>
                                  </w:pPr>
                                  <w:r>
                                    <w:rPr/>
                                    <w:drawing>
                                      <wp:inline distT="0" distB="0" distL="0" distR="0">
                                        <wp:extent cx="333375" cy="323850"/>
                                        <wp:effectExtent l="0" t="0" r="0" b="0"/>
                                        <wp:docPr id="362"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49" descr=""/>
                                                <pic:cNvPicPr>
                                                  <a:picLocks noChangeAspect="1" noChangeArrowheads="1"/>
                                                </pic:cNvPicPr>
                                              </pic:nvPicPr>
                                              <pic:blipFill>
                                                <a:blip r:embed="rId250"/>
                                                <a:srcRect l="-3023" t="-3111" r="-3023" b="-3111"/>
                                                <a:stretch>
                                                  <a:fillRect/>
                                                </a:stretch>
                                              </pic:blipFill>
                                              <pic:spPr bwMode="auto">
                                                <a:xfrm>
                                                  <a:off x="0" y="0"/>
                                                  <a:ext cx="333375" cy="323850"/>
                                                </a:xfrm>
                                                <a:prstGeom prst="rect">
                                                  <a:avLst/>
                                                </a:prstGeom>
                                                <a:ln w="635">
                                                  <a:solidFill>
                                                    <a:srgbClr val="000000"/>
                                                  </a:solidFill>
                                                </a:ln>
                                              </pic:spPr>
                                            </pic:pic>
                                          </a:graphicData>
                                        </a:graphic>
                                      </wp:inline>
                                    </w:drawing>
                                  </w:r>
                                </w:p>
                              </w:tc>
                              <w:tc>
                                <w:tcPr>
                                  <w:tcW w:w="4851" w:type="dxa"/>
                                  <w:tcBorders/>
                                  <w:shd w:fill="auto" w:val="clear"/>
                                  <w:vAlign w:val="center"/>
                                </w:tcPr>
                                <w:p>
                                  <w:pPr>
                                    <w:pStyle w:val="TableContents"/>
                                    <w:spacing w:before="0" w:after="283"/>
                                    <w:jc w:val="left"/>
                                    <w:rPr>
                                      <w:rFonts w:ascii="Arial" w:hAnsi="Arial"/>
                                      <w:sz w:val="20"/>
                                    </w:rPr>
                                  </w:pPr>
                                  <w:r>
                                    <w:rPr>
                                      <w:rFonts w:ascii="Arial" w:hAnsi="Arial"/>
                                      <w:sz w:val="20"/>
                                    </w:rPr>
                                    <w:t>Experience Over Several Business Cycles</w:t>
                                  </w:r>
                                </w:p>
                              </w:tc>
                              <w:tc>
                                <w:tcPr>
                                  <w:tcW w:w="1026" w:type="dxa"/>
                                  <w:tcBorders/>
                                  <w:shd w:fill="auto" w:val="clear"/>
                                  <w:vAlign w:val="center"/>
                                </w:tcPr>
                                <w:p>
                                  <w:pPr>
                                    <w:pStyle w:val="TableContents"/>
                                    <w:spacing w:before="0" w:after="283"/>
                                    <w:jc w:val="center"/>
                                    <w:rPr/>
                                  </w:pPr>
                                  <w:r>
                                    <w:rPr/>
                                    <w:drawing>
                                      <wp:inline distT="0" distB="0" distL="0" distR="0">
                                        <wp:extent cx="323850" cy="304800"/>
                                        <wp:effectExtent l="0" t="0" r="0" b="0"/>
                                        <wp:docPr id="363"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250" descr=""/>
                                                <pic:cNvPicPr>
                                                  <a:picLocks noChangeAspect="1" noChangeArrowheads="1"/>
                                                </pic:cNvPicPr>
                                              </pic:nvPicPr>
                                              <pic:blipFill>
                                                <a:blip r:embed="rId251"/>
                                                <a:srcRect l="-3111" t="-3305" r="-3111" b="-3305"/>
                                                <a:stretch>
                                                  <a:fillRect/>
                                                </a:stretch>
                                              </pic:blipFill>
                                              <pic:spPr bwMode="auto">
                                                <a:xfrm>
                                                  <a:off x="0" y="0"/>
                                                  <a:ext cx="323850" cy="304800"/>
                                                </a:xfrm>
                                                <a:prstGeom prst="rect">
                                                  <a:avLst/>
                                                </a:prstGeom>
                                                <a:ln w="635">
                                                  <a:solidFill>
                                                    <a:srgbClr val="000000"/>
                                                  </a:solidFill>
                                                </a:ln>
                                              </pic:spPr>
                                            </pic:pic>
                                          </a:graphicData>
                                        </a:graphic>
                                      </wp:inline>
                                    </w:drawing>
                                  </w:r>
                                </w:p>
                              </w:tc>
                              <w:tc>
                                <w:tcPr>
                                  <w:tcW w:w="3358" w:type="dxa"/>
                                  <w:tcBorders/>
                                  <w:shd w:fill="auto" w:val="clear"/>
                                  <w:vAlign w:val="center"/>
                                </w:tcPr>
                                <w:p>
                                  <w:pPr>
                                    <w:pStyle w:val="TableContents"/>
                                    <w:spacing w:before="0" w:after="283"/>
                                    <w:jc w:val="left"/>
                                    <w:rPr>
                                      <w:rFonts w:ascii="Arial" w:hAnsi="Arial"/>
                                      <w:sz w:val="20"/>
                                    </w:rPr>
                                  </w:pPr>
                                  <w:r>
                                    <w:rPr>
                                      <w:rFonts w:ascii="Arial" w:hAnsi="Arial"/>
                                      <w:sz w:val="20"/>
                                    </w:rPr>
                                    <w:t>Talent Management</w:t>
                                  </w:r>
                                </w:p>
                              </w:tc>
                            </w:tr>
                            <w:tr>
                              <w:trPr/>
                              <w:tc>
                                <w:tcPr>
                                  <w:tcW w:w="970" w:type="dxa"/>
                                  <w:tcBorders/>
                                  <w:shd w:fill="auto" w:val="clear"/>
                                  <w:vAlign w:val="center"/>
                                </w:tcPr>
                                <w:p>
                                  <w:pPr>
                                    <w:pStyle w:val="TableContents"/>
                                    <w:spacing w:before="0" w:after="283"/>
                                    <w:jc w:val="center"/>
                                    <w:rPr/>
                                  </w:pPr>
                                  <w:r>
                                    <w:rPr/>
                                    <w:drawing>
                                      <wp:inline distT="0" distB="0" distL="0" distR="0">
                                        <wp:extent cx="333375" cy="361950"/>
                                        <wp:effectExtent l="0" t="0" r="0" b="0"/>
                                        <wp:docPr id="364"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251" descr=""/>
                                                <pic:cNvPicPr>
                                                  <a:picLocks noChangeAspect="1" noChangeArrowheads="1"/>
                                                </pic:cNvPicPr>
                                              </pic:nvPicPr>
                                              <pic:blipFill>
                                                <a:blip r:embed="rId252"/>
                                                <a:srcRect l="-3023" t="-2786" r="-3023" b="-2786"/>
                                                <a:stretch>
                                                  <a:fillRect/>
                                                </a:stretch>
                                              </pic:blipFill>
                                              <pic:spPr bwMode="auto">
                                                <a:xfrm>
                                                  <a:off x="0" y="0"/>
                                                  <a:ext cx="333375" cy="361950"/>
                                                </a:xfrm>
                                                <a:prstGeom prst="rect">
                                                  <a:avLst/>
                                                </a:prstGeom>
                                                <a:ln w="635">
                                                  <a:solidFill>
                                                    <a:srgbClr val="000000"/>
                                                  </a:solidFill>
                                                </a:ln>
                                              </pic:spPr>
                                            </pic:pic>
                                          </a:graphicData>
                                        </a:graphic>
                                      </wp:inline>
                                    </w:drawing>
                                  </w:r>
                                </w:p>
                              </w:tc>
                              <w:tc>
                                <w:tcPr>
                                  <w:tcW w:w="4851" w:type="dxa"/>
                                  <w:tcBorders/>
                                  <w:shd w:fill="auto" w:val="clear"/>
                                  <w:vAlign w:val="center"/>
                                </w:tcPr>
                                <w:p>
                                  <w:pPr>
                                    <w:pStyle w:val="TableContents"/>
                                    <w:spacing w:before="0" w:after="283"/>
                                    <w:jc w:val="left"/>
                                    <w:rPr>
                                      <w:rFonts w:ascii="Arial" w:hAnsi="Arial"/>
                                      <w:sz w:val="20"/>
                                    </w:rPr>
                                  </w:pPr>
                                  <w:r>
                                    <w:rPr>
                                      <w:rFonts w:ascii="Arial" w:hAnsi="Arial"/>
                                      <w:sz w:val="20"/>
                                    </w:rPr>
                                    <w:t xml:space="preserve">Government/Regulatory Experience </w:t>
                                  </w:r>
                                </w:p>
                              </w:tc>
                              <w:tc>
                                <w:tcPr>
                                  <w:tcW w:w="1026" w:type="dxa"/>
                                  <w:tcBorders/>
                                  <w:shd w:fill="auto" w:val="clear"/>
                                  <w:vAlign w:val="center"/>
                                </w:tcPr>
                                <w:p>
                                  <w:pPr>
                                    <w:pStyle w:val="TableContents"/>
                                    <w:spacing w:before="0" w:after="283"/>
                                    <w:rPr>
                                      <w:sz w:val="4"/>
                                      <w:szCs w:val="4"/>
                                    </w:rPr>
                                  </w:pPr>
                                  <w:r>
                                    <w:rPr>
                                      <w:sz w:val="4"/>
                                      <w:szCs w:val="4"/>
                                    </w:rPr>
                                  </w:r>
                                </w:p>
                              </w:tc>
                              <w:tc>
                                <w:tcPr>
                                  <w:tcW w:w="3358" w:type="dxa"/>
                                  <w:tcBorders/>
                                  <w:shd w:fill="auto" w:val="clear"/>
                                  <w:vAlign w:val="center"/>
                                </w:tcPr>
                                <w:p>
                                  <w:pPr>
                                    <w:pStyle w:val="TableContents"/>
                                    <w:spacing w:before="0" w:after="283"/>
                                    <w:rPr>
                                      <w:sz w:val="4"/>
                                      <w:szCs w:val="4"/>
                                    </w:rPr>
                                  </w:pPr>
                                  <w:r>
                                    <w:rPr>
                                      <w:sz w:val="4"/>
                                      <w:szCs w:val="4"/>
                                    </w:rPr>
                                  </w:r>
                                </w:p>
                              </w:tc>
                            </w:tr>
                          </w:tbl>
                          <w:tbl>
                            <w:tblPr>
                              <w:tblW w:w="7870" w:type="dxa"/>
                              <w:jc w:val="left"/>
                              <w:tblInd w:w="0" w:type="dxa"/>
                              <w:tblCellMar>
                                <w:top w:w="0" w:type="dxa"/>
                                <w:left w:w="0" w:type="dxa"/>
                                <w:bottom w:w="0" w:type="dxa"/>
                                <w:right w:w="0" w:type="dxa"/>
                              </w:tblCellMar>
                            </w:tblPr>
                            <w:tblGrid>
                              <w:gridCol w:w="200"/>
                              <w:gridCol w:w="7670"/>
                            </w:tblGrid>
                            <w:tr>
                              <w:trPr/>
                              <w:tc>
                                <w:tcPr>
                                  <w:tcW w:w="200"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7670" w:type="dxa"/>
                                  <w:tcBorders/>
                                  <w:shd w:fill="auto" w:val="clear"/>
                                  <w:vAlign w:val="center"/>
                                </w:tcPr>
                                <w:p>
                                  <w:pPr>
                                    <w:pStyle w:val="TableContents"/>
                                    <w:spacing w:before="0" w:after="283"/>
                                    <w:jc w:val="left"/>
                                    <w:rPr>
                                      <w:rFonts w:ascii="Arial" w:hAnsi="Arial"/>
                                      <w:strike w:val="false"/>
                                      <w:dstrike w:val="false"/>
                                      <w:sz w:val="15"/>
                                      <w:u w:val="none"/>
                                      <w:effect w:val="none"/>
                                    </w:rPr>
                                  </w:pPr>
                                  <w:r>
                                    <w:rPr>
                                      <w:rFonts w:ascii="Arial" w:hAnsi="Arial"/>
                                      <w:strike w:val="false"/>
                                      <w:dstrike w:val="false"/>
                                      <w:sz w:val="15"/>
                                      <w:u w:val="none"/>
                                      <w:effect w:val="none"/>
                                    </w:rPr>
                                    <w:t>If Mr. Mathias is reelected, he will join the Executive Committee, effective as of the date of the annual meeting.</w:t>
                                  </w:r>
                                </w:p>
                              </w:tc>
                            </w:tr>
                          </w:tbl>
                          <w:p>
                            <w:pPr>
                              <w:pStyle w:val="TextBody"/>
                              <w:spacing w:before="0" w:after="283"/>
                              <w:rPr/>
                            </w:pPr>
                            <w:r>
                              <w:rPr/>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568.75pt;mso-wrap-distance-left:0pt;mso-wrap-distance-right:0pt;mso-wrap-distance-top:0pt;mso-wrap-distance-bottom:0pt;margin-top:0pt;mso-position-vertical:top;mso-position-vertical-relative:text;margin-left:148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970"/>
                        <w:gridCol w:w="4851"/>
                        <w:gridCol w:w="1026"/>
                        <w:gridCol w:w="3358"/>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Mr. Mathias’ extensive experience in real estate, including commercial real estate investment, and in-depth knowledge of the New York City real estate market, as well as his role as President of the Company, provide him with valuable knowledge of our business and industry. Furthermore, Mr. Mathias’ presence on the Board facilitates communication between the Board and the Company’s senior management.</w:t>
                            </w:r>
                          </w:p>
                        </w:tc>
                      </w:tr>
                      <w:tr>
                        <w:trPr/>
                        <w:tc>
                          <w:tcPr>
                            <w:tcW w:w="970" w:type="dxa"/>
                            <w:tcBorders/>
                            <w:shd w:fill="auto" w:val="clear"/>
                            <w:vAlign w:val="center"/>
                          </w:tcPr>
                          <w:p>
                            <w:pPr>
                              <w:pStyle w:val="TableContents"/>
                              <w:spacing w:before="0" w:after="283"/>
                              <w:jc w:val="left"/>
                              <w:rPr/>
                            </w:pPr>
                            <w:r>
                              <w:rPr/>
                              <w:t> </w:t>
                            </w:r>
                          </w:p>
                        </w:tc>
                        <w:tc>
                          <w:tcPr>
                            <w:tcW w:w="4851"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3358" w:type="dxa"/>
                            <w:tcBorders/>
                            <w:shd w:fill="auto" w:val="clear"/>
                            <w:vAlign w:val="center"/>
                          </w:tcPr>
                          <w:p>
                            <w:pPr>
                              <w:pStyle w:val="TableContents"/>
                              <w:spacing w:before="0" w:after="283"/>
                              <w:rPr>
                                <w:sz w:val="4"/>
                                <w:szCs w:val="4"/>
                              </w:rPr>
                            </w:pPr>
                            <w:r>
                              <w:rPr>
                                <w:sz w:val="4"/>
                                <w:szCs w:val="4"/>
                              </w:rPr>
                            </w:r>
                          </w:p>
                        </w:tc>
                      </w:tr>
                      <w:tr>
                        <w:trPr/>
                        <w:tc>
                          <w:tcPr>
                            <w:tcW w:w="970"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4851"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026"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3358"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jc w:val="left"/>
                              <w:rPr/>
                            </w:pPr>
                            <w:r>
                              <w:rPr>
                                <w:rStyle w:val="StrongEmphasis"/>
                                <w:rFonts w:ascii="Arial" w:hAnsi="Arial"/>
                                <w:color w:val="1A2343"/>
                                <w:sz w:val="20"/>
                              </w:rPr>
                              <w:t>Professional Experience</w:t>
                            </w:r>
                          </w:p>
                          <w:p>
                            <w:pPr>
                              <w:pStyle w:val="TableContents"/>
                              <w:spacing w:before="0" w:after="0"/>
                              <w:ind w:left="0" w:right="0" w:hanging="290"/>
                              <w:jc w:val="left"/>
                              <w:rPr/>
                            </w:pPr>
                            <w:r>
                              <w:rPr>
                                <w:color w:val="000000"/>
                              </w:rPr>
                              <w:t>●</w:t>
                            </w:r>
                            <w:r>
                              <w:rPr>
                                <w:rFonts w:ascii="Arial" w:hAnsi="Arial"/>
                                <w:sz w:val="20"/>
                              </w:rPr>
                              <w:t>President of the Company since April 2007</w:t>
                            </w:r>
                          </w:p>
                          <w:p>
                            <w:pPr>
                              <w:pStyle w:val="TableContents"/>
                              <w:spacing w:before="0" w:after="0"/>
                              <w:ind w:left="0" w:right="0" w:hanging="290"/>
                              <w:jc w:val="left"/>
                              <w:rPr/>
                            </w:pPr>
                            <w:r>
                              <w:rPr>
                                <w:color w:val="000000"/>
                              </w:rPr>
                              <w:t>●</w:t>
                            </w:r>
                            <w:r>
                              <w:rPr>
                                <w:rFonts w:ascii="Arial" w:hAnsi="Arial"/>
                                <w:sz w:val="20"/>
                              </w:rPr>
                              <w:t>Joined the Company in March 1999 as Vice President and was promoted to Director of Investments in 2002</w:t>
                            </w:r>
                          </w:p>
                          <w:p>
                            <w:pPr>
                              <w:pStyle w:val="TableContents"/>
                              <w:spacing w:before="0" w:after="0"/>
                              <w:ind w:left="0" w:right="0" w:hanging="290"/>
                              <w:jc w:val="left"/>
                              <w:rPr/>
                            </w:pPr>
                            <w:r>
                              <w:rPr>
                                <w:color w:val="000000"/>
                              </w:rPr>
                              <w:t>●</w:t>
                            </w:r>
                            <w:r>
                              <w:rPr>
                                <w:rFonts w:ascii="Arial" w:hAnsi="Arial"/>
                                <w:sz w:val="20"/>
                              </w:rPr>
                              <w:t>Chief Investment Officer of the Company from January 2004 until January 2011</w:t>
                            </w:r>
                          </w:p>
                          <w:p>
                            <w:pPr>
                              <w:pStyle w:val="TableContents"/>
                              <w:spacing w:before="0" w:after="0"/>
                              <w:ind w:left="0" w:right="0" w:hanging="290"/>
                              <w:jc w:val="left"/>
                              <w:rPr/>
                            </w:pPr>
                            <w:r>
                              <w:rPr>
                                <w:color w:val="000000"/>
                              </w:rPr>
                              <w:t>●</w:t>
                            </w:r>
                            <w:r>
                              <w:rPr>
                                <w:rFonts w:ascii="Arial" w:hAnsi="Arial"/>
                                <w:sz w:val="20"/>
                              </w:rPr>
                              <w:t>Chief Investment Officer of Gramercy Capital Corp. from August 2004 to October 2008</w:t>
                            </w:r>
                          </w:p>
                          <w:p>
                            <w:pPr>
                              <w:pStyle w:val="TableContents"/>
                              <w:spacing w:before="0" w:after="0"/>
                              <w:ind w:left="0" w:right="0" w:hanging="290"/>
                              <w:jc w:val="left"/>
                              <w:rPr/>
                            </w:pPr>
                            <w:r>
                              <w:rPr>
                                <w:color w:val="000000"/>
                              </w:rPr>
                              <w:t>●</w:t>
                            </w:r>
                            <w:r>
                              <w:rPr>
                                <w:rFonts w:ascii="Arial" w:hAnsi="Arial"/>
                                <w:sz w:val="20"/>
                              </w:rPr>
                              <w:t>Worked at Capital Trust, Inc. and its predecessor, Victor Capital Group, L.P.</w:t>
                            </w:r>
                          </w:p>
                          <w:p>
                            <w:pPr>
                              <w:pStyle w:val="TableContents"/>
                              <w:spacing w:before="0" w:after="0"/>
                              <w:ind w:left="0" w:right="0" w:hanging="290"/>
                              <w:jc w:val="left"/>
                              <w:rPr/>
                            </w:pPr>
                            <w:r>
                              <w:rPr>
                                <w:color w:val="000000"/>
                              </w:rPr>
                              <w:t>●</w:t>
                            </w:r>
                            <w:r>
                              <w:rPr>
                                <w:rFonts w:ascii="Arial" w:hAnsi="Arial"/>
                                <w:sz w:val="20"/>
                              </w:rPr>
                              <w:t>Worked on the high yield and restructuring desk at Bear Stearns and Co.</w:t>
                            </w:r>
                          </w:p>
                          <w:p>
                            <w:pPr>
                              <w:pStyle w:val="TableContents"/>
                              <w:spacing w:before="0" w:after="0"/>
                              <w:ind w:left="0" w:right="0" w:hanging="290"/>
                              <w:jc w:val="left"/>
                              <w:rPr/>
                            </w:pPr>
                            <w:r>
                              <w:rPr>
                                <w:color w:val="000000"/>
                              </w:rPr>
                              <w:t>●</w:t>
                            </w:r>
                            <w:r>
                              <w:rPr>
                                <w:rFonts w:ascii="Arial" w:hAnsi="Arial"/>
                                <w:sz w:val="20"/>
                              </w:rPr>
                              <w:t>Member of the Board of Directors for the Regional Plan Association, which works to improve the prosperity, infrastructure, sustainability and quality of life of the New York-New Jersey-Connecticut metropolitan region</w:t>
                            </w:r>
                          </w:p>
                          <w:p>
                            <w:pPr>
                              <w:pStyle w:val="TableContents"/>
                              <w:spacing w:before="0" w:after="0"/>
                              <w:ind w:left="0" w:right="0" w:hanging="290"/>
                              <w:jc w:val="left"/>
                              <w:rPr/>
                            </w:pPr>
                            <w:r>
                              <w:rPr>
                                <w:color w:val="000000"/>
                              </w:rPr>
                              <w:t>●</w:t>
                            </w:r>
                            <w:r>
                              <w:rPr>
                                <w:rFonts w:ascii="Arial" w:hAnsi="Arial"/>
                                <w:sz w:val="20"/>
                              </w:rPr>
                              <w:t>B.S. degree in Economics from the Wharton School at the University of Pennsylvania</w:t>
                            </w:r>
                          </w:p>
                        </w:tc>
                      </w:tr>
                      <w:tr>
                        <w:trPr/>
                        <w:tc>
                          <w:tcPr>
                            <w:tcW w:w="970" w:type="dxa"/>
                            <w:tcBorders/>
                            <w:shd w:fill="auto" w:val="clear"/>
                            <w:vAlign w:val="center"/>
                          </w:tcPr>
                          <w:p>
                            <w:pPr>
                              <w:pStyle w:val="TableContents"/>
                              <w:spacing w:before="0" w:after="283"/>
                              <w:jc w:val="left"/>
                              <w:rPr/>
                            </w:pPr>
                            <w:r>
                              <w:rPr/>
                              <w:t> </w:t>
                            </w:r>
                          </w:p>
                        </w:tc>
                        <w:tc>
                          <w:tcPr>
                            <w:tcW w:w="4851"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3358" w:type="dxa"/>
                            <w:tcBorders/>
                            <w:shd w:fill="auto" w:val="clear"/>
                            <w:vAlign w:val="center"/>
                          </w:tcPr>
                          <w:p>
                            <w:pPr>
                              <w:pStyle w:val="TableContents"/>
                              <w:spacing w:before="0" w:after="283"/>
                              <w:rPr>
                                <w:sz w:val="4"/>
                                <w:szCs w:val="4"/>
                              </w:rPr>
                            </w:pPr>
                            <w:r>
                              <w:rPr>
                                <w:sz w:val="4"/>
                                <w:szCs w:val="4"/>
                              </w:rPr>
                            </w:r>
                          </w:p>
                        </w:tc>
                      </w:tr>
                      <w:tr>
                        <w:trPr/>
                        <w:tc>
                          <w:tcPr>
                            <w:tcW w:w="970"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4851"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1026"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c>
                          <w:tcPr>
                            <w:tcW w:w="3358" w:type="dxa"/>
                            <w:tcBorders>
                              <w:top w:val="single" w:sz="8"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jc w:val="left"/>
                              <w:rPr/>
                            </w:pPr>
                            <w:r>
                              <w:rPr>
                                <w:rStyle w:val="StrongEmphasis"/>
                                <w:rFonts w:ascii="Arial" w:hAnsi="Arial"/>
                                <w:color w:val="1A2343"/>
                                <w:sz w:val="22"/>
                              </w:rPr>
                              <w:t>Skills, Experiences and Attributes</w:t>
                            </w:r>
                          </w:p>
                        </w:tc>
                      </w:tr>
                      <w:tr>
                        <w:trPr/>
                        <w:tc>
                          <w:tcPr>
                            <w:tcW w:w="970" w:type="dxa"/>
                            <w:tcBorders/>
                            <w:shd w:fill="auto" w:val="clear"/>
                            <w:vAlign w:val="center"/>
                          </w:tcPr>
                          <w:p>
                            <w:pPr>
                              <w:pStyle w:val="TableContents"/>
                              <w:spacing w:before="0" w:after="283"/>
                              <w:jc w:val="center"/>
                              <w:rPr/>
                            </w:pPr>
                            <w:r>
                              <w:rPr/>
                              <w:drawing>
                                <wp:inline distT="0" distB="0" distL="0" distR="0">
                                  <wp:extent cx="295275" cy="323850"/>
                                  <wp:effectExtent l="0" t="0" r="0" b="0"/>
                                  <wp:docPr id="36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245" descr=""/>
                                          <pic:cNvPicPr>
                                            <a:picLocks noChangeAspect="1" noChangeArrowheads="1"/>
                                          </pic:cNvPicPr>
                                        </pic:nvPicPr>
                                        <pic:blipFill>
                                          <a:blip r:embed="rId246"/>
                                          <a:srcRect l="-3414" t="-3111" r="-3414" b="-3111"/>
                                          <a:stretch>
                                            <a:fillRect/>
                                          </a:stretch>
                                        </pic:blipFill>
                                        <pic:spPr bwMode="auto">
                                          <a:xfrm>
                                            <a:off x="0" y="0"/>
                                            <a:ext cx="295275" cy="323850"/>
                                          </a:xfrm>
                                          <a:prstGeom prst="rect">
                                            <a:avLst/>
                                          </a:prstGeom>
                                          <a:ln w="635">
                                            <a:solidFill>
                                              <a:srgbClr val="000000"/>
                                            </a:solidFill>
                                          </a:ln>
                                        </pic:spPr>
                                      </pic:pic>
                                    </a:graphicData>
                                  </a:graphic>
                                </wp:inline>
                              </w:drawing>
                            </w:r>
                          </w:p>
                        </w:tc>
                        <w:tc>
                          <w:tcPr>
                            <w:tcW w:w="4851"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c>
                          <w:tcPr>
                            <w:tcW w:w="1026" w:type="dxa"/>
                            <w:tcBorders/>
                            <w:shd w:fill="auto" w:val="clear"/>
                            <w:vAlign w:val="center"/>
                          </w:tcPr>
                          <w:p>
                            <w:pPr>
                              <w:pStyle w:val="TableContents"/>
                              <w:spacing w:before="0" w:after="283"/>
                              <w:jc w:val="center"/>
                              <w:rPr/>
                            </w:pPr>
                            <w:r>
                              <w:rPr/>
                              <w:drawing>
                                <wp:inline distT="0" distB="0" distL="0" distR="0">
                                  <wp:extent cx="352425" cy="342900"/>
                                  <wp:effectExtent l="0" t="0" r="0" b="0"/>
                                  <wp:docPr id="36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46" descr=""/>
                                          <pic:cNvPicPr>
                                            <a:picLocks noChangeAspect="1" noChangeArrowheads="1"/>
                                          </pic:cNvPicPr>
                                        </pic:nvPicPr>
                                        <pic:blipFill>
                                          <a:blip r:embed="rId247"/>
                                          <a:srcRect l="-2860" t="-2938" r="-2860" b="-2938"/>
                                          <a:stretch>
                                            <a:fillRect/>
                                          </a:stretch>
                                        </pic:blipFill>
                                        <pic:spPr bwMode="auto">
                                          <a:xfrm>
                                            <a:off x="0" y="0"/>
                                            <a:ext cx="352425" cy="342900"/>
                                          </a:xfrm>
                                          <a:prstGeom prst="rect">
                                            <a:avLst/>
                                          </a:prstGeom>
                                          <a:ln w="635">
                                            <a:solidFill>
                                              <a:srgbClr val="000000"/>
                                            </a:solidFill>
                                          </a:ln>
                                        </pic:spPr>
                                      </pic:pic>
                                    </a:graphicData>
                                  </a:graphic>
                                </wp:inline>
                              </w:drawing>
                            </w:r>
                          </w:p>
                        </w:tc>
                        <w:tc>
                          <w:tcPr>
                            <w:tcW w:w="3358" w:type="dxa"/>
                            <w:tcBorders/>
                            <w:shd w:fill="auto" w:val="clear"/>
                            <w:vAlign w:val="center"/>
                          </w:tcPr>
                          <w:p>
                            <w:pPr>
                              <w:pStyle w:val="TableContents"/>
                              <w:spacing w:before="0" w:after="283"/>
                              <w:jc w:val="left"/>
                              <w:rPr>
                                <w:rFonts w:ascii="Arial" w:hAnsi="Arial"/>
                                <w:sz w:val="20"/>
                              </w:rPr>
                            </w:pPr>
                            <w:r>
                              <w:rPr>
                                <w:rFonts w:ascii="Arial" w:hAnsi="Arial"/>
                                <w:sz w:val="20"/>
                              </w:rPr>
                              <w:t>Finance/Capital Markets</w:t>
                            </w:r>
                          </w:p>
                        </w:tc>
                      </w:tr>
                      <w:tr>
                        <w:trPr/>
                        <w:tc>
                          <w:tcPr>
                            <w:tcW w:w="970" w:type="dxa"/>
                            <w:tcBorders/>
                            <w:shd w:fill="auto" w:val="clear"/>
                            <w:vAlign w:val="center"/>
                          </w:tcPr>
                          <w:p>
                            <w:pPr>
                              <w:pStyle w:val="TableContents"/>
                              <w:spacing w:before="0" w:after="283"/>
                              <w:jc w:val="center"/>
                              <w:rPr/>
                            </w:pPr>
                            <w:r>
                              <w:rPr/>
                              <w:drawing>
                                <wp:inline distT="0" distB="0" distL="0" distR="0">
                                  <wp:extent cx="333375" cy="342900"/>
                                  <wp:effectExtent l="0" t="0" r="0" b="0"/>
                                  <wp:docPr id="367"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247" descr=""/>
                                          <pic:cNvPicPr>
                                            <a:picLocks noChangeAspect="1" noChangeArrowheads="1"/>
                                          </pic:cNvPicPr>
                                        </pic:nvPicPr>
                                        <pic:blipFill>
                                          <a:blip r:embed="rId248"/>
                                          <a:srcRect l="-3023" t="-2938" r="-3023" b="-2938"/>
                                          <a:stretch>
                                            <a:fillRect/>
                                          </a:stretch>
                                        </pic:blipFill>
                                        <pic:spPr bwMode="auto">
                                          <a:xfrm>
                                            <a:off x="0" y="0"/>
                                            <a:ext cx="333375" cy="342900"/>
                                          </a:xfrm>
                                          <a:prstGeom prst="rect">
                                            <a:avLst/>
                                          </a:prstGeom>
                                          <a:ln w="635">
                                            <a:solidFill>
                                              <a:srgbClr val="000000"/>
                                            </a:solidFill>
                                          </a:ln>
                                        </pic:spPr>
                                      </pic:pic>
                                    </a:graphicData>
                                  </a:graphic>
                                </wp:inline>
                              </w:drawing>
                            </w:r>
                          </w:p>
                        </w:tc>
                        <w:tc>
                          <w:tcPr>
                            <w:tcW w:w="4851" w:type="dxa"/>
                            <w:tcBorders/>
                            <w:shd w:fill="auto" w:val="clear"/>
                            <w:vAlign w:val="center"/>
                          </w:tcPr>
                          <w:p>
                            <w:pPr>
                              <w:pStyle w:val="TableContents"/>
                              <w:spacing w:before="0" w:after="283"/>
                              <w:jc w:val="left"/>
                              <w:rPr>
                                <w:rFonts w:ascii="Arial" w:hAnsi="Arial"/>
                                <w:sz w:val="20"/>
                              </w:rPr>
                            </w:pPr>
                            <w:r>
                              <w:rPr>
                                <w:rFonts w:ascii="Arial" w:hAnsi="Arial"/>
                                <w:sz w:val="20"/>
                              </w:rPr>
                              <w:t>Risk Management</w:t>
                            </w:r>
                          </w:p>
                        </w:tc>
                        <w:tc>
                          <w:tcPr>
                            <w:tcW w:w="1026" w:type="dxa"/>
                            <w:tcBorders/>
                            <w:shd w:fill="auto" w:val="clear"/>
                            <w:vAlign w:val="center"/>
                          </w:tcPr>
                          <w:p>
                            <w:pPr>
                              <w:pStyle w:val="TableContents"/>
                              <w:spacing w:before="0" w:after="283"/>
                              <w:jc w:val="center"/>
                              <w:rPr/>
                            </w:pPr>
                            <w:r>
                              <w:rPr/>
                              <w:drawing>
                                <wp:inline distT="0" distB="0" distL="0" distR="0">
                                  <wp:extent cx="352425" cy="333375"/>
                                  <wp:effectExtent l="0" t="0" r="0" b="0"/>
                                  <wp:docPr id="368"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248" descr=""/>
                                          <pic:cNvPicPr>
                                            <a:picLocks noChangeAspect="1" noChangeArrowheads="1"/>
                                          </pic:cNvPicPr>
                                        </pic:nvPicPr>
                                        <pic:blipFill>
                                          <a:blip r:embed="rId249"/>
                                          <a:srcRect l="-2860" t="-3023" r="-2860" b="-3023"/>
                                          <a:stretch>
                                            <a:fillRect/>
                                          </a:stretch>
                                        </pic:blipFill>
                                        <pic:spPr bwMode="auto">
                                          <a:xfrm>
                                            <a:off x="0" y="0"/>
                                            <a:ext cx="352425" cy="333375"/>
                                          </a:xfrm>
                                          <a:prstGeom prst="rect">
                                            <a:avLst/>
                                          </a:prstGeom>
                                          <a:ln w="635">
                                            <a:solidFill>
                                              <a:srgbClr val="000000"/>
                                            </a:solidFill>
                                          </a:ln>
                                        </pic:spPr>
                                      </pic:pic>
                                    </a:graphicData>
                                  </a:graphic>
                                </wp:inline>
                              </w:drawing>
                            </w:r>
                          </w:p>
                        </w:tc>
                        <w:tc>
                          <w:tcPr>
                            <w:tcW w:w="3358" w:type="dxa"/>
                            <w:tcBorders/>
                            <w:shd w:fill="auto" w:val="clear"/>
                            <w:vAlign w:val="center"/>
                          </w:tcPr>
                          <w:p>
                            <w:pPr>
                              <w:pStyle w:val="TableContents"/>
                              <w:spacing w:before="0" w:after="283"/>
                              <w:jc w:val="left"/>
                              <w:rPr>
                                <w:rFonts w:ascii="Arial" w:hAnsi="Arial"/>
                                <w:sz w:val="20"/>
                              </w:rPr>
                            </w:pPr>
                            <w:r>
                              <w:rPr>
                                <w:rFonts w:ascii="Arial" w:hAnsi="Arial"/>
                                <w:sz w:val="20"/>
                              </w:rPr>
                              <w:t>REIT/Real Estate Industry</w:t>
                            </w:r>
                          </w:p>
                        </w:tc>
                      </w:tr>
                      <w:tr>
                        <w:trPr/>
                        <w:tc>
                          <w:tcPr>
                            <w:tcW w:w="970" w:type="dxa"/>
                            <w:tcBorders/>
                            <w:shd w:fill="auto" w:val="clear"/>
                            <w:vAlign w:val="center"/>
                          </w:tcPr>
                          <w:p>
                            <w:pPr>
                              <w:pStyle w:val="TableContents"/>
                              <w:spacing w:before="0" w:after="283"/>
                              <w:jc w:val="center"/>
                              <w:rPr/>
                            </w:pPr>
                            <w:r>
                              <w:rPr/>
                              <w:drawing>
                                <wp:inline distT="0" distB="0" distL="0" distR="0">
                                  <wp:extent cx="333375" cy="323850"/>
                                  <wp:effectExtent l="0" t="0" r="0" b="0"/>
                                  <wp:docPr id="369"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249" descr=""/>
                                          <pic:cNvPicPr>
                                            <a:picLocks noChangeAspect="1" noChangeArrowheads="1"/>
                                          </pic:cNvPicPr>
                                        </pic:nvPicPr>
                                        <pic:blipFill>
                                          <a:blip r:embed="rId250"/>
                                          <a:srcRect l="-3023" t="-3111" r="-3023" b="-3111"/>
                                          <a:stretch>
                                            <a:fillRect/>
                                          </a:stretch>
                                        </pic:blipFill>
                                        <pic:spPr bwMode="auto">
                                          <a:xfrm>
                                            <a:off x="0" y="0"/>
                                            <a:ext cx="333375" cy="323850"/>
                                          </a:xfrm>
                                          <a:prstGeom prst="rect">
                                            <a:avLst/>
                                          </a:prstGeom>
                                          <a:ln w="635">
                                            <a:solidFill>
                                              <a:srgbClr val="000000"/>
                                            </a:solidFill>
                                          </a:ln>
                                        </pic:spPr>
                                      </pic:pic>
                                    </a:graphicData>
                                  </a:graphic>
                                </wp:inline>
                              </w:drawing>
                            </w:r>
                          </w:p>
                        </w:tc>
                        <w:tc>
                          <w:tcPr>
                            <w:tcW w:w="4851" w:type="dxa"/>
                            <w:tcBorders/>
                            <w:shd w:fill="auto" w:val="clear"/>
                            <w:vAlign w:val="center"/>
                          </w:tcPr>
                          <w:p>
                            <w:pPr>
                              <w:pStyle w:val="TableContents"/>
                              <w:spacing w:before="0" w:after="283"/>
                              <w:jc w:val="left"/>
                              <w:rPr>
                                <w:rFonts w:ascii="Arial" w:hAnsi="Arial"/>
                                <w:sz w:val="20"/>
                              </w:rPr>
                            </w:pPr>
                            <w:r>
                              <w:rPr>
                                <w:rFonts w:ascii="Arial" w:hAnsi="Arial"/>
                                <w:sz w:val="20"/>
                              </w:rPr>
                              <w:t>Experience Over Several Business Cycles</w:t>
                            </w:r>
                          </w:p>
                        </w:tc>
                        <w:tc>
                          <w:tcPr>
                            <w:tcW w:w="1026" w:type="dxa"/>
                            <w:tcBorders/>
                            <w:shd w:fill="auto" w:val="clear"/>
                            <w:vAlign w:val="center"/>
                          </w:tcPr>
                          <w:p>
                            <w:pPr>
                              <w:pStyle w:val="TableContents"/>
                              <w:spacing w:before="0" w:after="283"/>
                              <w:jc w:val="center"/>
                              <w:rPr/>
                            </w:pPr>
                            <w:r>
                              <w:rPr/>
                              <w:drawing>
                                <wp:inline distT="0" distB="0" distL="0" distR="0">
                                  <wp:extent cx="323850" cy="304800"/>
                                  <wp:effectExtent l="0" t="0" r="0" b="0"/>
                                  <wp:docPr id="370"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250" descr=""/>
                                          <pic:cNvPicPr>
                                            <a:picLocks noChangeAspect="1" noChangeArrowheads="1"/>
                                          </pic:cNvPicPr>
                                        </pic:nvPicPr>
                                        <pic:blipFill>
                                          <a:blip r:embed="rId251"/>
                                          <a:srcRect l="-3111" t="-3305" r="-3111" b="-3305"/>
                                          <a:stretch>
                                            <a:fillRect/>
                                          </a:stretch>
                                        </pic:blipFill>
                                        <pic:spPr bwMode="auto">
                                          <a:xfrm>
                                            <a:off x="0" y="0"/>
                                            <a:ext cx="323850" cy="304800"/>
                                          </a:xfrm>
                                          <a:prstGeom prst="rect">
                                            <a:avLst/>
                                          </a:prstGeom>
                                          <a:ln w="635">
                                            <a:solidFill>
                                              <a:srgbClr val="000000"/>
                                            </a:solidFill>
                                          </a:ln>
                                        </pic:spPr>
                                      </pic:pic>
                                    </a:graphicData>
                                  </a:graphic>
                                </wp:inline>
                              </w:drawing>
                            </w:r>
                          </w:p>
                        </w:tc>
                        <w:tc>
                          <w:tcPr>
                            <w:tcW w:w="3358" w:type="dxa"/>
                            <w:tcBorders/>
                            <w:shd w:fill="auto" w:val="clear"/>
                            <w:vAlign w:val="center"/>
                          </w:tcPr>
                          <w:p>
                            <w:pPr>
                              <w:pStyle w:val="TableContents"/>
                              <w:spacing w:before="0" w:after="283"/>
                              <w:jc w:val="left"/>
                              <w:rPr>
                                <w:rFonts w:ascii="Arial" w:hAnsi="Arial"/>
                                <w:sz w:val="20"/>
                              </w:rPr>
                            </w:pPr>
                            <w:r>
                              <w:rPr>
                                <w:rFonts w:ascii="Arial" w:hAnsi="Arial"/>
                                <w:sz w:val="20"/>
                              </w:rPr>
                              <w:t>Talent Management</w:t>
                            </w:r>
                          </w:p>
                        </w:tc>
                      </w:tr>
                      <w:tr>
                        <w:trPr/>
                        <w:tc>
                          <w:tcPr>
                            <w:tcW w:w="970" w:type="dxa"/>
                            <w:tcBorders/>
                            <w:shd w:fill="auto" w:val="clear"/>
                            <w:vAlign w:val="center"/>
                          </w:tcPr>
                          <w:p>
                            <w:pPr>
                              <w:pStyle w:val="TableContents"/>
                              <w:spacing w:before="0" w:after="283"/>
                              <w:jc w:val="center"/>
                              <w:rPr/>
                            </w:pPr>
                            <w:r>
                              <w:rPr/>
                              <w:drawing>
                                <wp:inline distT="0" distB="0" distL="0" distR="0">
                                  <wp:extent cx="333375" cy="361950"/>
                                  <wp:effectExtent l="0" t="0" r="0" b="0"/>
                                  <wp:docPr id="371"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251" descr=""/>
                                          <pic:cNvPicPr>
                                            <a:picLocks noChangeAspect="1" noChangeArrowheads="1"/>
                                          </pic:cNvPicPr>
                                        </pic:nvPicPr>
                                        <pic:blipFill>
                                          <a:blip r:embed="rId252"/>
                                          <a:srcRect l="-3023" t="-2786" r="-3023" b="-2786"/>
                                          <a:stretch>
                                            <a:fillRect/>
                                          </a:stretch>
                                        </pic:blipFill>
                                        <pic:spPr bwMode="auto">
                                          <a:xfrm>
                                            <a:off x="0" y="0"/>
                                            <a:ext cx="333375" cy="361950"/>
                                          </a:xfrm>
                                          <a:prstGeom prst="rect">
                                            <a:avLst/>
                                          </a:prstGeom>
                                          <a:ln w="635">
                                            <a:solidFill>
                                              <a:srgbClr val="000000"/>
                                            </a:solidFill>
                                          </a:ln>
                                        </pic:spPr>
                                      </pic:pic>
                                    </a:graphicData>
                                  </a:graphic>
                                </wp:inline>
                              </w:drawing>
                            </w:r>
                          </w:p>
                        </w:tc>
                        <w:tc>
                          <w:tcPr>
                            <w:tcW w:w="4851" w:type="dxa"/>
                            <w:tcBorders/>
                            <w:shd w:fill="auto" w:val="clear"/>
                            <w:vAlign w:val="center"/>
                          </w:tcPr>
                          <w:p>
                            <w:pPr>
                              <w:pStyle w:val="TableContents"/>
                              <w:spacing w:before="0" w:after="283"/>
                              <w:jc w:val="left"/>
                              <w:rPr>
                                <w:rFonts w:ascii="Arial" w:hAnsi="Arial"/>
                                <w:sz w:val="20"/>
                              </w:rPr>
                            </w:pPr>
                            <w:r>
                              <w:rPr>
                                <w:rFonts w:ascii="Arial" w:hAnsi="Arial"/>
                                <w:sz w:val="20"/>
                              </w:rPr>
                              <w:t xml:space="preserve">Government/Regulatory Experience </w:t>
                            </w:r>
                          </w:p>
                        </w:tc>
                        <w:tc>
                          <w:tcPr>
                            <w:tcW w:w="1026" w:type="dxa"/>
                            <w:tcBorders/>
                            <w:shd w:fill="auto" w:val="clear"/>
                            <w:vAlign w:val="center"/>
                          </w:tcPr>
                          <w:p>
                            <w:pPr>
                              <w:pStyle w:val="TableContents"/>
                              <w:spacing w:before="0" w:after="283"/>
                              <w:rPr>
                                <w:sz w:val="4"/>
                                <w:szCs w:val="4"/>
                              </w:rPr>
                            </w:pPr>
                            <w:r>
                              <w:rPr>
                                <w:sz w:val="4"/>
                                <w:szCs w:val="4"/>
                              </w:rPr>
                            </w:r>
                          </w:p>
                        </w:tc>
                        <w:tc>
                          <w:tcPr>
                            <w:tcW w:w="3358" w:type="dxa"/>
                            <w:tcBorders/>
                            <w:shd w:fill="auto" w:val="clear"/>
                            <w:vAlign w:val="center"/>
                          </w:tcPr>
                          <w:p>
                            <w:pPr>
                              <w:pStyle w:val="TableContents"/>
                              <w:spacing w:before="0" w:after="283"/>
                              <w:rPr>
                                <w:sz w:val="4"/>
                                <w:szCs w:val="4"/>
                              </w:rPr>
                            </w:pPr>
                            <w:r>
                              <w:rPr>
                                <w:sz w:val="4"/>
                                <w:szCs w:val="4"/>
                              </w:rPr>
                            </w:r>
                          </w:p>
                        </w:tc>
                      </w:tr>
                    </w:tbl>
                    <w:tbl>
                      <w:tblPr>
                        <w:tblW w:w="7870" w:type="dxa"/>
                        <w:jc w:val="left"/>
                        <w:tblInd w:w="0" w:type="dxa"/>
                        <w:tblCellMar>
                          <w:top w:w="0" w:type="dxa"/>
                          <w:left w:w="0" w:type="dxa"/>
                          <w:bottom w:w="0" w:type="dxa"/>
                          <w:right w:w="0" w:type="dxa"/>
                        </w:tblCellMar>
                      </w:tblPr>
                      <w:tblGrid>
                        <w:gridCol w:w="200"/>
                        <w:gridCol w:w="7670"/>
                      </w:tblGrid>
                      <w:tr>
                        <w:trPr/>
                        <w:tc>
                          <w:tcPr>
                            <w:tcW w:w="200"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7670" w:type="dxa"/>
                            <w:tcBorders/>
                            <w:shd w:fill="auto" w:val="clear"/>
                            <w:vAlign w:val="center"/>
                          </w:tcPr>
                          <w:p>
                            <w:pPr>
                              <w:pStyle w:val="TableContents"/>
                              <w:spacing w:before="0" w:after="283"/>
                              <w:jc w:val="left"/>
                              <w:rPr>
                                <w:rFonts w:ascii="Arial" w:hAnsi="Arial"/>
                                <w:strike w:val="false"/>
                                <w:dstrike w:val="false"/>
                                <w:sz w:val="15"/>
                                <w:u w:val="none"/>
                                <w:effect w:val="none"/>
                              </w:rPr>
                            </w:pPr>
                            <w:r>
                              <w:rPr>
                                <w:rFonts w:ascii="Arial" w:hAnsi="Arial"/>
                                <w:strike w:val="false"/>
                                <w:dstrike w:val="false"/>
                                <w:sz w:val="15"/>
                                <w:u w:val="none"/>
                                <w:effect w:val="none"/>
                              </w:rPr>
                              <w:t>If Mr. Mathias is reelected, he will join the Executive Committee, effective as of the date of the annual meeting.</w:t>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945" w:type="dxa"/>
        <w:jc w:val="left"/>
        <w:tblInd w:w="0" w:type="dxa"/>
        <w:tblCellMar>
          <w:top w:w="0" w:type="dxa"/>
          <w:left w:w="0" w:type="dxa"/>
          <w:bottom w:w="0" w:type="dxa"/>
          <w:right w:w="0" w:type="dxa"/>
        </w:tblCellMar>
      </w:tblPr>
      <w:tblGrid>
        <w:gridCol w:w="4655"/>
        <w:gridCol w:w="290"/>
      </w:tblGrid>
      <w:tr>
        <w:trPr/>
        <w:tc>
          <w:tcPr>
            <w:tcW w:w="4655" w:type="dxa"/>
            <w:tcBorders/>
            <w:shd w:fill="auto" w:val="clear"/>
            <w:vAlign w:val="center"/>
          </w:tcPr>
          <w:p>
            <w:pPr>
              <w:pStyle w:val="TableContents"/>
              <w:spacing w:before="0" w:after="283"/>
              <w:jc w:val="left"/>
              <w:rPr>
                <w:rFonts w:ascii="Arial" w:hAnsi="Arial"/>
                <w:sz w:val="15"/>
              </w:rPr>
            </w:pPr>
            <w:r>
              <w:rPr>
                <w:rFonts w:ascii="Arial" w:hAnsi="Arial"/>
                <w:b/>
                <w:sz w:val="15"/>
              </w:rPr>
              <w:t>OUR BOARD OF DIRECTORS AND CORPORATE GOVERNANCE</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21</w:t>
            </w:r>
          </w:p>
        </w:tc>
      </w:tr>
    </w:tbl>
    <w:p>
      <w:pPr>
        <w:pStyle w:val="TextBody"/>
        <w:spacing w:before="240" w:after="283"/>
        <w:jc w:val="left"/>
        <w:rPr/>
      </w:pPr>
      <w:r>
        <w:rPr>
          <w:rStyle w:val="StrongEmphasis"/>
          <w:rFonts w:ascii="Arial" w:hAnsi="Arial"/>
          <w:color w:val="1A2343"/>
          <w:sz w:val="26"/>
        </w:rPr>
        <w:t>Board Refreshment and Diversity</w:t>
      </w:r>
    </w:p>
    <w:p>
      <w:pPr>
        <w:pStyle w:val="TextBody"/>
        <w:jc w:val="left"/>
        <w:rPr>
          <w:rFonts w:ascii="Arial" w:hAnsi="Arial"/>
          <w:sz w:val="20"/>
        </w:rPr>
      </w:pPr>
      <w:r>
        <w:rPr>
          <w:rFonts w:ascii="Arial" w:hAnsi="Arial"/>
          <w:sz w:val="20"/>
        </w:rPr>
        <w:t>Led by our Nominating and Corporate Governance Committee, the Board engages in ongoing director succession planning, including a focus on refreshing the membership and leadership of the Board and its Committees and enhancing the level of diversity. In January 2019, the leadership of the Board was transitioned from Stephen L. Green, our founder and Chairman of the Board for over 20 years, to Marc Holliday, who also serves as our Chief Executive Officer. Mr. Green continues to serve as a director and as our Chairman Emeritus.</w:t>
      </w:r>
    </w:p>
    <w:p>
      <w:pPr>
        <w:pStyle w:val="TextBody"/>
        <w:jc w:val="left"/>
        <w:rPr>
          <w:rFonts w:ascii="Arial" w:hAnsi="Arial"/>
          <w:sz w:val="20"/>
        </w:rPr>
      </w:pPr>
      <w:r>
        <w:rPr>
          <w:rFonts w:ascii="Arial" w:hAnsi="Arial"/>
          <w:sz w:val="20"/>
        </w:rPr>
        <w:t>In March 2022, we added Carol N. Brown to our Board as an independent director. With her addition, three of our directors are women, including one racially/ethnically diverse director. We continue seeking to further enhance diversity on the Board, including with respect to gender, race, ethnicity and perspectives. As part of our Board succession planning, and as previously disclosed, we have not renominated Mr. Levy for election, and he will retire from our Board at our 2023 annual meeting of stockholders. We are deeply appreciative of Mr. Levy’s many years of dedicated service to the Company and its stockholders.</w:t>
      </w:r>
    </w:p>
    <w:tbl>
      <w:tblPr>
        <w:tblW w:w="10205" w:type="dxa"/>
        <w:jc w:val="left"/>
        <w:tblInd w:w="0" w:type="dxa"/>
        <w:tblCellMar>
          <w:top w:w="28" w:type="dxa"/>
          <w:left w:w="0" w:type="dxa"/>
          <w:bottom w:w="0" w:type="dxa"/>
          <w:right w:w="0" w:type="dxa"/>
        </w:tblCellMar>
      </w:tblPr>
      <w:tblGrid>
        <w:gridCol w:w="750"/>
        <w:gridCol w:w="2631"/>
        <w:gridCol w:w="765"/>
        <w:gridCol w:w="2566"/>
        <w:gridCol w:w="690"/>
        <w:gridCol w:w="2803"/>
      </w:tblGrid>
      <w:tr>
        <w:trPr/>
        <w:tc>
          <w:tcPr>
            <w:tcW w:w="750" w:type="dxa"/>
            <w:tcBorders>
              <w:top w:val="single" w:sz="8" w:space="0" w:color="8EAD3C"/>
            </w:tcBorders>
            <w:shd w:fill="auto" w:val="clear"/>
            <w:vAlign w:val="center"/>
          </w:tcPr>
          <w:p>
            <w:pPr>
              <w:pStyle w:val="TableContents"/>
              <w:spacing w:before="0" w:after="283"/>
              <w:jc w:val="left"/>
              <w:rPr/>
            </w:pPr>
            <w:r>
              <w:rPr/>
              <w:t> </w:t>
            </w:r>
          </w:p>
        </w:tc>
        <w:tc>
          <w:tcPr>
            <w:tcW w:w="2631" w:type="dxa"/>
            <w:tcBorders>
              <w:top w:val="single" w:sz="8" w:space="0" w:color="8EAD3C"/>
            </w:tcBorders>
            <w:shd w:fill="auto" w:val="clear"/>
            <w:vAlign w:val="center"/>
          </w:tcPr>
          <w:p>
            <w:pPr>
              <w:pStyle w:val="TableContents"/>
              <w:spacing w:before="0" w:after="283"/>
              <w:rPr>
                <w:sz w:val="4"/>
                <w:szCs w:val="4"/>
              </w:rPr>
            </w:pPr>
            <w:r>
              <w:rPr>
                <w:sz w:val="4"/>
                <w:szCs w:val="4"/>
              </w:rPr>
            </w:r>
          </w:p>
        </w:tc>
        <w:tc>
          <w:tcPr>
            <w:tcW w:w="765" w:type="dxa"/>
            <w:tcBorders>
              <w:top w:val="single" w:sz="8" w:space="0" w:color="8EAD3C"/>
            </w:tcBorders>
            <w:shd w:fill="auto" w:val="clear"/>
            <w:vAlign w:val="center"/>
          </w:tcPr>
          <w:p>
            <w:pPr>
              <w:pStyle w:val="TableContents"/>
              <w:spacing w:before="0" w:after="283"/>
              <w:rPr>
                <w:sz w:val="4"/>
                <w:szCs w:val="4"/>
              </w:rPr>
            </w:pPr>
            <w:r>
              <w:rPr>
                <w:sz w:val="4"/>
                <w:szCs w:val="4"/>
              </w:rPr>
            </w:r>
          </w:p>
        </w:tc>
        <w:tc>
          <w:tcPr>
            <w:tcW w:w="2566" w:type="dxa"/>
            <w:tcBorders>
              <w:top w:val="single" w:sz="8" w:space="0" w:color="8EAD3C"/>
            </w:tcBorders>
            <w:shd w:fill="auto" w:val="clear"/>
            <w:vAlign w:val="center"/>
          </w:tcPr>
          <w:p>
            <w:pPr>
              <w:pStyle w:val="TableContents"/>
              <w:spacing w:before="0" w:after="283"/>
              <w:rPr>
                <w:sz w:val="4"/>
                <w:szCs w:val="4"/>
              </w:rPr>
            </w:pPr>
            <w:r>
              <w:rPr>
                <w:sz w:val="4"/>
                <w:szCs w:val="4"/>
              </w:rPr>
            </w:r>
          </w:p>
        </w:tc>
        <w:tc>
          <w:tcPr>
            <w:tcW w:w="690" w:type="dxa"/>
            <w:tcBorders>
              <w:top w:val="single" w:sz="8" w:space="0" w:color="8EAD3C"/>
            </w:tcBorders>
            <w:shd w:fill="auto" w:val="clear"/>
            <w:vAlign w:val="center"/>
          </w:tcPr>
          <w:p>
            <w:pPr>
              <w:pStyle w:val="TableContents"/>
              <w:spacing w:before="0" w:after="283"/>
              <w:rPr>
                <w:sz w:val="4"/>
                <w:szCs w:val="4"/>
              </w:rPr>
            </w:pPr>
            <w:r>
              <w:rPr>
                <w:sz w:val="4"/>
                <w:szCs w:val="4"/>
              </w:rPr>
            </w:r>
          </w:p>
        </w:tc>
        <w:tc>
          <w:tcPr>
            <w:tcW w:w="2803" w:type="dxa"/>
            <w:tcBorders>
              <w:top w:val="single" w:sz="8" w:space="0" w:color="8EAD3C"/>
            </w:tcBorders>
            <w:shd w:fill="auto" w:val="clear"/>
            <w:vAlign w:val="center"/>
          </w:tcPr>
          <w:p>
            <w:pPr>
              <w:pStyle w:val="TableContents"/>
              <w:spacing w:before="0" w:after="283"/>
              <w:rPr>
                <w:sz w:val="4"/>
                <w:szCs w:val="4"/>
              </w:rPr>
            </w:pPr>
            <w:r>
              <w:rPr>
                <w:sz w:val="4"/>
                <w:szCs w:val="4"/>
              </w:rPr>
            </w:r>
          </w:p>
        </w:tc>
      </w:tr>
      <w:tr>
        <w:trPr/>
        <w:tc>
          <w:tcPr>
            <w:tcW w:w="750" w:type="dxa"/>
            <w:tcBorders/>
            <w:shd w:fill="auto" w:val="clear"/>
            <w:tcMar>
              <w:top w:w="0" w:type="dxa"/>
            </w:tcMar>
            <w:vAlign w:val="center"/>
          </w:tcPr>
          <w:p>
            <w:pPr>
              <w:pStyle w:val="TableContents"/>
              <w:spacing w:before="0" w:after="283"/>
              <w:jc w:val="left"/>
              <w:rPr/>
            </w:pPr>
            <w:r>
              <w:rPr/>
              <w:drawing>
                <wp:inline distT="0" distB="0" distL="0" distR="0">
                  <wp:extent cx="476250" cy="476250"/>
                  <wp:effectExtent l="0" t="0" r="0" b="0"/>
                  <wp:docPr id="372"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252" descr=""/>
                          <pic:cNvPicPr>
                            <a:picLocks noChangeAspect="1" noChangeArrowheads="1"/>
                          </pic:cNvPicPr>
                        </pic:nvPicPr>
                        <pic:blipFill>
                          <a:blip r:embed="rId253"/>
                          <a:srcRect l="-2116" t="-2116" r="-2116" b="-2116"/>
                          <a:stretch>
                            <a:fillRect/>
                          </a:stretch>
                        </pic:blipFill>
                        <pic:spPr bwMode="auto">
                          <a:xfrm>
                            <a:off x="0" y="0"/>
                            <a:ext cx="476250" cy="476250"/>
                          </a:xfrm>
                          <a:prstGeom prst="rect">
                            <a:avLst/>
                          </a:prstGeom>
                          <a:ln w="635">
                            <a:solidFill>
                              <a:srgbClr val="000000"/>
                            </a:solidFill>
                          </a:ln>
                        </pic:spPr>
                      </pic:pic>
                    </a:graphicData>
                  </a:graphic>
                </wp:inline>
              </w:drawing>
            </w:r>
          </w:p>
        </w:tc>
        <w:tc>
          <w:tcPr>
            <w:tcW w:w="2631" w:type="dxa"/>
            <w:tcBorders>
              <w:right w:val="single" w:sz="8" w:space="0" w:color="8EAD3C"/>
            </w:tcBorders>
            <w:shd w:fill="auto" w:val="clear"/>
            <w:tcMar>
              <w:top w:w="0" w:type="dxa"/>
              <w:right w:w="160" w:type="dxa"/>
            </w:tcMar>
            <w:vAlign w:val="center"/>
          </w:tcPr>
          <w:p>
            <w:pPr>
              <w:pStyle w:val="TableContents"/>
              <w:jc w:val="left"/>
              <w:rPr/>
            </w:pPr>
            <w:r>
              <w:rPr>
                <w:rStyle w:val="StrongEmphasis"/>
                <w:rFonts w:ascii="Arial" w:hAnsi="Arial"/>
                <w:color w:val="1A2343"/>
                <w:sz w:val="26"/>
              </w:rPr>
              <w:t>Diversity</w:t>
            </w:r>
          </w:p>
          <w:p>
            <w:pPr>
              <w:pStyle w:val="TableContents"/>
              <w:spacing w:before="0" w:after="283"/>
              <w:jc w:val="left"/>
              <w:rPr>
                <w:rFonts w:ascii="Arial" w:hAnsi="Arial"/>
                <w:sz w:val="20"/>
              </w:rPr>
            </w:pPr>
            <w:r>
              <w:rPr>
                <w:rFonts w:ascii="Arial" w:hAnsi="Arial"/>
                <w:sz w:val="20"/>
              </w:rPr>
              <w:t>Our Board nominees have a diversity of knowledge, skills, experience and perspectives, as well as diversity of age and gender</w:t>
            </w:r>
          </w:p>
        </w:tc>
        <w:tc>
          <w:tcPr>
            <w:tcW w:w="765" w:type="dxa"/>
            <w:tcBorders/>
            <w:shd w:fill="auto" w:val="clear"/>
            <w:tcMar>
              <w:top w:w="0" w:type="dxa"/>
            </w:tcMar>
            <w:vAlign w:val="center"/>
          </w:tcPr>
          <w:p>
            <w:pPr>
              <w:pStyle w:val="TableContents"/>
              <w:spacing w:before="0" w:after="283"/>
              <w:jc w:val="left"/>
              <w:rPr/>
            </w:pPr>
            <w:r>
              <w:rPr/>
              <w:drawing>
                <wp:inline distT="0" distB="0" distL="0" distR="0">
                  <wp:extent cx="485775" cy="457200"/>
                  <wp:effectExtent l="0" t="0" r="0" b="0"/>
                  <wp:docPr id="373"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253" descr=""/>
                          <pic:cNvPicPr>
                            <a:picLocks noChangeAspect="1" noChangeArrowheads="1"/>
                          </pic:cNvPicPr>
                        </pic:nvPicPr>
                        <pic:blipFill>
                          <a:blip r:embed="rId254"/>
                          <a:srcRect l="-2075" t="-2204" r="-2075" b="-2204"/>
                          <a:stretch>
                            <a:fillRect/>
                          </a:stretch>
                        </pic:blipFill>
                        <pic:spPr bwMode="auto">
                          <a:xfrm>
                            <a:off x="0" y="0"/>
                            <a:ext cx="485775" cy="457200"/>
                          </a:xfrm>
                          <a:prstGeom prst="rect">
                            <a:avLst/>
                          </a:prstGeom>
                          <a:ln w="635">
                            <a:solidFill>
                              <a:srgbClr val="000000"/>
                            </a:solidFill>
                          </a:ln>
                        </pic:spPr>
                      </pic:pic>
                    </a:graphicData>
                  </a:graphic>
                </wp:inline>
              </w:drawing>
            </w:r>
          </w:p>
        </w:tc>
        <w:tc>
          <w:tcPr>
            <w:tcW w:w="2566" w:type="dxa"/>
            <w:tcBorders>
              <w:right w:val="single" w:sz="8" w:space="0" w:color="8EAD3C"/>
            </w:tcBorders>
            <w:shd w:fill="auto" w:val="clear"/>
            <w:tcMar>
              <w:top w:w="0" w:type="dxa"/>
              <w:right w:w="160" w:type="dxa"/>
            </w:tcMar>
            <w:vAlign w:val="center"/>
          </w:tcPr>
          <w:p>
            <w:pPr>
              <w:pStyle w:val="TableContents"/>
              <w:jc w:val="left"/>
              <w:rPr/>
            </w:pPr>
            <w:r>
              <w:rPr>
                <w:rStyle w:val="StrongEmphasis"/>
                <w:rFonts w:ascii="Arial" w:hAnsi="Arial"/>
                <w:color w:val="1A2343"/>
                <w:sz w:val="26"/>
              </w:rPr>
              <w:t>Experience</w:t>
            </w:r>
          </w:p>
          <w:p>
            <w:pPr>
              <w:pStyle w:val="TableContents"/>
              <w:spacing w:before="0" w:after="283"/>
              <w:jc w:val="left"/>
              <w:rPr>
                <w:rFonts w:ascii="Arial" w:hAnsi="Arial"/>
                <w:sz w:val="20"/>
              </w:rPr>
            </w:pPr>
            <w:r>
              <w:rPr>
                <w:rFonts w:ascii="Arial" w:hAnsi="Arial"/>
                <w:sz w:val="20"/>
              </w:rPr>
              <w:t>Our Board nominees have broad experience serving on public boards in industries relevant to the Company</w:t>
            </w:r>
          </w:p>
        </w:tc>
        <w:tc>
          <w:tcPr>
            <w:tcW w:w="690" w:type="dxa"/>
            <w:tcBorders/>
            <w:shd w:fill="auto" w:val="clear"/>
            <w:tcMar>
              <w:top w:w="0" w:type="dxa"/>
            </w:tcMar>
            <w:vAlign w:val="center"/>
          </w:tcPr>
          <w:p>
            <w:pPr>
              <w:pStyle w:val="TableContents"/>
              <w:spacing w:before="0" w:after="283"/>
              <w:jc w:val="left"/>
              <w:rPr/>
            </w:pPr>
            <w:r>
              <w:rPr/>
              <w:drawing>
                <wp:inline distT="0" distB="0" distL="0" distR="0">
                  <wp:extent cx="304800" cy="457200"/>
                  <wp:effectExtent l="0" t="0" r="0" b="0"/>
                  <wp:docPr id="374"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254" descr=""/>
                          <pic:cNvPicPr>
                            <a:picLocks noChangeAspect="1" noChangeArrowheads="1"/>
                          </pic:cNvPicPr>
                        </pic:nvPicPr>
                        <pic:blipFill>
                          <a:blip r:embed="rId255"/>
                          <a:srcRect l="-3305" t="-2204" r="-3305" b="-2204"/>
                          <a:stretch>
                            <a:fillRect/>
                          </a:stretch>
                        </pic:blipFill>
                        <pic:spPr bwMode="auto">
                          <a:xfrm>
                            <a:off x="0" y="0"/>
                            <a:ext cx="304800" cy="457200"/>
                          </a:xfrm>
                          <a:prstGeom prst="rect">
                            <a:avLst/>
                          </a:prstGeom>
                          <a:ln w="635">
                            <a:solidFill>
                              <a:srgbClr val="000000"/>
                            </a:solidFill>
                          </a:ln>
                        </pic:spPr>
                      </pic:pic>
                    </a:graphicData>
                  </a:graphic>
                </wp:inline>
              </w:drawing>
            </w:r>
          </w:p>
        </w:tc>
        <w:tc>
          <w:tcPr>
            <w:tcW w:w="2803" w:type="dxa"/>
            <w:tcBorders/>
            <w:shd w:fill="auto" w:val="clear"/>
            <w:tcMar>
              <w:top w:w="0" w:type="dxa"/>
            </w:tcMar>
            <w:vAlign w:val="center"/>
          </w:tcPr>
          <w:p>
            <w:pPr>
              <w:pStyle w:val="TableContents"/>
              <w:jc w:val="left"/>
              <w:rPr/>
            </w:pPr>
            <w:r>
              <w:rPr>
                <w:rStyle w:val="StrongEmphasis"/>
                <w:rFonts w:ascii="Arial" w:hAnsi="Arial"/>
                <w:color w:val="1A2343"/>
                <w:sz w:val="26"/>
              </w:rPr>
              <w:t>Leadership</w:t>
            </w:r>
          </w:p>
          <w:p>
            <w:pPr>
              <w:pStyle w:val="TableContents"/>
              <w:spacing w:before="0" w:after="283"/>
              <w:jc w:val="left"/>
              <w:rPr>
                <w:rFonts w:ascii="Arial" w:hAnsi="Arial"/>
                <w:sz w:val="20"/>
              </w:rPr>
            </w:pPr>
            <w:r>
              <w:rPr>
                <w:rFonts w:ascii="Arial" w:hAnsi="Arial"/>
                <w:sz w:val="20"/>
              </w:rPr>
              <w:t>Our Board nominees have strong corporate leadership backgrounds such as being CEO, CFO or holding other Executive positions</w:t>
            </w:r>
          </w:p>
        </w:tc>
      </w:tr>
      <w:tr>
        <w:trPr/>
        <w:tc>
          <w:tcPr>
            <w:tcW w:w="750" w:type="dxa"/>
            <w:tcBorders/>
            <w:shd w:fill="auto" w:val="clear"/>
            <w:tcMar>
              <w:top w:w="0" w:type="dxa"/>
            </w:tcMar>
            <w:vAlign w:val="center"/>
          </w:tcPr>
          <w:p>
            <w:pPr>
              <w:pStyle w:val="TableContents"/>
              <w:spacing w:before="0" w:after="283"/>
              <w:rPr>
                <w:sz w:val="4"/>
                <w:szCs w:val="4"/>
              </w:rPr>
            </w:pPr>
            <w:r>
              <w:rPr>
                <w:sz w:val="4"/>
                <w:szCs w:val="4"/>
              </w:rPr>
            </w:r>
          </w:p>
        </w:tc>
        <w:tc>
          <w:tcPr>
            <w:tcW w:w="2631" w:type="dxa"/>
            <w:tcBorders>
              <w:right w:val="single" w:sz="8" w:space="0" w:color="8EAD3C"/>
            </w:tcBorders>
            <w:shd w:fill="auto" w:val="clear"/>
            <w:tcMar>
              <w:top w:w="0" w:type="dxa"/>
              <w:right w:w="160" w:type="dxa"/>
            </w:tcMar>
            <w:vAlign w:val="center"/>
          </w:tcPr>
          <w:p>
            <w:pPr>
              <w:pStyle w:val="TableContents"/>
              <w:spacing w:before="0" w:after="283"/>
              <w:rPr>
                <w:sz w:val="4"/>
                <w:szCs w:val="4"/>
              </w:rPr>
            </w:pPr>
            <w:r>
              <w:rPr>
                <w:sz w:val="4"/>
                <w:szCs w:val="4"/>
              </w:rPr>
            </w:r>
          </w:p>
        </w:tc>
        <w:tc>
          <w:tcPr>
            <w:tcW w:w="765" w:type="dxa"/>
            <w:tcBorders/>
            <w:shd w:fill="auto" w:val="clear"/>
            <w:tcMar>
              <w:top w:w="0" w:type="dxa"/>
            </w:tcMar>
            <w:vAlign w:val="center"/>
          </w:tcPr>
          <w:p>
            <w:pPr>
              <w:pStyle w:val="TableContents"/>
              <w:spacing w:before="0" w:after="283"/>
              <w:rPr>
                <w:sz w:val="4"/>
                <w:szCs w:val="4"/>
              </w:rPr>
            </w:pPr>
            <w:r>
              <w:rPr>
                <w:sz w:val="4"/>
                <w:szCs w:val="4"/>
              </w:rPr>
            </w:r>
          </w:p>
        </w:tc>
        <w:tc>
          <w:tcPr>
            <w:tcW w:w="2566" w:type="dxa"/>
            <w:tcBorders>
              <w:right w:val="single" w:sz="8" w:space="0" w:color="8EAD3C"/>
            </w:tcBorders>
            <w:shd w:fill="auto" w:val="clear"/>
            <w:tcMar>
              <w:top w:w="0" w:type="dxa"/>
              <w:right w:w="160" w:type="dxa"/>
            </w:tcMar>
            <w:vAlign w:val="center"/>
          </w:tcPr>
          <w:p>
            <w:pPr>
              <w:pStyle w:val="TableContents"/>
              <w:spacing w:before="0" w:after="283"/>
              <w:rPr>
                <w:sz w:val="4"/>
                <w:szCs w:val="4"/>
              </w:rPr>
            </w:pPr>
            <w:r>
              <w:rPr>
                <w:sz w:val="4"/>
                <w:szCs w:val="4"/>
              </w:rPr>
            </w:r>
          </w:p>
        </w:tc>
        <w:tc>
          <w:tcPr>
            <w:tcW w:w="690" w:type="dxa"/>
            <w:tcBorders/>
            <w:shd w:fill="auto" w:val="clear"/>
            <w:tcMar>
              <w:top w:w="0" w:type="dxa"/>
            </w:tcMar>
            <w:vAlign w:val="center"/>
          </w:tcPr>
          <w:p>
            <w:pPr>
              <w:pStyle w:val="TableContents"/>
              <w:spacing w:before="0" w:after="283"/>
              <w:rPr>
                <w:sz w:val="4"/>
                <w:szCs w:val="4"/>
              </w:rPr>
            </w:pPr>
            <w:r>
              <w:rPr>
                <w:sz w:val="4"/>
                <w:szCs w:val="4"/>
              </w:rPr>
            </w:r>
          </w:p>
        </w:tc>
        <w:tc>
          <w:tcPr>
            <w:tcW w:w="2803" w:type="dxa"/>
            <w:tcBorders/>
            <w:shd w:fill="auto" w:val="clear"/>
            <w:tcMar>
              <w:top w:w="0" w:type="dxa"/>
            </w:tcMar>
            <w:vAlign w:val="center"/>
          </w:tcPr>
          <w:p>
            <w:pPr>
              <w:pStyle w:val="TableContents"/>
              <w:spacing w:before="0" w:after="283"/>
              <w:jc w:val="left"/>
              <w:rPr/>
            </w:pPr>
            <w:r>
              <w:rPr/>
              <w:t> </w:t>
            </w:r>
          </w:p>
        </w:tc>
      </w:tr>
      <w:tr>
        <w:trPr/>
        <w:tc>
          <w:tcPr>
            <w:tcW w:w="750" w:type="dxa"/>
            <w:tcBorders/>
            <w:shd w:fill="auto" w:val="clear"/>
            <w:tcMar>
              <w:top w:w="0" w:type="dxa"/>
            </w:tcMar>
            <w:vAlign w:val="center"/>
          </w:tcPr>
          <w:p>
            <w:pPr>
              <w:pStyle w:val="TableContents"/>
              <w:spacing w:before="0" w:after="283"/>
              <w:jc w:val="left"/>
              <w:rPr/>
            </w:pPr>
            <w:r>
              <w:rPr/>
              <w:drawing>
                <wp:inline distT="0" distB="0" distL="0" distR="0">
                  <wp:extent cx="447675" cy="438150"/>
                  <wp:effectExtent l="0" t="0" r="0" b="0"/>
                  <wp:docPr id="375"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255" descr=""/>
                          <pic:cNvPicPr>
                            <a:picLocks noChangeAspect="1" noChangeArrowheads="1"/>
                          </pic:cNvPicPr>
                        </pic:nvPicPr>
                        <pic:blipFill>
                          <a:blip r:embed="rId256"/>
                          <a:srcRect l="-2250" t="-2300" r="-2250" b="-2300"/>
                          <a:stretch>
                            <a:fillRect/>
                          </a:stretch>
                        </pic:blipFill>
                        <pic:spPr bwMode="auto">
                          <a:xfrm>
                            <a:off x="0" y="0"/>
                            <a:ext cx="447675" cy="438150"/>
                          </a:xfrm>
                          <a:prstGeom prst="rect">
                            <a:avLst/>
                          </a:prstGeom>
                          <a:ln w="635">
                            <a:solidFill>
                              <a:srgbClr val="000000"/>
                            </a:solidFill>
                          </a:ln>
                        </pic:spPr>
                      </pic:pic>
                    </a:graphicData>
                  </a:graphic>
                </wp:inline>
              </w:drawing>
            </w:r>
          </w:p>
        </w:tc>
        <w:tc>
          <w:tcPr>
            <w:tcW w:w="2631" w:type="dxa"/>
            <w:tcBorders>
              <w:right w:val="single" w:sz="8" w:space="0" w:color="8EAD3C"/>
            </w:tcBorders>
            <w:shd w:fill="auto" w:val="clear"/>
            <w:tcMar>
              <w:top w:w="0" w:type="dxa"/>
              <w:right w:w="160" w:type="dxa"/>
            </w:tcMar>
            <w:vAlign w:val="center"/>
          </w:tcPr>
          <w:p>
            <w:pPr>
              <w:pStyle w:val="TableContents"/>
              <w:spacing w:before="0" w:after="283"/>
              <w:jc w:val="left"/>
              <w:rPr/>
            </w:pPr>
            <w:r>
              <w:rPr>
                <w:rFonts w:ascii="Arial" w:hAnsi="Arial"/>
                <w:color w:val="1A2343"/>
                <w:sz w:val="36"/>
              </w:rPr>
              <w:t>50%</w:t>
              <w:br/>
            </w:r>
            <w:r>
              <w:rPr>
                <w:rStyle w:val="StrongEmphasis"/>
                <w:rFonts w:ascii="Arial" w:hAnsi="Arial"/>
                <w:color w:val="1A2343"/>
                <w:sz w:val="20"/>
              </w:rPr>
              <w:t>of our independent Board nominees are diverse, including gender and racial/ ethnic diversity</w:t>
            </w:r>
          </w:p>
        </w:tc>
        <w:tc>
          <w:tcPr>
            <w:tcW w:w="765" w:type="dxa"/>
            <w:tcBorders/>
            <w:shd w:fill="auto" w:val="clear"/>
            <w:tcMar>
              <w:top w:w="0" w:type="dxa"/>
            </w:tcMar>
            <w:vAlign w:val="center"/>
          </w:tcPr>
          <w:p>
            <w:pPr>
              <w:pStyle w:val="TableContents"/>
              <w:spacing w:before="0" w:after="283"/>
              <w:jc w:val="left"/>
              <w:rPr/>
            </w:pPr>
            <w:r>
              <w:rPr/>
              <w:drawing>
                <wp:inline distT="0" distB="0" distL="0" distR="0">
                  <wp:extent cx="438150" cy="447675"/>
                  <wp:effectExtent l="0" t="0" r="0" b="0"/>
                  <wp:docPr id="376"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256" descr=""/>
                          <pic:cNvPicPr>
                            <a:picLocks noChangeAspect="1" noChangeArrowheads="1"/>
                          </pic:cNvPicPr>
                        </pic:nvPicPr>
                        <pic:blipFill>
                          <a:blip r:embed="rId257"/>
                          <a:srcRect l="-2300" t="-2250" r="-2300" b="-2250"/>
                          <a:stretch>
                            <a:fillRect/>
                          </a:stretch>
                        </pic:blipFill>
                        <pic:spPr bwMode="auto">
                          <a:xfrm>
                            <a:off x="0" y="0"/>
                            <a:ext cx="438150" cy="447675"/>
                          </a:xfrm>
                          <a:prstGeom prst="rect">
                            <a:avLst/>
                          </a:prstGeom>
                          <a:ln w="635">
                            <a:solidFill>
                              <a:srgbClr val="000000"/>
                            </a:solidFill>
                          </a:ln>
                        </pic:spPr>
                      </pic:pic>
                    </a:graphicData>
                  </a:graphic>
                </wp:inline>
              </w:drawing>
            </w:r>
          </w:p>
        </w:tc>
        <w:tc>
          <w:tcPr>
            <w:tcW w:w="2566" w:type="dxa"/>
            <w:tcBorders>
              <w:right w:val="single" w:sz="8" w:space="0" w:color="8EAD3C"/>
            </w:tcBorders>
            <w:shd w:fill="auto" w:val="clear"/>
            <w:tcMar>
              <w:top w:w="0" w:type="dxa"/>
              <w:right w:w="160" w:type="dxa"/>
            </w:tcMar>
            <w:vAlign w:val="center"/>
          </w:tcPr>
          <w:p>
            <w:pPr>
              <w:pStyle w:val="TableContents"/>
              <w:spacing w:before="0" w:after="283"/>
              <w:jc w:val="left"/>
              <w:rPr/>
            </w:pPr>
            <w:r>
              <w:rPr>
                <w:rFonts w:ascii="Arial" w:hAnsi="Arial"/>
                <w:color w:val="1A2343"/>
                <w:sz w:val="36"/>
              </w:rPr>
              <w:t>56%</w:t>
              <w:br/>
            </w:r>
            <w:r>
              <w:rPr>
                <w:rStyle w:val="StrongEmphasis"/>
                <w:rFonts w:ascii="Arial" w:hAnsi="Arial"/>
                <w:color w:val="1A2343"/>
                <w:sz w:val="20"/>
              </w:rPr>
              <w:t>of our Board nominees currently serve or have served on the Boards of other publicly traded companies</w:t>
            </w:r>
          </w:p>
        </w:tc>
        <w:tc>
          <w:tcPr>
            <w:tcW w:w="690" w:type="dxa"/>
            <w:tcBorders/>
            <w:shd w:fill="auto" w:val="clear"/>
            <w:tcMar>
              <w:top w:w="0" w:type="dxa"/>
            </w:tcMar>
            <w:vAlign w:val="center"/>
          </w:tcPr>
          <w:p>
            <w:pPr>
              <w:pStyle w:val="TableContents"/>
              <w:spacing w:before="0" w:after="283"/>
              <w:jc w:val="left"/>
              <w:rPr/>
            </w:pPr>
            <w:r>
              <w:rPr/>
              <w:drawing>
                <wp:inline distT="0" distB="0" distL="0" distR="0">
                  <wp:extent cx="438150" cy="447675"/>
                  <wp:effectExtent l="0" t="0" r="0" b="0"/>
                  <wp:docPr id="377"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257" descr=""/>
                          <pic:cNvPicPr>
                            <a:picLocks noChangeAspect="1" noChangeArrowheads="1"/>
                          </pic:cNvPicPr>
                        </pic:nvPicPr>
                        <pic:blipFill>
                          <a:blip r:embed="rId258"/>
                          <a:srcRect l="-2300" t="-2250" r="-2300" b="-2250"/>
                          <a:stretch>
                            <a:fillRect/>
                          </a:stretch>
                        </pic:blipFill>
                        <pic:spPr bwMode="auto">
                          <a:xfrm>
                            <a:off x="0" y="0"/>
                            <a:ext cx="438150" cy="447675"/>
                          </a:xfrm>
                          <a:prstGeom prst="rect">
                            <a:avLst/>
                          </a:prstGeom>
                          <a:ln w="635">
                            <a:solidFill>
                              <a:srgbClr val="000000"/>
                            </a:solidFill>
                          </a:ln>
                        </pic:spPr>
                      </pic:pic>
                    </a:graphicData>
                  </a:graphic>
                </wp:inline>
              </w:drawing>
            </w:r>
          </w:p>
        </w:tc>
        <w:tc>
          <w:tcPr>
            <w:tcW w:w="2803" w:type="dxa"/>
            <w:tcBorders/>
            <w:shd w:fill="auto" w:val="clear"/>
            <w:tcMar>
              <w:top w:w="0" w:type="dxa"/>
            </w:tcMar>
            <w:vAlign w:val="center"/>
          </w:tcPr>
          <w:p>
            <w:pPr>
              <w:pStyle w:val="TableContents"/>
              <w:spacing w:before="0" w:after="283"/>
              <w:jc w:val="left"/>
              <w:rPr/>
            </w:pPr>
            <w:r>
              <w:rPr>
                <w:rFonts w:ascii="Arial" w:hAnsi="Arial"/>
                <w:color w:val="1A2343"/>
                <w:sz w:val="36"/>
              </w:rPr>
              <w:t>89%</w:t>
              <w:br/>
            </w:r>
            <w:r>
              <w:rPr>
                <w:rStyle w:val="StrongEmphasis"/>
                <w:rFonts w:ascii="Arial" w:hAnsi="Arial"/>
                <w:color w:val="1A2343"/>
                <w:sz w:val="20"/>
              </w:rPr>
              <w:t>of our Board nominees currently serve or have served as CEO or in senior leadership positions</w:t>
            </w:r>
          </w:p>
        </w:tc>
      </w:tr>
      <w:tr>
        <w:trPr/>
        <w:tc>
          <w:tcPr>
            <w:tcW w:w="750" w:type="dxa"/>
            <w:tcBorders>
              <w:bottom w:val="single" w:sz="8" w:space="0" w:color="8EAD3C"/>
            </w:tcBorders>
            <w:shd w:fill="auto" w:val="clear"/>
            <w:tcMar>
              <w:top w:w="0" w:type="dxa"/>
              <w:bottom w:w="28" w:type="dxa"/>
            </w:tcMar>
            <w:vAlign w:val="center"/>
          </w:tcPr>
          <w:p>
            <w:pPr>
              <w:pStyle w:val="TableContents"/>
              <w:spacing w:before="0" w:after="283"/>
              <w:jc w:val="left"/>
              <w:rPr/>
            </w:pPr>
            <w:r>
              <w:rPr/>
              <w:t> </w:t>
            </w:r>
          </w:p>
        </w:tc>
        <w:tc>
          <w:tcPr>
            <w:tcW w:w="2631"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765"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2566"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690"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2803"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r>
    </w:tbl>
    <w:p>
      <w:pPr>
        <w:pStyle w:val="TextBody"/>
        <w:spacing w:before="240" w:after="283"/>
        <w:rPr/>
      </w:pPr>
      <w:r>
        <w:rPr>
          <w:rStyle w:val="StrongEmphasis"/>
          <w:rFonts w:ascii="Arial" w:hAnsi="Arial"/>
          <w:sz w:val="26"/>
        </w:rPr>
        <w:t>Identification of Director Candidates</w:t>
      </w:r>
    </w:p>
    <w:p>
      <w:pPr>
        <w:pStyle w:val="TextBody"/>
        <w:jc w:val="left"/>
        <w:rPr/>
      </w:pPr>
      <w:r>
        <w:rPr>
          <w:rStyle w:val="StrongEmphasis"/>
          <w:rFonts w:ascii="Arial" w:hAnsi="Arial"/>
          <w:sz w:val="20"/>
        </w:rPr>
        <w:t>HOW WE IDENTIFY AND CONSIDER DIRECTOR NOMINATIONS</w:t>
      </w:r>
    </w:p>
    <w:tbl>
      <w:tblPr>
        <w:tblW w:w="10205" w:type="dxa"/>
        <w:jc w:val="left"/>
        <w:tblInd w:w="0" w:type="dxa"/>
        <w:tblCellMar>
          <w:top w:w="40" w:type="dxa"/>
          <w:left w:w="0" w:type="dxa"/>
          <w:bottom w:w="0" w:type="dxa"/>
          <w:right w:w="0" w:type="dxa"/>
        </w:tblCellMar>
      </w:tblPr>
      <w:tblGrid>
        <w:gridCol w:w="405"/>
        <w:gridCol w:w="1295"/>
        <w:gridCol w:w="300"/>
        <w:gridCol w:w="8205"/>
      </w:tblGrid>
      <w:tr>
        <w:trPr/>
        <w:tc>
          <w:tcPr>
            <w:tcW w:w="405" w:type="dxa"/>
            <w:tcBorders>
              <w:top w:val="single" w:sz="8" w:space="0" w:color="8EAD3C"/>
            </w:tcBorders>
            <w:shd w:fill="auto" w:val="clear"/>
            <w:vAlign w:val="center"/>
          </w:tcPr>
          <w:p>
            <w:pPr>
              <w:pStyle w:val="TableContents"/>
              <w:spacing w:before="0" w:after="283"/>
              <w:jc w:val="left"/>
              <w:rPr/>
            </w:pPr>
            <w:r>
              <w:rPr/>
              <w:drawing>
                <wp:inline distT="0" distB="0" distL="0" distR="0">
                  <wp:extent cx="257175" cy="257175"/>
                  <wp:effectExtent l="0" t="0" r="0" b="0"/>
                  <wp:docPr id="378"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258" descr=""/>
                          <pic:cNvPicPr>
                            <a:picLocks noChangeAspect="1" noChangeArrowheads="1"/>
                          </pic:cNvPicPr>
                        </pic:nvPicPr>
                        <pic:blipFill>
                          <a:blip r:embed="rId259"/>
                          <a:srcRect l="-3921" t="-3921" r="-3921" b="-3921"/>
                          <a:stretch>
                            <a:fillRect/>
                          </a:stretch>
                        </pic:blipFill>
                        <pic:spPr bwMode="auto">
                          <a:xfrm>
                            <a:off x="0" y="0"/>
                            <a:ext cx="257175" cy="257175"/>
                          </a:xfrm>
                          <a:prstGeom prst="rect">
                            <a:avLst/>
                          </a:prstGeom>
                          <a:ln w="635">
                            <a:solidFill>
                              <a:srgbClr val="000000"/>
                            </a:solidFill>
                          </a:ln>
                        </pic:spPr>
                      </pic:pic>
                    </a:graphicData>
                  </a:graphic>
                </wp:inline>
              </w:drawing>
            </w:r>
          </w:p>
        </w:tc>
        <w:tc>
          <w:tcPr>
            <w:tcW w:w="1295" w:type="dxa"/>
            <w:tcBorders>
              <w:top w:val="single" w:sz="8" w:space="0" w:color="8EAD3C"/>
            </w:tcBorders>
            <w:shd w:fill="auto" w:val="clear"/>
            <w:vAlign w:val="center"/>
          </w:tcPr>
          <w:p>
            <w:pPr>
              <w:pStyle w:val="TableContents"/>
              <w:spacing w:before="0" w:after="283"/>
              <w:jc w:val="left"/>
              <w:rPr/>
            </w:pPr>
            <w:r>
              <w:rPr>
                <w:rStyle w:val="StrongEmphasis"/>
                <w:rFonts w:ascii="Arial" w:hAnsi="Arial"/>
                <w:sz w:val="20"/>
              </w:rPr>
              <w:t>Identify</w:t>
              <w:br/>
              <w:t>Potential</w:t>
              <w:br/>
              <w:t>Candidates</w:t>
            </w:r>
          </w:p>
        </w:tc>
        <w:tc>
          <w:tcPr>
            <w:tcW w:w="300" w:type="dxa"/>
            <w:tcBorders>
              <w:top w:val="single" w:sz="8" w:space="0" w:color="8EAD3C"/>
            </w:tcBorders>
            <w:shd w:fill="auto" w:val="clear"/>
            <w:vAlign w:val="center"/>
          </w:tcPr>
          <w:p>
            <w:pPr>
              <w:pStyle w:val="TableContents"/>
              <w:spacing w:before="0" w:after="283"/>
              <w:jc w:val="left"/>
              <w:rPr/>
            </w:pPr>
            <w:r>
              <w:rPr/>
              <w:t>     </w:t>
            </w:r>
          </w:p>
        </w:tc>
        <w:tc>
          <w:tcPr>
            <w:tcW w:w="8205" w:type="dxa"/>
            <w:tcBorders>
              <w:top w:val="single" w:sz="8" w:space="0" w:color="8EAD3C"/>
            </w:tcBorders>
            <w:shd w:fill="auto" w:val="clear"/>
            <w:vAlign w:val="center"/>
          </w:tcPr>
          <w:p>
            <w:pPr>
              <w:pStyle w:val="TableContents"/>
              <w:spacing w:before="0" w:after="283"/>
              <w:jc w:val="left"/>
              <w:rPr>
                <w:rFonts w:ascii="Arial" w:hAnsi="Arial"/>
                <w:sz w:val="20"/>
              </w:rPr>
            </w:pPr>
            <w:r>
              <w:rPr>
                <w:rFonts w:ascii="Arial" w:hAnsi="Arial"/>
                <w:sz w:val="20"/>
              </w:rPr>
              <w:t>Our Nominating and Corporate Governance Committee solicits and considers suggestions from our directors and management regarding possible nominees. Our Nominating and Corporate Governance Committee also may procure the services of outside sources or third parties to assist in the identification of director candidates. Candidates may also be identified by stockholders.</w:t>
            </w:r>
          </w:p>
        </w:tc>
      </w:tr>
      <w:tr>
        <w:trPr/>
        <w:tc>
          <w:tcPr>
            <w:tcW w:w="405" w:type="dxa"/>
            <w:tcBorders/>
            <w:shd w:fill="auto" w:val="clear"/>
            <w:tcMar>
              <w:top w:w="0" w:type="dxa"/>
            </w:tcMar>
            <w:vAlign w:val="center"/>
          </w:tcPr>
          <w:p>
            <w:pPr>
              <w:pStyle w:val="TableContents"/>
              <w:spacing w:before="0" w:after="283"/>
              <w:jc w:val="left"/>
              <w:rPr/>
            </w:pPr>
            <w:r>
              <w:rPr/>
              <w:drawing>
                <wp:inline distT="0" distB="0" distL="0" distR="0">
                  <wp:extent cx="257175" cy="257175"/>
                  <wp:effectExtent l="0" t="0" r="0" b="0"/>
                  <wp:docPr id="379"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259" descr=""/>
                          <pic:cNvPicPr>
                            <a:picLocks noChangeAspect="1" noChangeArrowheads="1"/>
                          </pic:cNvPicPr>
                        </pic:nvPicPr>
                        <pic:blipFill>
                          <a:blip r:embed="rId260"/>
                          <a:srcRect l="-3921" t="-3921" r="-3921" b="-3921"/>
                          <a:stretch>
                            <a:fillRect/>
                          </a:stretch>
                        </pic:blipFill>
                        <pic:spPr bwMode="auto">
                          <a:xfrm>
                            <a:off x="0" y="0"/>
                            <a:ext cx="257175" cy="257175"/>
                          </a:xfrm>
                          <a:prstGeom prst="rect">
                            <a:avLst/>
                          </a:prstGeom>
                          <a:ln w="635">
                            <a:solidFill>
                              <a:srgbClr val="000000"/>
                            </a:solidFill>
                          </a:ln>
                        </pic:spPr>
                      </pic:pic>
                    </a:graphicData>
                  </a:graphic>
                </wp:inline>
              </w:drawing>
            </w:r>
          </w:p>
        </w:tc>
        <w:tc>
          <w:tcPr>
            <w:tcW w:w="1295" w:type="dxa"/>
            <w:tcBorders/>
            <w:shd w:fill="auto" w:val="clear"/>
            <w:tcMar>
              <w:top w:w="0" w:type="dxa"/>
            </w:tcMar>
            <w:vAlign w:val="center"/>
          </w:tcPr>
          <w:p>
            <w:pPr>
              <w:pStyle w:val="TableContents"/>
              <w:spacing w:before="0" w:after="283"/>
              <w:jc w:val="left"/>
              <w:rPr/>
            </w:pPr>
            <w:r>
              <w:rPr>
                <w:rStyle w:val="StrongEmphasis"/>
                <w:rFonts w:ascii="Arial" w:hAnsi="Arial"/>
                <w:sz w:val="20"/>
              </w:rPr>
              <w:t>In-Depth</w:t>
              <w:br/>
              <w:t>Committee</w:t>
              <w:br/>
              <w:t>Review</w:t>
            </w:r>
          </w:p>
        </w:tc>
        <w:tc>
          <w:tcPr>
            <w:tcW w:w="300" w:type="dxa"/>
            <w:tcBorders/>
            <w:shd w:fill="auto" w:val="clear"/>
            <w:tcMar>
              <w:top w:w="0" w:type="dxa"/>
            </w:tcMar>
            <w:vAlign w:val="center"/>
          </w:tcPr>
          <w:p>
            <w:pPr>
              <w:pStyle w:val="TableContents"/>
              <w:spacing w:before="0" w:after="283"/>
              <w:rPr>
                <w:sz w:val="4"/>
                <w:szCs w:val="4"/>
              </w:rPr>
            </w:pPr>
            <w:r>
              <w:rPr>
                <w:sz w:val="4"/>
                <w:szCs w:val="4"/>
              </w:rPr>
            </w:r>
          </w:p>
        </w:tc>
        <w:tc>
          <w:tcPr>
            <w:tcW w:w="8205" w:type="dxa"/>
            <w:tcBorders>
              <w:top w:val="single" w:sz="8" w:space="0" w:color="8EAD3C"/>
            </w:tcBorders>
            <w:shd w:fill="auto" w:val="clear"/>
            <w:vAlign w:val="center"/>
          </w:tcPr>
          <w:p>
            <w:pPr>
              <w:pStyle w:val="TableContents"/>
              <w:jc w:val="left"/>
              <w:rPr>
                <w:rFonts w:ascii="Arial" w:hAnsi="Arial"/>
                <w:sz w:val="20"/>
              </w:rPr>
            </w:pPr>
            <w:r>
              <w:rPr>
                <w:rFonts w:ascii="Arial" w:hAnsi="Arial"/>
                <w:sz w:val="20"/>
              </w:rPr>
              <w:t>The Nominating and Corporate Governance Committee:</w:t>
            </w:r>
          </w:p>
          <w:p>
            <w:pPr>
              <w:pStyle w:val="TableContents"/>
              <w:spacing w:before="0" w:after="0"/>
              <w:ind w:left="0" w:right="0" w:hanging="290"/>
              <w:jc w:val="left"/>
              <w:rPr/>
            </w:pPr>
            <w:r>
              <w:rPr>
                <w:color w:val="000000"/>
              </w:rPr>
              <w:t>●</w:t>
            </w:r>
            <w:r>
              <w:rPr/>
              <w:t xml:space="preserve"> </w:t>
            </w:r>
            <w:r>
              <w:rPr>
                <w:rFonts w:ascii="Arial" w:hAnsi="Arial"/>
                <w:sz w:val="20"/>
              </w:rPr>
              <w:t>Considers experience, qualifications, and diversity, including ethnic/racial diversity</w:t>
            </w:r>
          </w:p>
          <w:p>
            <w:pPr>
              <w:pStyle w:val="TableContents"/>
              <w:spacing w:before="0" w:after="0"/>
              <w:ind w:left="0" w:right="0" w:hanging="290"/>
              <w:jc w:val="left"/>
              <w:rPr/>
            </w:pPr>
            <w:r>
              <w:rPr>
                <w:color w:val="000000"/>
              </w:rPr>
              <w:t>●</w:t>
            </w:r>
            <w:r>
              <w:rPr/>
              <w:t xml:space="preserve"> </w:t>
            </w:r>
            <w:r>
              <w:rPr>
                <w:rFonts w:ascii="Arial" w:hAnsi="Arial"/>
                <w:sz w:val="20"/>
              </w:rPr>
              <w:t xml:space="preserve">Meets with candidates and conducts interviews </w:t>
            </w:r>
          </w:p>
          <w:p>
            <w:pPr>
              <w:pStyle w:val="TableContents"/>
              <w:spacing w:before="0" w:after="0"/>
              <w:ind w:left="0" w:right="0" w:hanging="340"/>
              <w:jc w:val="left"/>
              <w:rPr/>
            </w:pPr>
            <w:r>
              <w:rPr>
                <w:color w:val="000000"/>
              </w:rPr>
              <w:t>—</w:t>
            </w:r>
            <w:r>
              <w:rPr>
                <w:rFonts w:ascii="Arial" w:hAnsi="Arial"/>
                <w:sz w:val="20"/>
              </w:rPr>
              <w:t>In considering a potential nominee, each member of the Nominating and Corporate Governance Committee has the opportunity to interview potential nominees in person or by telephone and to submit questions to such potential candidate.</w:t>
            </w:r>
          </w:p>
          <w:p>
            <w:pPr>
              <w:pStyle w:val="TableContents"/>
              <w:spacing w:before="0" w:after="0"/>
              <w:ind w:left="0" w:right="0" w:hanging="290"/>
              <w:jc w:val="left"/>
              <w:rPr/>
            </w:pPr>
            <w:r>
              <w:rPr>
                <w:color w:val="000000"/>
              </w:rPr>
              <w:t>●</w:t>
            </w:r>
            <w:r>
              <w:rPr/>
              <w:t xml:space="preserve"> </w:t>
            </w:r>
            <w:r>
              <w:rPr>
                <w:rFonts w:ascii="Arial" w:hAnsi="Arial"/>
                <w:sz w:val="20"/>
              </w:rPr>
              <w:t>Review independence and potential conflicts</w:t>
            </w:r>
          </w:p>
        </w:tc>
      </w:tr>
      <w:tr>
        <w:trPr/>
        <w:tc>
          <w:tcPr>
            <w:tcW w:w="405" w:type="dxa"/>
            <w:tcBorders/>
            <w:shd w:fill="auto" w:val="clear"/>
            <w:tcMar>
              <w:top w:w="0" w:type="dxa"/>
            </w:tcMar>
            <w:vAlign w:val="center"/>
          </w:tcPr>
          <w:p>
            <w:pPr>
              <w:pStyle w:val="TableContents"/>
              <w:spacing w:before="0" w:after="283"/>
              <w:jc w:val="left"/>
              <w:rPr/>
            </w:pPr>
            <w:r>
              <w:rPr/>
              <w:drawing>
                <wp:inline distT="0" distB="0" distL="0" distR="0">
                  <wp:extent cx="257175" cy="257175"/>
                  <wp:effectExtent l="0" t="0" r="0" b="0"/>
                  <wp:docPr id="380"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260" descr=""/>
                          <pic:cNvPicPr>
                            <a:picLocks noChangeAspect="1" noChangeArrowheads="1"/>
                          </pic:cNvPicPr>
                        </pic:nvPicPr>
                        <pic:blipFill>
                          <a:blip r:embed="rId261"/>
                          <a:srcRect l="-3921" t="-3921" r="-3921" b="-3921"/>
                          <a:stretch>
                            <a:fillRect/>
                          </a:stretch>
                        </pic:blipFill>
                        <pic:spPr bwMode="auto">
                          <a:xfrm>
                            <a:off x="0" y="0"/>
                            <a:ext cx="257175" cy="257175"/>
                          </a:xfrm>
                          <a:prstGeom prst="rect">
                            <a:avLst/>
                          </a:prstGeom>
                          <a:ln w="635">
                            <a:solidFill>
                              <a:srgbClr val="000000"/>
                            </a:solidFill>
                          </a:ln>
                        </pic:spPr>
                      </pic:pic>
                    </a:graphicData>
                  </a:graphic>
                </wp:inline>
              </w:drawing>
            </w:r>
          </w:p>
        </w:tc>
        <w:tc>
          <w:tcPr>
            <w:tcW w:w="1295" w:type="dxa"/>
            <w:tcBorders/>
            <w:shd w:fill="auto" w:val="clear"/>
            <w:tcMar>
              <w:top w:w="0" w:type="dxa"/>
            </w:tcMar>
            <w:vAlign w:val="center"/>
          </w:tcPr>
          <w:p>
            <w:pPr>
              <w:pStyle w:val="TableContents"/>
              <w:spacing w:before="0" w:after="283"/>
              <w:jc w:val="left"/>
              <w:rPr/>
            </w:pPr>
            <w:r>
              <w:rPr>
                <w:rStyle w:val="StrongEmphasis"/>
                <w:rFonts w:ascii="Arial" w:hAnsi="Arial"/>
                <w:sz w:val="20"/>
              </w:rPr>
              <w:t>Recommend</w:t>
              <w:br/>
              <w:t>Candidates to</w:t>
              <w:br/>
              <w:t>Full Board</w:t>
            </w:r>
          </w:p>
        </w:tc>
        <w:tc>
          <w:tcPr>
            <w:tcW w:w="300" w:type="dxa"/>
            <w:tcBorders/>
            <w:shd w:fill="auto" w:val="clear"/>
            <w:tcMar>
              <w:top w:w="0" w:type="dxa"/>
            </w:tcMar>
            <w:vAlign w:val="center"/>
          </w:tcPr>
          <w:p>
            <w:pPr>
              <w:pStyle w:val="TableContents"/>
              <w:spacing w:before="0" w:after="283"/>
              <w:rPr>
                <w:sz w:val="4"/>
                <w:szCs w:val="4"/>
              </w:rPr>
            </w:pPr>
            <w:r>
              <w:rPr>
                <w:sz w:val="4"/>
                <w:szCs w:val="4"/>
              </w:rPr>
            </w:r>
          </w:p>
        </w:tc>
        <w:tc>
          <w:tcPr>
            <w:tcW w:w="8205" w:type="dxa"/>
            <w:tcBorders>
              <w:top w:val="single" w:sz="8" w:space="0" w:color="8EAD3C"/>
            </w:tcBorders>
            <w:shd w:fill="auto" w:val="clear"/>
            <w:vAlign w:val="center"/>
          </w:tcPr>
          <w:p>
            <w:pPr>
              <w:pStyle w:val="TableContents"/>
              <w:spacing w:before="0" w:after="283"/>
              <w:jc w:val="left"/>
              <w:rPr>
                <w:rFonts w:ascii="Arial" w:hAnsi="Arial"/>
                <w:sz w:val="20"/>
              </w:rPr>
            </w:pPr>
            <w:r>
              <w:rPr>
                <w:rFonts w:ascii="Arial" w:hAnsi="Arial"/>
                <w:sz w:val="20"/>
              </w:rPr>
              <w:t>The Nominating and Corporate Governance Committee presents potential candidates to full Board for open discussion.</w:t>
            </w:r>
          </w:p>
        </w:tc>
      </w:tr>
      <w:tr>
        <w:trPr/>
        <w:tc>
          <w:tcPr>
            <w:tcW w:w="405" w:type="dxa"/>
            <w:tcBorders/>
            <w:shd w:fill="auto" w:val="clear"/>
            <w:tcMar>
              <w:top w:w="0" w:type="dxa"/>
            </w:tcMar>
            <w:vAlign w:val="center"/>
          </w:tcPr>
          <w:p>
            <w:pPr>
              <w:pStyle w:val="TableContents"/>
              <w:spacing w:before="0" w:after="283"/>
              <w:jc w:val="left"/>
              <w:rPr/>
            </w:pPr>
            <w:r>
              <w:rPr/>
              <w:drawing>
                <wp:inline distT="0" distB="0" distL="0" distR="0">
                  <wp:extent cx="247650" cy="247650"/>
                  <wp:effectExtent l="0" t="0" r="0" b="0"/>
                  <wp:docPr id="381"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261" descr=""/>
                          <pic:cNvPicPr>
                            <a:picLocks noChangeAspect="1" noChangeArrowheads="1"/>
                          </pic:cNvPicPr>
                        </pic:nvPicPr>
                        <pic:blipFill>
                          <a:blip r:embed="rId262"/>
                          <a:srcRect l="-4069" t="-4069" r="-4069" b="-4069"/>
                          <a:stretch>
                            <a:fillRect/>
                          </a:stretch>
                        </pic:blipFill>
                        <pic:spPr bwMode="auto">
                          <a:xfrm>
                            <a:off x="0" y="0"/>
                            <a:ext cx="247650" cy="247650"/>
                          </a:xfrm>
                          <a:prstGeom prst="rect">
                            <a:avLst/>
                          </a:prstGeom>
                          <a:ln w="635">
                            <a:solidFill>
                              <a:srgbClr val="000000"/>
                            </a:solidFill>
                          </a:ln>
                        </pic:spPr>
                      </pic:pic>
                    </a:graphicData>
                  </a:graphic>
                </wp:inline>
              </w:drawing>
            </w:r>
          </w:p>
        </w:tc>
        <w:tc>
          <w:tcPr>
            <w:tcW w:w="1295" w:type="dxa"/>
            <w:tcBorders/>
            <w:shd w:fill="auto" w:val="clear"/>
            <w:tcMar>
              <w:top w:w="0" w:type="dxa"/>
            </w:tcMar>
            <w:vAlign w:val="center"/>
          </w:tcPr>
          <w:p>
            <w:pPr>
              <w:pStyle w:val="TableContents"/>
              <w:spacing w:before="0" w:after="283"/>
              <w:jc w:val="left"/>
              <w:rPr/>
            </w:pPr>
            <w:r>
              <w:rPr>
                <w:rStyle w:val="StrongEmphasis"/>
                <w:rFonts w:ascii="Arial" w:hAnsi="Arial"/>
                <w:sz w:val="20"/>
              </w:rPr>
              <w:t xml:space="preserve">Review by </w:t>
              <w:br/>
              <w:t>Full Board</w:t>
            </w:r>
          </w:p>
        </w:tc>
        <w:tc>
          <w:tcPr>
            <w:tcW w:w="300" w:type="dxa"/>
            <w:tcBorders/>
            <w:shd w:fill="auto" w:val="clear"/>
            <w:tcMar>
              <w:top w:w="0" w:type="dxa"/>
            </w:tcMar>
            <w:vAlign w:val="center"/>
          </w:tcPr>
          <w:p>
            <w:pPr>
              <w:pStyle w:val="TableContents"/>
              <w:spacing w:before="0" w:after="283"/>
              <w:rPr>
                <w:sz w:val="4"/>
                <w:szCs w:val="4"/>
              </w:rPr>
            </w:pPr>
            <w:r>
              <w:rPr>
                <w:sz w:val="4"/>
                <w:szCs w:val="4"/>
              </w:rPr>
            </w:r>
          </w:p>
        </w:tc>
        <w:tc>
          <w:tcPr>
            <w:tcW w:w="8205" w:type="dxa"/>
            <w:tcBorders>
              <w:top w:val="single" w:sz="8" w:space="0" w:color="8EAD3C"/>
            </w:tcBorders>
            <w:shd w:fill="auto" w:val="clear"/>
            <w:vAlign w:val="center"/>
          </w:tcPr>
          <w:p>
            <w:pPr>
              <w:pStyle w:val="TableContents"/>
              <w:spacing w:before="0" w:after="283"/>
              <w:jc w:val="left"/>
              <w:rPr>
                <w:rFonts w:ascii="Arial" w:hAnsi="Arial"/>
                <w:sz w:val="20"/>
              </w:rPr>
            </w:pPr>
            <w:r>
              <w:rPr>
                <w:rFonts w:ascii="Arial" w:hAnsi="Arial"/>
                <w:sz w:val="20"/>
              </w:rPr>
              <w:t>The full Board is responsible for approving potential candidates.</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22</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pPr>
      <w:r>
        <w:rPr>
          <w:rStyle w:val="StrongEmphasis"/>
          <w:rFonts w:ascii="Arial" w:hAnsi="Arial"/>
          <w:color w:val="8EAD3C"/>
          <w:sz w:val="20"/>
        </w:rPr>
        <w:t>NCGC Director Recruitment Process</w:t>
      </w:r>
    </w:p>
    <w:p>
      <w:pPr>
        <w:pStyle w:val="TextBody"/>
        <w:jc w:val="left"/>
        <w:rPr>
          <w:rFonts w:ascii="Arial" w:hAnsi="Arial"/>
          <w:sz w:val="20"/>
        </w:rPr>
      </w:pPr>
      <w:r>
        <w:rPr>
          <w:rFonts w:ascii="Arial" w:hAnsi="Arial"/>
          <w:sz w:val="20"/>
        </w:rPr>
        <w:t>Our Nominating and Corporate Governance Committee assists the Board in identifying and reviewing director candidates and recommends director nominees to the Board to be considered for election at our annual meeting of stockholders. Our Nominating and Corporate Governance Committee adopted a written policy on the criteria and process of identifying and reviewing director candidates. Each director candidate must have:</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rPr>
                <w:rFonts w:ascii="arial" w:hAnsi="arial"/>
                <w:color w:val="000000"/>
                <w:sz w:val="19"/>
              </w:rPr>
            </w:pPr>
            <w:r>
              <w:rPr>
                <w:rFonts w:ascii="arial" w:hAnsi="arial"/>
                <w:color w:val="000000"/>
                <w:sz w:val="19"/>
              </w:rPr>
              <w:t>1.</w:t>
            </w:r>
          </w:p>
        </w:tc>
        <w:tc>
          <w:tcPr>
            <w:tcW w:w="10047" w:type="dxa"/>
            <w:tcBorders/>
            <w:shd w:fill="auto" w:val="clear"/>
            <w:vAlign w:val="center"/>
          </w:tcPr>
          <w:p>
            <w:pPr>
              <w:pStyle w:val="TableContents"/>
              <w:spacing w:before="0" w:after="283"/>
              <w:rPr>
                <w:rFonts w:ascii="Arial" w:hAnsi="Arial"/>
                <w:sz w:val="20"/>
              </w:rPr>
            </w:pPr>
            <w:r>
              <w:rPr>
                <w:rFonts w:ascii="Arial" w:hAnsi="Arial"/>
                <w:sz w:val="20"/>
              </w:rPr>
              <w:t>education and experience that provides knowledge of business, financial, governmental or legal matters that are relevant to the Company’s business or to its status as a publicly owned company;</w:t>
            </w:r>
          </w:p>
        </w:tc>
      </w:tr>
      <w:tr>
        <w:trPr/>
        <w:tc>
          <w:tcPr>
            <w:tcW w:w="158" w:type="dxa"/>
            <w:tcBorders/>
            <w:shd w:fill="auto" w:val="clear"/>
            <w:vAlign w:val="center"/>
          </w:tcPr>
          <w:p>
            <w:pPr>
              <w:pStyle w:val="TableContents"/>
              <w:spacing w:before="0" w:after="283"/>
              <w:rPr>
                <w:rFonts w:ascii="arial" w:hAnsi="arial"/>
                <w:color w:val="000000"/>
                <w:sz w:val="19"/>
              </w:rPr>
            </w:pPr>
            <w:r>
              <w:rPr>
                <w:rFonts w:ascii="arial" w:hAnsi="arial"/>
                <w:color w:val="000000"/>
                <w:sz w:val="19"/>
              </w:rPr>
              <w:t>2.</w:t>
            </w:r>
          </w:p>
        </w:tc>
        <w:tc>
          <w:tcPr>
            <w:tcW w:w="10047" w:type="dxa"/>
            <w:tcBorders/>
            <w:shd w:fill="auto" w:val="clear"/>
            <w:vAlign w:val="center"/>
          </w:tcPr>
          <w:p>
            <w:pPr>
              <w:pStyle w:val="TableContents"/>
              <w:spacing w:before="0" w:after="283"/>
              <w:rPr>
                <w:rFonts w:ascii="Arial" w:hAnsi="Arial"/>
                <w:sz w:val="20"/>
              </w:rPr>
            </w:pPr>
            <w:r>
              <w:rPr>
                <w:rFonts w:ascii="Arial" w:hAnsi="Arial"/>
                <w:sz w:val="20"/>
              </w:rPr>
              <w:t>an unblemished reputation for integrity;</w:t>
            </w:r>
          </w:p>
        </w:tc>
      </w:tr>
      <w:tr>
        <w:trPr/>
        <w:tc>
          <w:tcPr>
            <w:tcW w:w="158" w:type="dxa"/>
            <w:tcBorders/>
            <w:shd w:fill="auto" w:val="clear"/>
            <w:vAlign w:val="center"/>
          </w:tcPr>
          <w:p>
            <w:pPr>
              <w:pStyle w:val="TableContents"/>
              <w:spacing w:before="0" w:after="283"/>
              <w:rPr>
                <w:rFonts w:ascii="arial" w:hAnsi="arial"/>
                <w:color w:val="000000"/>
                <w:sz w:val="19"/>
              </w:rPr>
            </w:pPr>
            <w:r>
              <w:rPr>
                <w:rFonts w:ascii="arial" w:hAnsi="arial"/>
                <w:color w:val="000000"/>
                <w:sz w:val="19"/>
              </w:rPr>
              <w:t>3.</w:t>
            </w:r>
          </w:p>
        </w:tc>
        <w:tc>
          <w:tcPr>
            <w:tcW w:w="10047" w:type="dxa"/>
            <w:tcBorders/>
            <w:shd w:fill="auto" w:val="clear"/>
            <w:vAlign w:val="center"/>
          </w:tcPr>
          <w:p>
            <w:pPr>
              <w:pStyle w:val="TableContents"/>
              <w:spacing w:before="0" w:after="283"/>
              <w:rPr>
                <w:rFonts w:ascii="Arial" w:hAnsi="Arial"/>
                <w:sz w:val="20"/>
              </w:rPr>
            </w:pPr>
            <w:r>
              <w:rPr>
                <w:rFonts w:ascii="Arial" w:hAnsi="Arial"/>
                <w:sz w:val="20"/>
              </w:rPr>
              <w:t>a reputation for exercising good business judgment; and</w:t>
            </w:r>
          </w:p>
        </w:tc>
      </w:tr>
      <w:tr>
        <w:trPr/>
        <w:tc>
          <w:tcPr>
            <w:tcW w:w="158" w:type="dxa"/>
            <w:tcBorders/>
            <w:shd w:fill="auto" w:val="clear"/>
            <w:vAlign w:val="center"/>
          </w:tcPr>
          <w:p>
            <w:pPr>
              <w:pStyle w:val="TableContents"/>
              <w:spacing w:before="0" w:after="283"/>
              <w:rPr>
                <w:rFonts w:ascii="arial" w:hAnsi="arial"/>
                <w:color w:val="000000"/>
                <w:sz w:val="19"/>
              </w:rPr>
            </w:pPr>
            <w:r>
              <w:rPr>
                <w:rFonts w:ascii="arial" w:hAnsi="arial"/>
                <w:color w:val="000000"/>
                <w:sz w:val="19"/>
              </w:rPr>
              <w:t>4.</w:t>
            </w:r>
          </w:p>
        </w:tc>
        <w:tc>
          <w:tcPr>
            <w:tcW w:w="10047" w:type="dxa"/>
            <w:tcBorders/>
            <w:shd w:fill="auto" w:val="clear"/>
            <w:vAlign w:val="center"/>
          </w:tcPr>
          <w:p>
            <w:pPr>
              <w:pStyle w:val="TableContents"/>
              <w:spacing w:before="0" w:after="283"/>
              <w:rPr>
                <w:rFonts w:ascii="Arial" w:hAnsi="Arial"/>
                <w:sz w:val="20"/>
              </w:rPr>
            </w:pPr>
            <w:r>
              <w:rPr>
                <w:rFonts w:ascii="Arial" w:hAnsi="Arial"/>
                <w:sz w:val="20"/>
              </w:rPr>
              <w:t>sufficient available time to be able to fulfill his or her responsibilities as a member of the Board and of any committees to which he or she may be appointed.</w:t>
            </w:r>
          </w:p>
        </w:tc>
      </w:tr>
    </w:tbl>
    <w:p>
      <w:pPr>
        <w:pStyle w:val="TextBody"/>
        <w:spacing w:before="240" w:after="283"/>
        <w:jc w:val="left"/>
        <w:rPr>
          <w:rFonts w:ascii="Arial" w:hAnsi="Arial"/>
          <w:sz w:val="20"/>
        </w:rPr>
      </w:pPr>
      <w:r>
        <w:rPr>
          <w:rFonts w:ascii="Arial" w:hAnsi="Arial"/>
          <w:sz w:val="20"/>
        </w:rPr>
        <w:t>The Nominating and Corporate Governance Committee ensures that the potential nominee is not an employee or agent of and does not serve on the board of directors or similar managing body of any of our competitors and determines whether the potential nominee has an interest in any transactions to which we are a party.</w:t>
      </w:r>
    </w:p>
    <w:p>
      <w:pPr>
        <w:pStyle w:val="TextBody"/>
        <w:jc w:val="left"/>
        <w:rPr>
          <w:rFonts w:ascii="Arial" w:hAnsi="Arial"/>
          <w:sz w:val="20"/>
        </w:rPr>
      </w:pPr>
      <w:r>
        <w:rPr>
          <w:rFonts w:ascii="Arial" w:hAnsi="Arial"/>
          <w:sz w:val="20"/>
        </w:rPr>
        <w:t>In making recommendations to the Board, our Nominating and Corporate Governance Committee also considers such factors as it deems appropriate, in light of the skills, qualifications and background of the Board’s current composition and the opportunities and challenges the Board anticipates in the future. The Nominating and Corporate Governance Committee may consider the following:</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 xml:space="preserve">the candidate’s diversity, including with respect to gender, race, ethnicity and perspectives; </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the candidate’s industry knowledge and experience;</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any actual or potential conflicts of interest and whether the candidate meets the NYSE independence criteria;</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 xml:space="preserve">the extent to which the candidate generally would be a desirable addition to the Board and any committees of the Board; </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qualifications to serve on appropriate Board committees (including financial acumen);</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 xml:space="preserve">technological literacy; </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 xml:space="preserve">strategic insight; </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ability to introduce the Company to business or other opportunities;</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reputation in the corporate governance community;</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risk management skills; and</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the candidate’s knowledge in the area of cybersecurity.</w:t>
            </w:r>
          </w:p>
        </w:tc>
      </w:tr>
    </w:tbl>
    <w:p>
      <w:pPr>
        <w:pStyle w:val="TextBody"/>
        <w:spacing w:before="240" w:after="283"/>
        <w:jc w:val="left"/>
        <w:rPr>
          <w:rFonts w:ascii="Arial" w:hAnsi="Arial"/>
          <w:sz w:val="20"/>
        </w:rPr>
      </w:pPr>
      <w:r>
        <w:rPr>
          <w:rFonts w:ascii="Arial" w:hAnsi="Arial"/>
          <w:sz w:val="20"/>
        </w:rPr>
        <w:t>In 2022, the Nominating and Corporate Governance Committee engaged Spencer Stuart to help us identify potential nominees to our Board and requested that Spencer Stuart present diverse candidates in their slate of recommendations, including gender and ethnic/racial diversity. We appointed Carol N. Brown to our Board in March 2022.</w:t>
      </w:r>
    </w:p>
    <w:p>
      <w:pPr>
        <w:pStyle w:val="TextBody"/>
        <w:jc w:val="left"/>
        <w:rPr/>
      </w:pPr>
      <w:r>
        <w:rPr>
          <w:rStyle w:val="StrongEmphasis"/>
          <w:rFonts w:ascii="Arial" w:hAnsi="Arial"/>
          <w:color w:val="8EAD3C"/>
          <w:sz w:val="20"/>
        </w:rPr>
        <w:t>Role of Third Party Advisors in Director Recruitment Process</w:t>
      </w:r>
    </w:p>
    <w:p>
      <w:pPr>
        <w:pStyle w:val="TextBody"/>
        <w:jc w:val="left"/>
        <w:rPr>
          <w:rFonts w:ascii="Arial" w:hAnsi="Arial"/>
          <w:sz w:val="20"/>
        </w:rPr>
      </w:pPr>
      <w:r>
        <w:rPr>
          <w:rFonts w:ascii="Arial" w:hAnsi="Arial"/>
          <w:sz w:val="20"/>
        </w:rPr>
        <w:t>FTI Consulting, Inc., or FTI Consulting, and Spencer Stuart have assisted us in the initial search, screening, interviewing and vetting of potential new directors. FTI Consulting worked closely with our Nominating and Corporate Governance Committee in connection with the additions of Craig Hatkoff in 2011, Betsy S. Atkins in 2015 and Lauren B. Dillard in 2016, and Spencer Stuart worked closely with our Nominating and Corporate Governance Committee in connection with the addition of Carol N. Brown in 2022.</w:t>
      </w:r>
    </w:p>
    <w:p>
      <w:pPr>
        <w:pStyle w:val="TextBody"/>
        <w:jc w:val="left"/>
        <w:rPr/>
      </w:pPr>
      <w:r>
        <w:rPr>
          <w:rStyle w:val="StrongEmphasis"/>
          <w:rFonts w:ascii="Arial" w:hAnsi="Arial"/>
          <w:color w:val="8EAD3C"/>
          <w:sz w:val="20"/>
        </w:rPr>
        <w:t>Stockholder Recommendations of Director Candidates</w:t>
      </w:r>
    </w:p>
    <w:p>
      <w:pPr>
        <w:pStyle w:val="TextBody"/>
        <w:jc w:val="left"/>
        <w:rPr>
          <w:rFonts w:ascii="Arial" w:hAnsi="Arial"/>
          <w:sz w:val="20"/>
        </w:rPr>
      </w:pPr>
      <w:r>
        <w:rPr>
          <w:rFonts w:ascii="Arial" w:hAnsi="Arial"/>
          <w:sz w:val="20"/>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all other candidates. Any recommendations by stockholders are to follow the procedures outlined under “Other Information—Other Matters—Stockholder Proposals and Nominations” in this proxy statement and should provide the reasons supporting a candidate’s recommendation, the candidate’s qualifications and the candidate’s written consent to being considered as a director nominee.</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945" w:type="dxa"/>
        <w:jc w:val="left"/>
        <w:tblInd w:w="0" w:type="dxa"/>
        <w:tblCellMar>
          <w:top w:w="0" w:type="dxa"/>
          <w:left w:w="0" w:type="dxa"/>
          <w:bottom w:w="0" w:type="dxa"/>
          <w:right w:w="0" w:type="dxa"/>
        </w:tblCellMar>
      </w:tblPr>
      <w:tblGrid>
        <w:gridCol w:w="4655"/>
        <w:gridCol w:w="290"/>
      </w:tblGrid>
      <w:tr>
        <w:trPr/>
        <w:tc>
          <w:tcPr>
            <w:tcW w:w="4655" w:type="dxa"/>
            <w:tcBorders/>
            <w:shd w:fill="auto" w:val="clear"/>
            <w:vAlign w:val="center"/>
          </w:tcPr>
          <w:p>
            <w:pPr>
              <w:pStyle w:val="TableContents"/>
              <w:spacing w:before="0" w:after="283"/>
              <w:jc w:val="left"/>
              <w:rPr>
                <w:rFonts w:ascii="Arial" w:hAnsi="Arial"/>
                <w:sz w:val="15"/>
              </w:rPr>
            </w:pPr>
            <w:r>
              <w:rPr>
                <w:rFonts w:ascii="Arial" w:hAnsi="Arial"/>
                <w:b/>
                <w:sz w:val="15"/>
              </w:rPr>
              <w:t>OUR BOARD OF DIRECTORS AND CORPORATE GOVERNANCE</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23</w:t>
            </w:r>
          </w:p>
        </w:tc>
      </w:tr>
    </w:tbl>
    <w:p>
      <w:pPr>
        <w:pStyle w:val="TextBody"/>
        <w:spacing w:before="240" w:after="283"/>
        <w:jc w:val="left"/>
        <w:rPr/>
      </w:pPr>
      <w:bookmarkStart w:id="12" w:name="pg_BoardStructureandIndependence"/>
      <w:bookmarkEnd w:id="12"/>
      <w:r>
        <w:rPr>
          <w:rStyle w:val="StrongEmphasis"/>
          <w:rFonts w:ascii="Arial" w:hAnsi="Arial"/>
          <w:color w:val="8EAD3C"/>
          <w:sz w:val="32"/>
        </w:rPr>
        <w:t>BOARD STRUCTURE AND INDEPENDENCE</w:t>
      </w:r>
    </w:p>
    <w:p>
      <w:pPr>
        <w:pStyle w:val="TextBody"/>
        <w:jc w:val="left"/>
        <w:rPr/>
      </w:pPr>
      <w:r>
        <w:rPr>
          <w:rStyle w:val="StrongEmphasis"/>
          <w:rFonts w:ascii="Arial" w:hAnsi="Arial"/>
          <w:color w:val="1A2343"/>
          <w:sz w:val="26"/>
        </w:rPr>
        <w:t>Board Leadership Structure</w:t>
      </w:r>
    </w:p>
    <w:p>
      <w:pPr>
        <w:pStyle w:val="TextBody"/>
        <w:jc w:val="left"/>
        <w:rPr>
          <w:rFonts w:ascii="Arial" w:hAnsi="Arial"/>
          <w:sz w:val="20"/>
        </w:rPr>
      </w:pPr>
      <w:r>
        <w:rPr>
          <w:rFonts w:ascii="Arial" w:hAnsi="Arial"/>
          <w:sz w:val="20"/>
        </w:rPr>
        <w:t>The Board currently consists of ten members. The current leadership structure of the Board consists of Marc Holliday, who serves as the Chairman of the Board and our Chief Executive Officer, John Alschuler, who serves as our Lead Independent Director, and the independent directors who serve as Chairs for the Audit Committee, Compensation Committee and Nominating and Corporate Governance Committee of the Board. With nearly 20 years of experience leading the Company, Mr. Holliday is uniquely qualified to serve as the Chairman of the Board, and the Board believes that Mr. Holliday’s combined role as Chairman of the Board and Chief Executive Officer, together with the participation of other members of management and independent directors in its leadership structure, helps promote unified leadership and direction for the Company and the Board while also ensuring appropriate independent oversight of management by the Board.</w:t>
      </w:r>
    </w:p>
    <w:p>
      <w:pPr>
        <w:pStyle w:val="TextBody"/>
        <w:jc w:val="left"/>
        <w:rPr/>
      </w:pPr>
      <w:r>
        <w:rPr>
          <w:rStyle w:val="StrongEmphasis"/>
          <w:rFonts w:ascii="Arial" w:hAnsi="Arial"/>
          <w:color w:val="1A2343"/>
          <w:sz w:val="26"/>
        </w:rPr>
        <w:t>Lead Independent Director</w:t>
      </w:r>
    </w:p>
    <w:p>
      <w:pPr>
        <w:pStyle w:val="TextBody"/>
        <w:jc w:val="left"/>
        <w:rPr>
          <w:rFonts w:ascii="Arial" w:hAnsi="Arial"/>
          <w:sz w:val="20"/>
        </w:rPr>
      </w:pPr>
      <w:r>
        <w:rPr>
          <w:rFonts w:ascii="Arial" w:hAnsi="Arial"/>
          <w:sz w:val="20"/>
        </w:rPr>
        <w:t>The Board believes that having a Lead Independent Director improves the overall functioning of the Board and strengthens the ability of the independent directors to effectively exercise independent oversight of management during periods when the Chairman of the Board is not an independent director. The Lead Independent Director is appointed by the independent directors on the Board, and has a number of responsibilities that help facilitate communication among our independent directors and between our independent directors and our Chief Executive Officer and Chairman, and ensure appropriate independent oversight of management by the Board.</w:t>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1619885" cy="3793490"/>
                <wp:effectExtent l="0" t="0" r="0" b="0"/>
                <wp:wrapSquare wrapText="largest"/>
                <wp:docPr id="382" name="Frame27"/>
                <a:graphic xmlns:a="http://schemas.openxmlformats.org/drawingml/2006/main">
                  <a:graphicData uri="http://schemas.microsoft.com/office/word/2010/wordprocessingShape">
                    <wps:wsp>
                      <wps:cNvSpPr txBox="1"/>
                      <wps:spPr>
                        <a:xfrm>
                          <a:off x="0" y="0"/>
                          <a:ext cx="1619885" cy="3793490"/>
                        </a:xfrm>
                        <a:prstGeom prst="rect"/>
                      </wps:spPr>
                      <wps:txbx>
                        <w:txbxContent>
                          <w:tbl>
                            <w:tblPr>
                              <w:tblW w:w="2025" w:type="dxa"/>
                              <w:jc w:val="left"/>
                              <w:tblInd w:w="0" w:type="dxa"/>
                              <w:tblCellMar>
                                <w:top w:w="0" w:type="dxa"/>
                                <w:left w:w="0" w:type="dxa"/>
                                <w:bottom w:w="0" w:type="dxa"/>
                                <w:right w:w="28" w:type="dxa"/>
                              </w:tblCellMar>
                            </w:tblPr>
                            <w:tblGrid>
                              <w:gridCol w:w="190"/>
                              <w:gridCol w:w="1655"/>
                              <w:gridCol w:w="180"/>
                            </w:tblGrid>
                            <w:tr>
                              <w:trPr/>
                              <w:tc>
                                <w:tcPr>
                                  <w:tcW w:w="190" w:type="dxa"/>
                                  <w:tcBorders>
                                    <w:right w:val="single" w:sz="32" w:space="0" w:color="8EAD3C"/>
                                  </w:tcBorders>
                                  <w:shd w:fill="auto" w:val="clear"/>
                                  <w:vAlign w:val="center"/>
                                </w:tcPr>
                                <w:p>
                                  <w:pPr>
                                    <w:pStyle w:val="TableContents"/>
                                    <w:spacing w:before="0" w:after="283"/>
                                    <w:jc w:val="left"/>
                                    <w:rPr/>
                                  </w:pPr>
                                  <w:r>
                                    <w:rPr/>
                                    <w:t>   </w:t>
                                  </w:r>
                                </w:p>
                              </w:tc>
                              <w:tc>
                                <w:tcPr>
                                  <w:tcW w:w="1655"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845" w:type="dxa"/>
                                  <w:gridSpan w:val="2"/>
                                  <w:tcBorders/>
                                  <w:shd w:fill="1A2343" w:val="clear"/>
                                  <w:tcMar>
                                    <w:right w:w="0" w:type="dxa"/>
                                  </w:tcMar>
                                  <w:vAlign w:val="center"/>
                                </w:tcPr>
                                <w:p>
                                  <w:pPr>
                                    <w:pStyle w:val="TableContents"/>
                                    <w:jc w:val="left"/>
                                    <w:rPr/>
                                  </w:pPr>
                                  <w:r>
                                    <w:rPr/>
                                    <w:drawing>
                                      <wp:inline distT="0" distB="0" distL="0" distR="0">
                                        <wp:extent cx="1171575" cy="1409700"/>
                                        <wp:effectExtent l="0" t="0" r="0" b="0"/>
                                        <wp:docPr id="383"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262" descr=""/>
                                                <pic:cNvPicPr>
                                                  <a:picLocks noChangeAspect="1" noChangeArrowheads="1"/>
                                                </pic:cNvPicPr>
                                              </pic:nvPicPr>
                                              <pic:blipFill>
                                                <a:blip r:embed="rId263"/>
                                                <a:srcRect l="-860" t="-715" r="-860" b="-715"/>
                                                <a:stretch>
                                                  <a:fillRect/>
                                                </a:stretch>
                                              </pic:blipFill>
                                              <pic:spPr bwMode="auto">
                                                <a:xfrm>
                                                  <a:off x="0" y="0"/>
                                                  <a:ext cx="1171575" cy="1409700"/>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4"/>
                                    </w:rPr>
                                    <w:t>JOHN H.</w:t>
                                    <w:br/>
                                    <w:t>ALSCHULER</w:t>
                                  </w:r>
                                </w:p>
                                <w:p>
                                  <w:pPr>
                                    <w:pStyle w:val="TableContents"/>
                                    <w:jc w:val="left"/>
                                    <w:rPr/>
                                  </w:pPr>
                                  <w:r>
                                    <w:rPr>
                                      <w:rStyle w:val="StrongEmphasis"/>
                                      <w:rFonts w:ascii="Arial" w:hAnsi="Arial"/>
                                      <w:color w:val="FFFFFF"/>
                                      <w:sz w:val="20"/>
                                    </w:rPr>
                                    <w:t>Lead Independent</w:t>
                                  </w:r>
                                </w:p>
                                <w:p>
                                  <w:pPr>
                                    <w:pStyle w:val="TableContents"/>
                                    <w:spacing w:before="0" w:after="283"/>
                                    <w:jc w:val="left"/>
                                    <w:rPr/>
                                  </w:pPr>
                                  <w:r>
                                    <w:rPr>
                                      <w:rStyle w:val="StrongEmphasis"/>
                                      <w:rFonts w:ascii="Arial" w:hAnsi="Arial"/>
                                      <w:color w:val="FFFFFF"/>
                                      <w:sz w:val="20"/>
                                    </w:rPr>
                                    <w:t>Director since 2010</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190" w:type="dxa"/>
                                  <w:tcBorders/>
                                  <w:shd w:fill="auto" w:val="clear"/>
                                  <w:tcMar>
                                    <w:right w:w="0" w:type="dxa"/>
                                  </w:tcMar>
                                  <w:vAlign w:val="center"/>
                                </w:tcPr>
                                <w:p>
                                  <w:pPr>
                                    <w:pStyle w:val="TableContents"/>
                                    <w:spacing w:before="0" w:after="283"/>
                                    <w:jc w:val="left"/>
                                    <w:rPr/>
                                  </w:pPr>
                                  <w:r>
                                    <w:rPr/>
                                    <w:t> </w:t>
                                  </w:r>
                                </w:p>
                              </w:tc>
                              <w:tc>
                                <w:tcPr>
                                  <w:tcW w:w="1655"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25000</wp14:pctWidth>
                </wp14:sizeRelH>
              </wp:anchor>
            </w:drawing>
          </mc:Choice>
          <mc:Fallback>
            <w:pict>
              <v:rect style="position:absolute;rotation:0;width:127.55pt;height:298.7pt;mso-wrap-distance-left:0pt;mso-wrap-distance-right:0pt;mso-wrap-distance-top:0pt;mso-wrap-distance-bottom:0pt;margin-top:0pt;mso-position-vertical:top;mso-position-vertical-relative:text;margin-left:0pt;mso-position-horizontal:left;mso-position-horizontal-relative:text">
                <v:textbox>
                  <w:txbxContent>
                    <w:tbl>
                      <w:tblPr>
                        <w:tblW w:w="2025" w:type="dxa"/>
                        <w:jc w:val="left"/>
                        <w:tblInd w:w="0" w:type="dxa"/>
                        <w:tblCellMar>
                          <w:top w:w="0" w:type="dxa"/>
                          <w:left w:w="0" w:type="dxa"/>
                          <w:bottom w:w="0" w:type="dxa"/>
                          <w:right w:w="28" w:type="dxa"/>
                        </w:tblCellMar>
                      </w:tblPr>
                      <w:tblGrid>
                        <w:gridCol w:w="190"/>
                        <w:gridCol w:w="1655"/>
                        <w:gridCol w:w="180"/>
                      </w:tblGrid>
                      <w:tr>
                        <w:trPr/>
                        <w:tc>
                          <w:tcPr>
                            <w:tcW w:w="190" w:type="dxa"/>
                            <w:tcBorders>
                              <w:right w:val="single" w:sz="32" w:space="0" w:color="8EAD3C"/>
                            </w:tcBorders>
                            <w:shd w:fill="auto" w:val="clear"/>
                            <w:vAlign w:val="center"/>
                          </w:tcPr>
                          <w:p>
                            <w:pPr>
                              <w:pStyle w:val="TableContents"/>
                              <w:spacing w:before="0" w:after="283"/>
                              <w:jc w:val="left"/>
                              <w:rPr/>
                            </w:pPr>
                            <w:r>
                              <w:rPr/>
                              <w:t>   </w:t>
                            </w:r>
                          </w:p>
                        </w:tc>
                        <w:tc>
                          <w:tcPr>
                            <w:tcW w:w="1655"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845" w:type="dxa"/>
                            <w:gridSpan w:val="2"/>
                            <w:tcBorders/>
                            <w:shd w:fill="1A2343" w:val="clear"/>
                            <w:tcMar>
                              <w:right w:w="0" w:type="dxa"/>
                            </w:tcMar>
                            <w:vAlign w:val="center"/>
                          </w:tcPr>
                          <w:p>
                            <w:pPr>
                              <w:pStyle w:val="TableContents"/>
                              <w:jc w:val="left"/>
                              <w:rPr/>
                            </w:pPr>
                            <w:r>
                              <w:rPr/>
                              <w:drawing>
                                <wp:inline distT="0" distB="0" distL="0" distR="0">
                                  <wp:extent cx="1171575" cy="1409700"/>
                                  <wp:effectExtent l="0" t="0" r="0" b="0"/>
                                  <wp:docPr id="384"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262" descr=""/>
                                          <pic:cNvPicPr>
                                            <a:picLocks noChangeAspect="1" noChangeArrowheads="1"/>
                                          </pic:cNvPicPr>
                                        </pic:nvPicPr>
                                        <pic:blipFill>
                                          <a:blip r:embed="rId263"/>
                                          <a:srcRect l="-860" t="-715" r="-860" b="-715"/>
                                          <a:stretch>
                                            <a:fillRect/>
                                          </a:stretch>
                                        </pic:blipFill>
                                        <pic:spPr bwMode="auto">
                                          <a:xfrm>
                                            <a:off x="0" y="0"/>
                                            <a:ext cx="1171575" cy="1409700"/>
                                          </a:xfrm>
                                          <a:prstGeom prst="rect">
                                            <a:avLst/>
                                          </a:prstGeom>
                                          <a:ln w="635">
                                            <a:solidFill>
                                              <a:srgbClr val="000000"/>
                                            </a:solidFill>
                                          </a:ln>
                                        </pic:spPr>
                                      </pic:pic>
                                    </a:graphicData>
                                  </a:graphic>
                                </wp:inline>
                              </w:drawing>
                            </w:r>
                          </w:p>
                          <w:p>
                            <w:pPr>
                              <w:pStyle w:val="TableContents"/>
                              <w:jc w:val="left"/>
                              <w:rPr/>
                            </w:pPr>
                            <w:r>
                              <w:rPr>
                                <w:rStyle w:val="StrongEmphasis"/>
                                <w:rFonts w:ascii="Arial" w:hAnsi="Arial"/>
                                <w:color w:val="FFFFFF"/>
                                <w:sz w:val="24"/>
                              </w:rPr>
                              <w:t>JOHN H.</w:t>
                              <w:br/>
                              <w:t>ALSCHULER</w:t>
                            </w:r>
                          </w:p>
                          <w:p>
                            <w:pPr>
                              <w:pStyle w:val="TableContents"/>
                              <w:jc w:val="left"/>
                              <w:rPr/>
                            </w:pPr>
                            <w:r>
                              <w:rPr>
                                <w:rStyle w:val="StrongEmphasis"/>
                                <w:rFonts w:ascii="Arial" w:hAnsi="Arial"/>
                                <w:color w:val="FFFFFF"/>
                                <w:sz w:val="20"/>
                              </w:rPr>
                              <w:t>Lead Independent</w:t>
                            </w:r>
                          </w:p>
                          <w:p>
                            <w:pPr>
                              <w:pStyle w:val="TableContents"/>
                              <w:spacing w:before="0" w:after="283"/>
                              <w:jc w:val="left"/>
                              <w:rPr/>
                            </w:pPr>
                            <w:r>
                              <w:rPr>
                                <w:rStyle w:val="StrongEmphasis"/>
                                <w:rFonts w:ascii="Arial" w:hAnsi="Arial"/>
                                <w:color w:val="FFFFFF"/>
                                <w:sz w:val="20"/>
                              </w:rPr>
                              <w:t>Director since 2010</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190" w:type="dxa"/>
                            <w:tcBorders/>
                            <w:shd w:fill="auto" w:val="clear"/>
                            <w:tcMar>
                              <w:right w:w="0" w:type="dxa"/>
                            </w:tcMar>
                            <w:vAlign w:val="center"/>
                          </w:tcPr>
                          <w:p>
                            <w:pPr>
                              <w:pStyle w:val="TableContents"/>
                              <w:spacing w:before="0" w:after="283"/>
                              <w:jc w:val="left"/>
                              <w:rPr/>
                            </w:pPr>
                            <w:r>
                              <w:rPr/>
                              <w:t> </w:t>
                            </w:r>
                          </w:p>
                        </w:tc>
                        <w:tc>
                          <w:tcPr>
                            <w:tcW w:w="1655"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0">
                <wp:simplePos x="0" y="0"/>
                <wp:positionH relativeFrom="column">
                  <wp:align>right</wp:align>
                </wp:positionH>
                <wp:positionV relativeFrom="line">
                  <wp:posOffset>635</wp:posOffset>
                </wp:positionV>
                <wp:extent cx="4600575" cy="6469380"/>
                <wp:effectExtent l="0" t="0" r="0" b="0"/>
                <wp:wrapSquare wrapText="largest"/>
                <wp:docPr id="385" name="Frame28"/>
                <a:graphic xmlns:a="http://schemas.openxmlformats.org/drawingml/2006/main">
                  <a:graphicData uri="http://schemas.microsoft.com/office/word/2010/wordprocessingShape">
                    <wps:wsp>
                      <wps:cNvSpPr txBox="1"/>
                      <wps:spPr>
                        <a:xfrm>
                          <a:off x="0" y="0"/>
                          <a:ext cx="4600575" cy="6469380"/>
                        </a:xfrm>
                        <a:prstGeom prst="rect"/>
                      </wps:spPr>
                      <wps:txbx>
                        <w:txbxContent>
                          <w:p>
                            <w:pPr>
                              <w:pStyle w:val="TextBody"/>
                              <w:spacing w:before="0" w:after="283"/>
                              <w:jc w:val="left"/>
                              <w:rPr/>
                            </w:pPr>
                            <w:r>
                              <w:rPr>
                                <w:rStyle w:val="StrongEmphasis"/>
                                <w:rFonts w:ascii="Arial" w:hAnsi="Arial"/>
                                <w:color w:val="8EAD3C"/>
                                <w:sz w:val="22"/>
                              </w:rPr>
                              <w:t>Role of the Lead Independent Director</w:t>
                            </w:r>
                          </w:p>
                          <w:p>
                            <w:pPr>
                              <w:pStyle w:val="TextBody"/>
                              <w:jc w:val="left"/>
                              <w:rPr>
                                <w:rFonts w:ascii="Arial" w:hAnsi="Arial"/>
                                <w:sz w:val="20"/>
                              </w:rPr>
                            </w:pPr>
                            <w:r>
                              <w:rPr>
                                <w:rFonts w:ascii="Arial" w:hAnsi="Arial"/>
                                <w:sz w:val="20"/>
                              </w:rPr>
                              <w:t>In addition to presiding at executive sessions of independent directors, the Lead Independent Director has the responsibility to:</w:t>
                            </w:r>
                          </w:p>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1.</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consult with the Chairman of the Board and Chief Executive Officer as to an appropriate schedule and agenda for each Board meeting, seeking to ensure that the independent directors can perform their duties effectively and responsibly;</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2.</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ensure that the independent directors have adequate resources, especially by way of full, timely and relevant information to support their decision making;</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3.</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advise the Chief Executive Officer and Chairman as to the quality, quantity and timeliness of the information submitted by the Company’s management that is necessary or appropriate for the independent directors to effectively and responsibly perform their duties;</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4.</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recommend to the Board and the Board Committees the retention of advisers and consultants who report directly to the Board;</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5.</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ensure that independent directors have adequate opportunities to meet and discuss issues in sessions of the independent directors without management present and, as appropriate, call meetings of the Independent Directors;</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6.</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serve as Chairman of the sessions of the independent directors;</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7.</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serve as principal liaison between the independent directors and the Chief Executive Officer and Chairman of the Company and between the independent directors and senior management;</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8.</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communicate to management, as appropriate, the results of private discussions among independent directors;</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9.</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chair the meetings of the Board when the Chairman is not present;</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10.</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with respect to questions and comments directed to the Lead Independent Director or to the independent directors as a group, determine the appropriate means of response, with such consultation with the Chief Executive Officer and Chairman and other directors as the Lead Independent Director may deem appropriate; and</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11.</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perform such other duties as the Board from time to time may delegate.</w:t>
                                  </w:r>
                                </w:p>
                              </w:tc>
                            </w:tr>
                          </w:tbl>
                          <w:p>
                            <w:pPr>
                              <w:pStyle w:val="TextBody"/>
                              <w:spacing w:before="0" w:after="283"/>
                              <w:rPr/>
                            </w:pPr>
                            <w:r>
                              <w:rPr/>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509.4pt;mso-wrap-distance-left:0pt;mso-wrap-distance-right:0pt;mso-wrap-distance-top:0pt;mso-wrap-distance-bottom:0pt;margin-top:0pt;mso-position-vertical:top;mso-position-vertical-relative:text;margin-left:148pt;mso-position-horizontal:right;mso-position-horizontal-relative:text">
                <v:textbox>
                  <w:txbxContent>
                    <w:p>
                      <w:pPr>
                        <w:pStyle w:val="TextBody"/>
                        <w:spacing w:before="0" w:after="283"/>
                        <w:jc w:val="left"/>
                        <w:rPr/>
                      </w:pPr>
                      <w:r>
                        <w:rPr>
                          <w:rStyle w:val="StrongEmphasis"/>
                          <w:rFonts w:ascii="Arial" w:hAnsi="Arial"/>
                          <w:color w:val="8EAD3C"/>
                          <w:sz w:val="22"/>
                        </w:rPr>
                        <w:t>Role of the Lead Independent Director</w:t>
                      </w:r>
                    </w:p>
                    <w:p>
                      <w:pPr>
                        <w:pStyle w:val="TextBody"/>
                        <w:jc w:val="left"/>
                        <w:rPr>
                          <w:rFonts w:ascii="Arial" w:hAnsi="Arial"/>
                          <w:sz w:val="20"/>
                        </w:rPr>
                      </w:pPr>
                      <w:r>
                        <w:rPr>
                          <w:rFonts w:ascii="Arial" w:hAnsi="Arial"/>
                          <w:sz w:val="20"/>
                        </w:rPr>
                        <w:t>In addition to presiding at executive sessions of independent directors, the Lead Independent Director has the responsibility to:</w:t>
                      </w:r>
                    </w:p>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1.</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consult with the Chairman of the Board and Chief Executive Officer as to an appropriate schedule and agenda for each Board meeting, seeking to ensure that the independent directors can perform their duties effectively and responsibly;</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2.</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ensure that the independent directors have adequate resources, especially by way of full, timely and relevant information to support their decision making;</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3.</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advise the Chief Executive Officer and Chairman as to the quality, quantity and timeliness of the information submitted by the Company’s management that is necessary or appropriate for the independent directors to effectively and responsibly perform their duties;</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4.</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recommend to the Board and the Board Committees the retention of advisers and consultants who report directly to the Board;</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5.</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ensure that independent directors have adequate opportunities to meet and discuss issues in sessions of the independent directors without management present and, as appropriate, call meetings of the Independent Directors;</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6.</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serve as Chairman of the sessions of the independent directors;</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7.</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serve as principal liaison between the independent directors and the Chief Executive Officer and Chairman of the Company and between the independent directors and senior management;</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8.</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communicate to management, as appropriate, the results of private discussions among independent directors;</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9.</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chair the meetings of the Board when the Chairman is not present;</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10.</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with respect to questions and comments directed to the Lead Independent Director or to the independent directors as a group, determine the appropriate means of response, with such consultation with the Chief Executive Officer and Chairman and other directors as the Lead Independent Director may deem appropriate; and</w:t>
                            </w:r>
                          </w:p>
                        </w:tc>
                      </w:tr>
                      <w:tr>
                        <w:trPr/>
                        <w:tc>
                          <w:tcPr>
                            <w:tcW w:w="249" w:type="dxa"/>
                            <w:tcBorders/>
                            <w:shd w:fill="auto" w:val="clear"/>
                            <w:vAlign w:val="center"/>
                          </w:tcPr>
                          <w:p>
                            <w:pPr>
                              <w:pStyle w:val="TableContents"/>
                              <w:spacing w:before="0" w:after="283"/>
                              <w:jc w:val="right"/>
                              <w:rPr>
                                <w:rFonts w:ascii="Arial" w:hAnsi="Arial"/>
                                <w:color w:val="1A2343"/>
                                <w:sz w:val="20"/>
                              </w:rPr>
                            </w:pPr>
                            <w:r>
                              <w:rPr>
                                <w:rFonts w:ascii="Arial" w:hAnsi="Arial"/>
                                <w:color w:val="1A2343"/>
                                <w:sz w:val="20"/>
                              </w:rPr>
                              <w:t>11.</w:t>
                            </w:r>
                          </w:p>
                        </w:tc>
                        <w:tc>
                          <w:tcPr>
                            <w:tcW w:w="9956" w:type="dxa"/>
                            <w:tcBorders/>
                            <w:shd w:fill="auto" w:val="clear"/>
                            <w:vAlign w:val="center"/>
                          </w:tcPr>
                          <w:p>
                            <w:pPr>
                              <w:pStyle w:val="TableContents"/>
                              <w:spacing w:before="0" w:after="283"/>
                              <w:jc w:val="left"/>
                              <w:rPr>
                                <w:rFonts w:ascii="Arial" w:hAnsi="Arial"/>
                                <w:sz w:val="20"/>
                              </w:rPr>
                            </w:pPr>
                            <w:r>
                              <w:rPr>
                                <w:rFonts w:ascii="Arial" w:hAnsi="Arial"/>
                                <w:sz w:val="20"/>
                              </w:rPr>
                              <w:t>perform such other duties as the Board from time to time may delegate.</w:t>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24</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pPr>
      <w:r>
        <w:rPr>
          <w:rStyle w:val="StrongEmphasis"/>
          <w:rFonts w:ascii="Arial" w:hAnsi="Arial"/>
          <w:color w:val="1A2343"/>
          <w:sz w:val="26"/>
        </w:rPr>
        <w:t>Board and Committee Self-Evaluations</w:t>
      </w:r>
    </w:p>
    <w:p>
      <w:pPr>
        <w:pStyle w:val="TextBody"/>
        <w:jc w:val="left"/>
        <w:rPr>
          <w:rFonts w:ascii="Arial" w:hAnsi="Arial"/>
          <w:sz w:val="20"/>
        </w:rPr>
      </w:pPr>
      <w:r>
        <w:rPr>
          <w:rFonts w:ascii="Arial" w:hAnsi="Arial"/>
          <w:sz w:val="20"/>
        </w:rPr>
        <w:t>The Board believes that good governance can only be achieved through rigorous self-evaluation. Each year, our Nominating and Corporate Governance Committee establishes formal self-assessment procedures that are consistent with our Governance Principles, NYSE listing requirements and best practices identified during prior self-evaluations. The Board also engages with stockholders and third party advisers throughout the year to discuss corporate governance practices, and to ensure that the Board and its committees follow practices that are optimal for the Company and its stockholders while also delivering superior total return.</w:t>
      </w:r>
    </w:p>
    <w:p>
      <w:pPr>
        <w:pStyle w:val="TextBody"/>
        <w:jc w:val="left"/>
        <w:rPr/>
      </w:pPr>
      <w:r>
        <w:rPr>
          <w:rStyle w:val="StrongEmphasis"/>
          <w:rFonts w:ascii="Arial" w:hAnsi="Arial"/>
          <w:color w:val="8EAD3C"/>
          <w:sz w:val="22"/>
        </w:rPr>
        <w:t>Board Evaluation Process</w:t>
      </w:r>
    </w:p>
    <w:tbl>
      <w:tblPr>
        <w:tblW w:w="10205" w:type="dxa"/>
        <w:jc w:val="left"/>
        <w:tblInd w:w="0" w:type="dxa"/>
        <w:tblCellMar>
          <w:top w:w="28" w:type="dxa"/>
          <w:left w:w="0" w:type="dxa"/>
          <w:bottom w:w="0" w:type="dxa"/>
          <w:right w:w="0" w:type="dxa"/>
        </w:tblCellMar>
      </w:tblPr>
      <w:tblGrid>
        <w:gridCol w:w="3136"/>
        <w:gridCol w:w="3885"/>
        <w:gridCol w:w="3184"/>
      </w:tblGrid>
      <w:tr>
        <w:trPr/>
        <w:tc>
          <w:tcPr>
            <w:tcW w:w="3136" w:type="dxa"/>
            <w:tcBorders>
              <w:top w:val="single" w:sz="8" w:space="0" w:color="8EAD3C"/>
            </w:tcBorders>
            <w:shd w:fill="auto" w:val="clear"/>
            <w:vAlign w:val="center"/>
          </w:tcPr>
          <w:p>
            <w:pPr>
              <w:pStyle w:val="TableContents"/>
              <w:spacing w:before="0" w:after="283"/>
              <w:jc w:val="left"/>
              <w:rPr/>
            </w:pPr>
            <w:r>
              <w:rPr/>
              <w:t>     </w:t>
            </w:r>
          </w:p>
        </w:tc>
        <w:tc>
          <w:tcPr>
            <w:tcW w:w="3885" w:type="dxa"/>
            <w:tcBorders>
              <w:top w:val="single" w:sz="8" w:space="0" w:color="8EAD3C"/>
            </w:tcBorders>
            <w:shd w:fill="auto" w:val="clear"/>
            <w:vAlign w:val="center"/>
          </w:tcPr>
          <w:p>
            <w:pPr>
              <w:pStyle w:val="TableContents"/>
              <w:spacing w:before="0" w:after="283"/>
              <w:rPr>
                <w:sz w:val="4"/>
                <w:szCs w:val="4"/>
              </w:rPr>
            </w:pPr>
            <w:r>
              <w:rPr>
                <w:sz w:val="4"/>
                <w:szCs w:val="4"/>
              </w:rPr>
            </w:r>
          </w:p>
        </w:tc>
        <w:tc>
          <w:tcPr>
            <w:tcW w:w="3184" w:type="dxa"/>
            <w:tcBorders>
              <w:top w:val="single" w:sz="8" w:space="0" w:color="8EAD3C"/>
            </w:tcBorders>
            <w:shd w:fill="auto" w:val="clear"/>
            <w:vAlign w:val="center"/>
          </w:tcPr>
          <w:p>
            <w:pPr>
              <w:pStyle w:val="TableContents"/>
              <w:spacing w:before="0" w:after="283"/>
              <w:rPr>
                <w:sz w:val="4"/>
                <w:szCs w:val="4"/>
              </w:rPr>
            </w:pPr>
            <w:r>
              <w:rPr>
                <w:sz w:val="4"/>
                <w:szCs w:val="4"/>
              </w:rPr>
            </w:r>
          </w:p>
        </w:tc>
      </w:tr>
      <w:tr>
        <w:trPr/>
        <w:tc>
          <w:tcPr>
            <w:tcW w:w="3136" w:type="dxa"/>
            <w:tcBorders/>
            <w:shd w:fill="auto" w:val="clear"/>
            <w:tcMar>
              <w:top w:w="0" w:type="dxa"/>
            </w:tcMar>
            <w:vAlign w:val="center"/>
          </w:tcPr>
          <w:p>
            <w:pPr>
              <w:pStyle w:val="TableContents"/>
              <w:spacing w:before="0" w:after="283"/>
              <w:jc w:val="left"/>
              <w:rPr/>
            </w:pPr>
            <w:r>
              <w:rPr/>
              <w:drawing>
                <wp:inline distT="0" distB="0" distL="0" distR="0">
                  <wp:extent cx="257175" cy="247650"/>
                  <wp:effectExtent l="0" t="0" r="0" b="0"/>
                  <wp:docPr id="386"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263" descr=""/>
                          <pic:cNvPicPr>
                            <a:picLocks noChangeAspect="1" noChangeArrowheads="1"/>
                          </pic:cNvPicPr>
                        </pic:nvPicPr>
                        <pic:blipFill>
                          <a:blip r:embed="rId264"/>
                          <a:srcRect l="-3921" t="-4069" r="-3921" b="-4069"/>
                          <a:stretch>
                            <a:fillRect/>
                          </a:stretch>
                        </pic:blipFill>
                        <pic:spPr bwMode="auto">
                          <a:xfrm>
                            <a:off x="0" y="0"/>
                            <a:ext cx="257175" cy="247650"/>
                          </a:xfrm>
                          <a:prstGeom prst="rect">
                            <a:avLst/>
                          </a:prstGeom>
                          <a:ln w="635">
                            <a:solidFill>
                              <a:srgbClr val="000000"/>
                            </a:solidFill>
                          </a:ln>
                        </pic:spPr>
                      </pic:pic>
                    </a:graphicData>
                  </a:graphic>
                </wp:inline>
              </w:drawing>
            </w:r>
          </w:p>
        </w:tc>
        <w:tc>
          <w:tcPr>
            <w:tcW w:w="3885" w:type="dxa"/>
            <w:tcBorders>
              <w:left w:val="single" w:sz="8" w:space="0" w:color="8EAD3C"/>
              <w:right w:val="single" w:sz="8" w:space="0" w:color="8EAD3C"/>
            </w:tcBorders>
            <w:shd w:fill="auto" w:val="clear"/>
            <w:tcMar>
              <w:top w:w="0" w:type="dxa"/>
              <w:left w:w="120" w:type="dxa"/>
              <w:right w:w="120" w:type="dxa"/>
            </w:tcMar>
            <w:vAlign w:val="center"/>
          </w:tcPr>
          <w:p>
            <w:pPr>
              <w:pStyle w:val="TableContents"/>
              <w:spacing w:before="0" w:after="283"/>
              <w:jc w:val="left"/>
              <w:rPr/>
            </w:pPr>
            <w:r>
              <w:rPr/>
              <w:drawing>
                <wp:inline distT="0" distB="0" distL="0" distR="0">
                  <wp:extent cx="247650" cy="247650"/>
                  <wp:effectExtent l="0" t="0" r="0" b="0"/>
                  <wp:docPr id="387"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264" descr=""/>
                          <pic:cNvPicPr>
                            <a:picLocks noChangeAspect="1" noChangeArrowheads="1"/>
                          </pic:cNvPicPr>
                        </pic:nvPicPr>
                        <pic:blipFill>
                          <a:blip r:embed="rId265"/>
                          <a:srcRect l="-4069" t="-4069" r="-4069" b="-4069"/>
                          <a:stretch>
                            <a:fillRect/>
                          </a:stretch>
                        </pic:blipFill>
                        <pic:spPr bwMode="auto">
                          <a:xfrm>
                            <a:off x="0" y="0"/>
                            <a:ext cx="247650" cy="247650"/>
                          </a:xfrm>
                          <a:prstGeom prst="rect">
                            <a:avLst/>
                          </a:prstGeom>
                          <a:ln w="635">
                            <a:solidFill>
                              <a:srgbClr val="000000"/>
                            </a:solidFill>
                          </a:ln>
                        </pic:spPr>
                      </pic:pic>
                    </a:graphicData>
                  </a:graphic>
                </wp:inline>
              </w:drawing>
            </w:r>
          </w:p>
        </w:tc>
        <w:tc>
          <w:tcPr>
            <w:tcW w:w="3184" w:type="dxa"/>
            <w:tcBorders/>
            <w:shd w:fill="auto" w:val="clear"/>
            <w:tcMar>
              <w:top w:w="0" w:type="dxa"/>
            </w:tcMar>
            <w:vAlign w:val="center"/>
          </w:tcPr>
          <w:p>
            <w:pPr>
              <w:pStyle w:val="TableContents"/>
              <w:spacing w:before="0" w:after="283"/>
              <w:jc w:val="left"/>
              <w:rPr/>
            </w:pPr>
            <w:r>
              <w:rPr/>
              <w:drawing>
                <wp:inline distT="0" distB="0" distL="0" distR="0">
                  <wp:extent cx="238125" cy="238125"/>
                  <wp:effectExtent l="0" t="0" r="0" b="0"/>
                  <wp:docPr id="388"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265" descr=""/>
                          <pic:cNvPicPr>
                            <a:picLocks noChangeAspect="1" noChangeArrowheads="1"/>
                          </pic:cNvPicPr>
                        </pic:nvPicPr>
                        <pic:blipFill>
                          <a:blip r:embed="rId266"/>
                          <a:srcRect l="-4236" t="-4236" r="-4236" b="-4236"/>
                          <a:stretch>
                            <a:fillRect/>
                          </a:stretch>
                        </pic:blipFill>
                        <pic:spPr bwMode="auto">
                          <a:xfrm>
                            <a:off x="0" y="0"/>
                            <a:ext cx="238125" cy="238125"/>
                          </a:xfrm>
                          <a:prstGeom prst="rect">
                            <a:avLst/>
                          </a:prstGeom>
                          <a:ln w="635">
                            <a:solidFill>
                              <a:srgbClr val="000000"/>
                            </a:solidFill>
                          </a:ln>
                        </pic:spPr>
                      </pic:pic>
                    </a:graphicData>
                  </a:graphic>
                </wp:inline>
              </w:drawing>
            </w:r>
          </w:p>
        </w:tc>
      </w:tr>
      <w:tr>
        <w:trPr/>
        <w:tc>
          <w:tcPr>
            <w:tcW w:w="3136" w:type="dxa"/>
            <w:tcBorders/>
            <w:shd w:fill="auto" w:val="clear"/>
            <w:tcMar>
              <w:top w:w="0" w:type="dxa"/>
            </w:tcMar>
            <w:vAlign w:val="center"/>
          </w:tcPr>
          <w:p>
            <w:pPr>
              <w:pStyle w:val="TableContents"/>
              <w:spacing w:before="0" w:after="283"/>
              <w:jc w:val="left"/>
              <w:rPr/>
            </w:pPr>
            <w:r>
              <w:rPr>
                <w:rStyle w:val="StrongEmphasis"/>
                <w:rFonts w:ascii="Arial" w:hAnsi="Arial"/>
                <w:color w:val="1A2343"/>
                <w:sz w:val="20"/>
              </w:rPr>
              <w:t>Initiate Process</w:t>
            </w:r>
          </w:p>
        </w:tc>
        <w:tc>
          <w:tcPr>
            <w:tcW w:w="3885" w:type="dxa"/>
            <w:tcBorders>
              <w:left w:val="single" w:sz="8" w:space="0" w:color="8EAD3C"/>
              <w:right w:val="single" w:sz="8" w:space="0" w:color="8EAD3C"/>
            </w:tcBorders>
            <w:shd w:fill="auto" w:val="clear"/>
            <w:tcMar>
              <w:top w:w="0" w:type="dxa"/>
              <w:left w:w="120" w:type="dxa"/>
              <w:right w:w="120" w:type="dxa"/>
            </w:tcMar>
            <w:vAlign w:val="center"/>
          </w:tcPr>
          <w:p>
            <w:pPr>
              <w:pStyle w:val="TableContents"/>
              <w:spacing w:before="0" w:after="283"/>
              <w:jc w:val="left"/>
              <w:rPr/>
            </w:pPr>
            <w:r>
              <w:rPr>
                <w:rStyle w:val="StrongEmphasis"/>
                <w:rFonts w:ascii="Arial" w:hAnsi="Arial"/>
                <w:color w:val="1A2343"/>
                <w:sz w:val="20"/>
              </w:rPr>
              <w:t>Conduct Evaluation</w:t>
            </w:r>
          </w:p>
        </w:tc>
        <w:tc>
          <w:tcPr>
            <w:tcW w:w="3184" w:type="dxa"/>
            <w:tcBorders/>
            <w:shd w:fill="auto" w:val="clear"/>
            <w:tcMar>
              <w:top w:w="0" w:type="dxa"/>
            </w:tcMar>
            <w:vAlign w:val="center"/>
          </w:tcPr>
          <w:p>
            <w:pPr>
              <w:pStyle w:val="TableContents"/>
              <w:spacing w:before="0" w:after="283"/>
              <w:jc w:val="left"/>
              <w:rPr/>
            </w:pPr>
            <w:r>
              <w:rPr>
                <w:rStyle w:val="StrongEmphasis"/>
                <w:rFonts w:ascii="Arial" w:hAnsi="Arial"/>
                <w:color w:val="1A2343"/>
                <w:sz w:val="20"/>
              </w:rPr>
              <w:t>Implement Conclusions</w:t>
            </w:r>
          </w:p>
        </w:tc>
      </w:tr>
      <w:tr>
        <w:trPr/>
        <w:tc>
          <w:tcPr>
            <w:tcW w:w="3136" w:type="dxa"/>
            <w:tcBorders/>
            <w:shd w:fill="auto" w:val="clear"/>
            <w:tcMar>
              <w:top w:w="0" w:type="dxa"/>
            </w:tcMar>
            <w:vAlign w:val="center"/>
          </w:tcPr>
          <w:p>
            <w:pPr>
              <w:pStyle w:val="TableContents"/>
              <w:spacing w:before="0" w:after="283"/>
              <w:jc w:val="left"/>
              <w:rPr/>
            </w:pPr>
            <w:r>
              <w:rPr/>
              <w:t>     </w:t>
            </w:r>
          </w:p>
        </w:tc>
        <w:tc>
          <w:tcPr>
            <w:tcW w:w="3885" w:type="dxa"/>
            <w:tcBorders>
              <w:left w:val="single" w:sz="8" w:space="0" w:color="8EAD3C"/>
              <w:right w:val="single" w:sz="8" w:space="0" w:color="8EAD3C"/>
            </w:tcBorders>
            <w:shd w:fill="auto" w:val="clear"/>
            <w:tcMar>
              <w:top w:w="0" w:type="dxa"/>
              <w:left w:w="120" w:type="dxa"/>
              <w:right w:w="120" w:type="dxa"/>
            </w:tcMar>
            <w:vAlign w:val="center"/>
          </w:tcPr>
          <w:p>
            <w:pPr>
              <w:pStyle w:val="TableContents"/>
              <w:spacing w:before="0" w:after="283"/>
              <w:rPr>
                <w:sz w:val="4"/>
                <w:szCs w:val="4"/>
              </w:rPr>
            </w:pPr>
            <w:r>
              <w:rPr>
                <w:sz w:val="4"/>
                <w:szCs w:val="4"/>
              </w:rPr>
            </w:r>
          </w:p>
        </w:tc>
        <w:tc>
          <w:tcPr>
            <w:tcW w:w="3184" w:type="dxa"/>
            <w:tcBorders/>
            <w:shd w:fill="auto" w:val="clear"/>
            <w:tcMar>
              <w:top w:w="0" w:type="dxa"/>
            </w:tcMar>
            <w:vAlign w:val="center"/>
          </w:tcPr>
          <w:p>
            <w:pPr>
              <w:pStyle w:val="TableContents"/>
              <w:spacing w:before="0" w:after="283"/>
              <w:rPr>
                <w:sz w:val="4"/>
                <w:szCs w:val="4"/>
              </w:rPr>
            </w:pPr>
            <w:r>
              <w:rPr>
                <w:sz w:val="4"/>
                <w:szCs w:val="4"/>
              </w:rPr>
            </w:r>
          </w:p>
        </w:tc>
      </w:tr>
      <w:tr>
        <w:trPr/>
        <w:tc>
          <w:tcPr>
            <w:tcW w:w="3136" w:type="dxa"/>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NCGC establishes Board and committee self-evaluation process, including incorporation of process improvements from previous review cycles</w:t>
            </w:r>
          </w:p>
        </w:tc>
        <w:tc>
          <w:tcPr>
            <w:tcW w:w="3885" w:type="dxa"/>
            <w:tcBorders>
              <w:left w:val="single" w:sz="8" w:space="0" w:color="8EAD3C"/>
              <w:right w:val="single" w:sz="8" w:space="0" w:color="8EAD3C"/>
            </w:tcBorders>
            <w:shd w:fill="auto" w:val="clear"/>
            <w:tcMar>
              <w:top w:w="0" w:type="dxa"/>
              <w:left w:w="120" w:type="dxa"/>
              <w:right w:w="120" w:type="dxa"/>
            </w:tcMar>
            <w:vAlign w:val="center"/>
          </w:tcPr>
          <w:p>
            <w:pPr>
              <w:pStyle w:val="TableContents"/>
              <w:spacing w:before="0" w:after="283"/>
              <w:jc w:val="left"/>
              <w:rPr>
                <w:rFonts w:ascii="Arial" w:hAnsi="Arial"/>
                <w:sz w:val="20"/>
              </w:rPr>
            </w:pPr>
            <w:r>
              <w:rPr>
                <w:rFonts w:ascii="Arial" w:hAnsi="Arial"/>
                <w:sz w:val="20"/>
              </w:rPr>
              <w:t>Directors meet to formally discuss the functioning of the Board and any committees on which they serve to identify areas for improvement. Independent directors meet separately with outside counsel</w:t>
            </w:r>
          </w:p>
        </w:tc>
        <w:tc>
          <w:tcPr>
            <w:tcW w:w="3184" w:type="dxa"/>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The Board and each committee implement proposed governance improvements with assistance of management and third party advisors, as needed</w:t>
            </w:r>
          </w:p>
        </w:tc>
      </w:tr>
      <w:tr>
        <w:trPr/>
        <w:tc>
          <w:tcPr>
            <w:tcW w:w="3136" w:type="dxa"/>
            <w:tcBorders>
              <w:bottom w:val="single" w:sz="8" w:space="0" w:color="8EAD3C"/>
            </w:tcBorders>
            <w:shd w:fill="auto" w:val="clear"/>
            <w:tcMar>
              <w:top w:w="0" w:type="dxa"/>
              <w:bottom w:w="28" w:type="dxa"/>
            </w:tcMar>
            <w:vAlign w:val="center"/>
          </w:tcPr>
          <w:p>
            <w:pPr>
              <w:pStyle w:val="TableContents"/>
              <w:spacing w:before="0" w:after="283"/>
              <w:jc w:val="left"/>
              <w:rPr/>
            </w:pPr>
            <w:r>
              <w:rPr/>
              <w:t>     </w:t>
            </w:r>
          </w:p>
        </w:tc>
        <w:tc>
          <w:tcPr>
            <w:tcW w:w="3885"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3184"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r>
    </w:tbl>
    <w:p>
      <w:pPr>
        <w:pStyle w:val="TextBody"/>
        <w:spacing w:before="240" w:after="283"/>
        <w:jc w:val="left"/>
        <w:rPr/>
      </w:pPr>
      <w:r>
        <w:rPr>
          <w:rStyle w:val="StrongEmphasis"/>
          <w:rFonts w:ascii="Arial" w:hAnsi="Arial"/>
          <w:color w:val="1A2343"/>
          <w:sz w:val="26"/>
        </w:rPr>
        <w:t>Director Independence</w:t>
      </w:r>
    </w:p>
    <w:p>
      <w:pPr>
        <w:pStyle w:val="TextBody"/>
        <w:jc w:val="left"/>
        <w:rPr>
          <w:rFonts w:ascii="Arial" w:hAnsi="Arial"/>
          <w:sz w:val="20"/>
        </w:rPr>
      </w:pPr>
      <w:r>
        <w:rPr>
          <w:rFonts w:ascii="Arial" w:hAnsi="Arial"/>
          <w:sz w:val="20"/>
        </w:rPr>
        <w:t>Our Governance Principles provide that a majority of our directors serving on the Board must be independent as required by the listing standards of the NYSE. In addition, the Board adopted director independence standards that assist the Board in making its determinations with respect to the independence of directors. The Board has reviewed all relevant facts and circumstances and considered all applicable relationships of which the Board had knowledge, between or among the directors and the Company or our management (some of such relationships are described in the section of this proxy statement entitled “Certain Relationships and Related Party Transactions”). Based upon this review, the Board has determined that each of the following directors and director nominees has no direct or indirect material relationship with us and is independent under the listing standards of the NYSE and our director independence standards: Mses. Betsy S. Atkins, Carol N. Brown and Lauren B. Dillard and Messrs. John H. Alschuler, Edwin T. Burton, III, Craig M. Hatkoff and John S. Levy. The Board has determined that Messrs. Stephen L. Green, Marc Holliday and Andrew W. Mathias, our three other directors, are not independent.</w:t>
      </w:r>
    </w:p>
    <w:p>
      <w:pPr>
        <w:pStyle w:val="TextBody"/>
        <w:jc w:val="left"/>
        <w:rPr/>
      </w:pPr>
      <w:r>
        <w:rPr>
          <w:rStyle w:val="StrongEmphasis"/>
          <w:rFonts w:ascii="Arial" w:hAnsi="Arial"/>
          <w:color w:val="1A2343"/>
          <w:sz w:val="26"/>
        </w:rPr>
        <w:t>Executive Sessions of Non-Management Directors</w:t>
      </w:r>
    </w:p>
    <w:p>
      <w:pPr>
        <w:pStyle w:val="TextBody"/>
        <w:jc w:val="left"/>
        <w:rPr>
          <w:rFonts w:ascii="Arial" w:hAnsi="Arial"/>
          <w:sz w:val="20"/>
        </w:rPr>
      </w:pPr>
      <w:r>
        <w:rPr>
          <w:rFonts w:ascii="Arial" w:hAnsi="Arial"/>
          <w:sz w:val="20"/>
        </w:rPr>
        <w:t>Our Governance Principles require the non-management directors serving on the Board to meet in an executive session at least annually without the presence of any directors or other persons who are part of our management. In accordance with such requirement, the independent directors meet in executive sessions from time to time on such a basis. The executive sessions are regularly chaired by our Lead Independent Director.</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945" w:type="dxa"/>
        <w:jc w:val="left"/>
        <w:tblInd w:w="0" w:type="dxa"/>
        <w:tblCellMar>
          <w:top w:w="0" w:type="dxa"/>
          <w:left w:w="0" w:type="dxa"/>
          <w:bottom w:w="0" w:type="dxa"/>
          <w:right w:w="0" w:type="dxa"/>
        </w:tblCellMar>
      </w:tblPr>
      <w:tblGrid>
        <w:gridCol w:w="4655"/>
        <w:gridCol w:w="290"/>
      </w:tblGrid>
      <w:tr>
        <w:trPr/>
        <w:tc>
          <w:tcPr>
            <w:tcW w:w="4655" w:type="dxa"/>
            <w:tcBorders/>
            <w:shd w:fill="auto" w:val="clear"/>
            <w:vAlign w:val="center"/>
          </w:tcPr>
          <w:p>
            <w:pPr>
              <w:pStyle w:val="TableContents"/>
              <w:spacing w:before="0" w:after="283"/>
              <w:jc w:val="left"/>
              <w:rPr>
                <w:rFonts w:ascii="Arial" w:hAnsi="Arial"/>
                <w:sz w:val="15"/>
              </w:rPr>
            </w:pPr>
            <w:r>
              <w:rPr>
                <w:rFonts w:ascii="Arial" w:hAnsi="Arial"/>
                <w:b/>
                <w:sz w:val="15"/>
              </w:rPr>
              <w:t>OUR BOARD OF DIRECTORS AND CORPORATE GOVERNANCE</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25</w:t>
            </w:r>
          </w:p>
        </w:tc>
      </w:tr>
    </w:tbl>
    <w:p>
      <w:pPr>
        <w:pStyle w:val="TextBody"/>
        <w:spacing w:before="240" w:after="283"/>
        <w:jc w:val="left"/>
        <w:rPr/>
      </w:pPr>
      <w:r>
        <w:rPr>
          <w:rStyle w:val="StrongEmphasis"/>
          <w:rFonts w:ascii="Arial" w:hAnsi="Arial"/>
          <w:color w:val="1A2343"/>
          <w:sz w:val="26"/>
        </w:rPr>
        <w:t>Communications with the Board</w:t>
      </w:r>
    </w:p>
    <w:p>
      <w:pPr>
        <w:pStyle w:val="TextBody"/>
        <w:jc w:val="left"/>
        <w:rPr>
          <w:rFonts w:ascii="Arial" w:hAnsi="Arial"/>
          <w:sz w:val="20"/>
        </w:rPr>
      </w:pPr>
      <w:r>
        <w:rPr>
          <w:rFonts w:ascii="Arial" w:hAnsi="Arial"/>
          <w:sz w:val="20"/>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One Vanderbilt Avenue, New York, New York 10017-3852. Mr. Levine will direct all such communications to the intended recipient or recipients. Any such communications may be made anonymously.</w:t>
      </w:r>
    </w:p>
    <w:p>
      <w:pPr>
        <w:pStyle w:val="TextBody"/>
        <w:jc w:val="left"/>
        <w:rPr/>
      </w:pPr>
      <w:r>
        <w:rPr>
          <w:rStyle w:val="StrongEmphasis"/>
          <w:rFonts w:ascii="Arial" w:hAnsi="Arial"/>
          <w:color w:val="1A2343"/>
          <w:sz w:val="26"/>
        </w:rPr>
        <w:t>Director Attendance</w:t>
      </w:r>
    </w:p>
    <w:p>
      <w:pPr>
        <w:pStyle w:val="TextBody"/>
        <w:jc w:val="left"/>
        <w:rPr>
          <w:rFonts w:ascii="Arial" w:hAnsi="Arial"/>
          <w:sz w:val="20"/>
        </w:rPr>
      </w:pPr>
      <w:r>
        <w:rPr>
          <w:rFonts w:ascii="Arial" w:hAnsi="Arial"/>
          <w:sz w:val="20"/>
        </w:rPr>
        <w:t>The Board held five meetings during fiscal year 2022, and all directors attended 75% or more of the Board meetings and meetings of the committees on which they served during the periods they served during fiscal year 2022. In addition to participating in formal meetings, our Board members regularly communicate with each other, members of management and advisors and take action by written consent.</w:t>
      </w:r>
    </w:p>
    <w:p>
      <w:pPr>
        <w:pStyle w:val="TextBody"/>
        <w:jc w:val="left"/>
        <w:rPr>
          <w:rFonts w:ascii="Arial" w:hAnsi="Arial"/>
          <w:sz w:val="20"/>
        </w:rPr>
      </w:pPr>
      <w:r>
        <w:rPr>
          <w:rFonts w:ascii="Arial" w:hAnsi="Arial"/>
          <w:sz w:val="20"/>
        </w:rPr>
        <w:t>We encourage each member of the Board to attend each annual meeting of stockholders. Four of our directors attended the annual meeting of stockholders held on June 1, 2022.</w:t>
      </w:r>
    </w:p>
    <w:p>
      <w:pPr>
        <w:pStyle w:val="TextBody"/>
        <w:jc w:val="left"/>
        <w:rPr/>
      </w:pPr>
      <w:bookmarkStart w:id="13" w:name="pg_BoardCommittees"/>
      <w:bookmarkEnd w:id="13"/>
      <w:r>
        <w:rPr>
          <w:rStyle w:val="StrongEmphasis"/>
          <w:rFonts w:ascii="Arial" w:hAnsi="Arial"/>
          <w:color w:val="8EAD3C"/>
          <w:sz w:val="32"/>
        </w:rPr>
        <w:t>BOARD COMMITTEES</w:t>
      </w:r>
    </w:p>
    <w:p>
      <w:pPr>
        <w:pStyle w:val="TextBody"/>
        <w:jc w:val="left"/>
        <w:rPr>
          <w:rFonts w:ascii="Arial" w:hAnsi="Arial"/>
          <w:sz w:val="20"/>
        </w:rPr>
      </w:pPr>
      <w:r>
        <w:rPr>
          <w:rFonts w:ascii="Arial" w:hAnsi="Arial"/>
          <w:sz w:val="20"/>
        </w:rPr>
        <w:t>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www.slgreen.com under the “Investors—Corporate Governance” section. Further, we will provide a copy of these charters without charge to each stockholder upon written request. Requests for copies should be addressed to Andrew S. Levine, Secretary, at SL Green Realty Corp., One Vanderbilt Avenue, New York, New York 10017-3852. From time to time, the Board also may create additional committees for such purposes as the Board may determine. The information found on our website is not incorporated into, and does not form a part of, this proxy statement or any other report or document we file with, or furnish to, the SEC.</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26</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1619885" cy="3144520"/>
                <wp:effectExtent l="0" t="0" r="0" b="0"/>
                <wp:wrapSquare wrapText="largest"/>
                <wp:docPr id="389" name="Frame29"/>
                <a:graphic xmlns:a="http://schemas.openxmlformats.org/drawingml/2006/main">
                  <a:graphicData uri="http://schemas.microsoft.com/office/word/2010/wordprocessingShape">
                    <wps:wsp>
                      <wps:cNvSpPr txBox="1"/>
                      <wps:spPr>
                        <a:xfrm>
                          <a:off x="0" y="0"/>
                          <a:ext cx="1619885" cy="3144520"/>
                        </a:xfrm>
                        <a:prstGeom prst="rect"/>
                      </wps:spPr>
                      <wps:txbx>
                        <w:txbxContent>
                          <w:tbl>
                            <w:tblPr>
                              <w:tblW w:w="2584" w:type="dxa"/>
                              <w:jc w:val="left"/>
                              <w:tblInd w:w="0" w:type="dxa"/>
                              <w:tblCellMar>
                                <w:top w:w="0" w:type="dxa"/>
                                <w:left w:w="0" w:type="dxa"/>
                                <w:bottom w:w="0" w:type="dxa"/>
                                <w:right w:w="28" w:type="dxa"/>
                              </w:tblCellMar>
                            </w:tblPr>
                            <w:tblGrid>
                              <w:gridCol w:w="248"/>
                              <w:gridCol w:w="2156"/>
                              <w:gridCol w:w="180"/>
                            </w:tblGrid>
                            <w:tr>
                              <w:trPr/>
                              <w:tc>
                                <w:tcPr>
                                  <w:tcW w:w="248" w:type="dxa"/>
                                  <w:tcBorders>
                                    <w:right w:val="single" w:sz="32" w:space="0" w:color="8EAD3C"/>
                                  </w:tcBorders>
                                  <w:shd w:fill="auto" w:val="clear"/>
                                  <w:vAlign w:val="center"/>
                                </w:tcPr>
                                <w:p>
                                  <w:pPr>
                                    <w:pStyle w:val="TableContents"/>
                                    <w:spacing w:before="0" w:after="283"/>
                                    <w:jc w:val="left"/>
                                    <w:rPr/>
                                  </w:pPr>
                                  <w:r>
                                    <w:rPr/>
                                    <w:t>   </w:t>
                                  </w:r>
                                </w:p>
                              </w:tc>
                              <w:tc>
                                <w:tcPr>
                                  <w:tcW w:w="2156"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2404" w:type="dxa"/>
                                  <w:gridSpan w:val="2"/>
                                  <w:tcBorders/>
                                  <w:shd w:fill="1A2343" w:val="clear"/>
                                  <w:tcMar>
                                    <w:right w:w="0" w:type="dxa"/>
                                  </w:tcMar>
                                  <w:vAlign w:val="center"/>
                                </w:tcPr>
                                <w:p>
                                  <w:pPr>
                                    <w:pStyle w:val="TableContents"/>
                                    <w:jc w:val="left"/>
                                    <w:rPr/>
                                  </w:pPr>
                                  <w:r>
                                    <w:rPr>
                                      <w:rStyle w:val="StrongEmphasis"/>
                                      <w:rFonts w:ascii="Arial" w:hAnsi="Arial"/>
                                      <w:color w:val="FFFFFF"/>
                                      <w:sz w:val="26"/>
                                    </w:rPr>
                                    <w:t>AUDIT COMMITTEE</w:t>
                                  </w:r>
                                </w:p>
                                <w:p>
                                  <w:pPr>
                                    <w:pStyle w:val="TableContents"/>
                                    <w:jc w:val="left"/>
                                    <w:rPr/>
                                  </w:pPr>
                                  <w:r>
                                    <w:rPr>
                                      <w:rStyle w:val="StrongEmphasis"/>
                                      <w:rFonts w:ascii="Arial" w:hAnsi="Arial"/>
                                      <w:color w:val="FFFFFF"/>
                                      <w:sz w:val="20"/>
                                    </w:rPr>
                                    <w:t>Members</w:t>
                                  </w:r>
                                </w:p>
                                <w:p>
                                  <w:pPr>
                                    <w:pStyle w:val="TableContents"/>
                                    <w:jc w:val="left"/>
                                    <w:rPr>
                                      <w:rFonts w:ascii="Arial" w:hAnsi="Arial"/>
                                      <w:color w:val="FFFFFF"/>
                                      <w:sz w:val="20"/>
                                    </w:rPr>
                                  </w:pPr>
                                  <w:r>
                                    <w:rPr>
                                      <w:rFonts w:ascii="Arial" w:hAnsi="Arial"/>
                                      <w:color w:val="FFFFFF"/>
                                      <w:sz w:val="20"/>
                                    </w:rPr>
                                    <w:t xml:space="preserve">Edwin T. Burton, III (Chair) </w:t>
                                    <w:br/>
                                    <w:t xml:space="preserve">Betsy S. Atkins </w:t>
                                    <w:br/>
                                    <w:t xml:space="preserve">Lauren B. Dillard </w:t>
                                    <w:br/>
                                    <w:t>Craig M. Hatkoff</w:t>
                                  </w:r>
                                </w:p>
                                <w:p>
                                  <w:pPr>
                                    <w:pStyle w:val="TableContents"/>
                                    <w:spacing w:before="0" w:after="283"/>
                                    <w:jc w:val="left"/>
                                    <w:rPr>
                                      <w:rFonts w:ascii="Arial" w:hAnsi="Arial"/>
                                      <w:color w:val="FFFFFF"/>
                                      <w:sz w:val="20"/>
                                    </w:rPr>
                                  </w:pPr>
                                  <w:r>
                                    <w:rPr>
                                      <w:rFonts w:ascii="Arial" w:hAnsi="Arial"/>
                                      <w:color w:val="FFFFFF"/>
                                      <w:sz w:val="20"/>
                                    </w:rPr>
                                    <w:t>Meetings in 2022: 12</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248" w:type="dxa"/>
                                  <w:tcBorders/>
                                  <w:shd w:fill="auto" w:val="clear"/>
                                  <w:tcMar>
                                    <w:right w:w="0" w:type="dxa"/>
                                  </w:tcMar>
                                  <w:vAlign w:val="center"/>
                                </w:tcPr>
                                <w:p>
                                  <w:pPr>
                                    <w:pStyle w:val="TableContents"/>
                                    <w:spacing w:before="0" w:after="283"/>
                                    <w:jc w:val="left"/>
                                    <w:rPr/>
                                  </w:pPr>
                                  <w:r>
                                    <w:rPr/>
                                    <w:t> </w:t>
                                  </w:r>
                                </w:p>
                              </w:tc>
                              <w:tc>
                                <w:tcPr>
                                  <w:tcW w:w="2156"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25000</wp14:pctWidth>
                </wp14:sizeRelH>
              </wp:anchor>
            </w:drawing>
          </mc:Choice>
          <mc:Fallback>
            <w:pict>
              <v:rect style="position:absolute;rotation:0;width:127.55pt;height:247.6pt;mso-wrap-distance-left:0pt;mso-wrap-distance-right:0pt;mso-wrap-distance-top:0pt;mso-wrap-distance-bottom:0pt;margin-top:0pt;mso-position-vertical:top;mso-position-vertical-relative:text;margin-left:0pt;mso-position-horizontal:left;mso-position-horizontal-relative:text">
                <v:textbox>
                  <w:txbxContent>
                    <w:tbl>
                      <w:tblPr>
                        <w:tblW w:w="2584" w:type="dxa"/>
                        <w:jc w:val="left"/>
                        <w:tblInd w:w="0" w:type="dxa"/>
                        <w:tblCellMar>
                          <w:top w:w="0" w:type="dxa"/>
                          <w:left w:w="0" w:type="dxa"/>
                          <w:bottom w:w="0" w:type="dxa"/>
                          <w:right w:w="28" w:type="dxa"/>
                        </w:tblCellMar>
                      </w:tblPr>
                      <w:tblGrid>
                        <w:gridCol w:w="248"/>
                        <w:gridCol w:w="2156"/>
                        <w:gridCol w:w="180"/>
                      </w:tblGrid>
                      <w:tr>
                        <w:trPr/>
                        <w:tc>
                          <w:tcPr>
                            <w:tcW w:w="248" w:type="dxa"/>
                            <w:tcBorders>
                              <w:right w:val="single" w:sz="32" w:space="0" w:color="8EAD3C"/>
                            </w:tcBorders>
                            <w:shd w:fill="auto" w:val="clear"/>
                            <w:vAlign w:val="center"/>
                          </w:tcPr>
                          <w:p>
                            <w:pPr>
                              <w:pStyle w:val="TableContents"/>
                              <w:spacing w:before="0" w:after="283"/>
                              <w:jc w:val="left"/>
                              <w:rPr/>
                            </w:pPr>
                            <w:r>
                              <w:rPr/>
                              <w:t>   </w:t>
                            </w:r>
                          </w:p>
                        </w:tc>
                        <w:tc>
                          <w:tcPr>
                            <w:tcW w:w="2156"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0"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2404" w:type="dxa"/>
                            <w:gridSpan w:val="2"/>
                            <w:tcBorders/>
                            <w:shd w:fill="1A2343" w:val="clear"/>
                            <w:tcMar>
                              <w:right w:w="0" w:type="dxa"/>
                            </w:tcMar>
                            <w:vAlign w:val="center"/>
                          </w:tcPr>
                          <w:p>
                            <w:pPr>
                              <w:pStyle w:val="TableContents"/>
                              <w:jc w:val="left"/>
                              <w:rPr/>
                            </w:pPr>
                            <w:r>
                              <w:rPr>
                                <w:rStyle w:val="StrongEmphasis"/>
                                <w:rFonts w:ascii="Arial" w:hAnsi="Arial"/>
                                <w:color w:val="FFFFFF"/>
                                <w:sz w:val="26"/>
                              </w:rPr>
                              <w:t>AUDIT COMMITTEE</w:t>
                            </w:r>
                          </w:p>
                          <w:p>
                            <w:pPr>
                              <w:pStyle w:val="TableContents"/>
                              <w:jc w:val="left"/>
                              <w:rPr/>
                            </w:pPr>
                            <w:r>
                              <w:rPr>
                                <w:rStyle w:val="StrongEmphasis"/>
                                <w:rFonts w:ascii="Arial" w:hAnsi="Arial"/>
                                <w:color w:val="FFFFFF"/>
                                <w:sz w:val="20"/>
                              </w:rPr>
                              <w:t>Members</w:t>
                            </w:r>
                          </w:p>
                          <w:p>
                            <w:pPr>
                              <w:pStyle w:val="TableContents"/>
                              <w:jc w:val="left"/>
                              <w:rPr>
                                <w:rFonts w:ascii="Arial" w:hAnsi="Arial"/>
                                <w:color w:val="FFFFFF"/>
                                <w:sz w:val="20"/>
                              </w:rPr>
                            </w:pPr>
                            <w:r>
                              <w:rPr>
                                <w:rFonts w:ascii="Arial" w:hAnsi="Arial"/>
                                <w:color w:val="FFFFFF"/>
                                <w:sz w:val="20"/>
                              </w:rPr>
                              <w:t xml:space="preserve">Edwin T. Burton, III (Chair) </w:t>
                              <w:br/>
                              <w:t xml:space="preserve">Betsy S. Atkins </w:t>
                              <w:br/>
                              <w:t xml:space="preserve">Lauren B. Dillard </w:t>
                              <w:br/>
                              <w:t>Craig M. Hatkoff</w:t>
                            </w:r>
                          </w:p>
                          <w:p>
                            <w:pPr>
                              <w:pStyle w:val="TableContents"/>
                              <w:spacing w:before="0" w:after="283"/>
                              <w:jc w:val="left"/>
                              <w:rPr>
                                <w:rFonts w:ascii="Arial" w:hAnsi="Arial"/>
                                <w:color w:val="FFFFFF"/>
                                <w:sz w:val="20"/>
                              </w:rPr>
                            </w:pPr>
                            <w:r>
                              <w:rPr>
                                <w:rFonts w:ascii="Arial" w:hAnsi="Arial"/>
                                <w:color w:val="FFFFFF"/>
                                <w:sz w:val="20"/>
                              </w:rPr>
                              <w:t>Meetings in 2022: 12</w:t>
                            </w:r>
                          </w:p>
                        </w:tc>
                        <w:tc>
                          <w:tcPr>
                            <w:tcW w:w="180" w:type="dxa"/>
                            <w:tcBorders>
                              <w:right w:val="single" w:sz="32" w:space="0" w:color="8EAD3C"/>
                            </w:tcBorders>
                            <w:shd w:fill="auto" w:val="clear"/>
                            <w:vAlign w:val="center"/>
                          </w:tcPr>
                          <w:p>
                            <w:pPr>
                              <w:pStyle w:val="TableContents"/>
                              <w:spacing w:before="0" w:after="283"/>
                              <w:jc w:val="left"/>
                              <w:rPr/>
                            </w:pPr>
                            <w:r>
                              <w:rPr/>
                              <w:t>   </w:t>
                            </w:r>
                          </w:p>
                        </w:tc>
                      </w:tr>
                      <w:tr>
                        <w:trPr/>
                        <w:tc>
                          <w:tcPr>
                            <w:tcW w:w="248" w:type="dxa"/>
                            <w:tcBorders/>
                            <w:shd w:fill="auto" w:val="clear"/>
                            <w:tcMar>
                              <w:right w:w="0" w:type="dxa"/>
                            </w:tcMar>
                            <w:vAlign w:val="center"/>
                          </w:tcPr>
                          <w:p>
                            <w:pPr>
                              <w:pStyle w:val="TableContents"/>
                              <w:spacing w:before="0" w:after="283"/>
                              <w:jc w:val="left"/>
                              <w:rPr/>
                            </w:pPr>
                            <w:r>
                              <w:rPr/>
                              <w:t> </w:t>
                            </w:r>
                          </w:p>
                        </w:tc>
                        <w:tc>
                          <w:tcPr>
                            <w:tcW w:w="2156"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2">
                <wp:simplePos x="0" y="0"/>
                <wp:positionH relativeFrom="column">
                  <wp:align>right</wp:align>
                </wp:positionH>
                <wp:positionV relativeFrom="line">
                  <wp:posOffset>635</wp:posOffset>
                </wp:positionV>
                <wp:extent cx="4600575" cy="7595870"/>
                <wp:effectExtent l="0" t="0" r="0" b="0"/>
                <wp:wrapSquare wrapText="largest"/>
                <wp:docPr id="390" name="Frame30"/>
                <a:graphic xmlns:a="http://schemas.openxmlformats.org/drawingml/2006/main">
                  <a:graphicData uri="http://schemas.microsoft.com/office/word/2010/wordprocessingShape">
                    <wps:wsp>
                      <wps:cNvSpPr txBox="1"/>
                      <wps:spPr>
                        <a:xfrm>
                          <a:off x="0" y="0"/>
                          <a:ext cx="4600575" cy="7595870"/>
                        </a:xfrm>
                        <a:prstGeom prst="rect"/>
                      </wps:spPr>
                      <wps:txbx>
                        <w:txbxContent>
                          <w:p>
                            <w:pPr>
                              <w:pStyle w:val="TextBody"/>
                              <w:spacing w:before="0" w:after="283"/>
                              <w:jc w:val="left"/>
                              <w:rPr/>
                            </w:pPr>
                            <w:r>
                              <w:rPr>
                                <w:rStyle w:val="StrongEmphasis"/>
                                <w:rFonts w:ascii="Arial" w:hAnsi="Arial"/>
                                <w:color w:val="8EAD3C"/>
                                <w:sz w:val="22"/>
                              </w:rPr>
                              <w:t>Principal Responsibilities:</w:t>
                            </w:r>
                          </w:p>
                          <w:p>
                            <w:pPr>
                              <w:pStyle w:val="TextBody"/>
                              <w:jc w:val="left"/>
                              <w:rPr>
                                <w:rFonts w:ascii="Arial" w:hAnsi="Arial"/>
                                <w:sz w:val="20"/>
                              </w:rPr>
                            </w:pPr>
                            <w:r>
                              <w:rPr>
                                <w:rFonts w:ascii="Arial" w:hAnsi="Arial"/>
                                <w:sz w:val="20"/>
                              </w:rPr>
                              <w:t>Our Audit Committee’s primary purposes are to:</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Select and appoint our independent registered public accounting firm</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 xml:space="preserve">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 </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Prepare the report that is required to be included in this proxy statement by the rules of the SEC</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Provide an open avenue of communication among the Company’s independent registered public accounting firm, its internal auditors, its management and the Board</w:t>
                                  </w:r>
                                </w:p>
                              </w:tc>
                            </w:tr>
                          </w:tbl>
                          <w:p>
                            <w:pPr>
                              <w:pStyle w:val="TextBody"/>
                              <w:spacing w:before="240" w:after="283"/>
                              <w:jc w:val="left"/>
                              <w:rPr>
                                <w:rFonts w:ascii="Arial" w:hAnsi="Arial"/>
                                <w:sz w:val="20"/>
                              </w:rPr>
                            </w:pPr>
                            <w:r>
                              <w:rPr>
                                <w:rFonts w:ascii="Arial" w:hAnsi="Arial"/>
                                <w:sz w:val="20"/>
                              </w:rPr>
                              <w:t>Each member of the Audit Committee is independent within the meaning of the rules of the NYSE and the SEC and each of them meets the financial literacy standard required by the rules of the NYSE.</w:t>
                            </w:r>
                          </w:p>
                          <w:p>
                            <w:pPr>
                              <w:pStyle w:val="TextBody"/>
                              <w:jc w:val="left"/>
                              <w:rPr>
                                <w:rFonts w:ascii="Arial" w:hAnsi="Arial"/>
                                <w:sz w:val="20"/>
                              </w:rPr>
                            </w:pPr>
                            <w:r>
                              <w:rPr>
                                <w:rFonts w:ascii="Arial" w:hAnsi="Arial"/>
                                <w:sz w:val="20"/>
                              </w:rPr>
                              <w:t>Additional information regarding the functions performed by our Audit Committee is set forth in the “Audit Committee Report” included in this annual proxy statement.</w:t>
                            </w:r>
                          </w:p>
                          <w:p>
                            <w:pPr>
                              <w:pStyle w:val="TextBody"/>
                              <w:spacing w:before="0" w:after="283"/>
                              <w:jc w:val="left"/>
                              <w:rPr/>
                            </w:pPr>
                            <w:r>
                              <w:rPr>
                                <w:rStyle w:val="StrongEmphasis"/>
                                <w:rFonts w:ascii="Arial" w:hAnsi="Arial"/>
                                <w:color w:val="8EAD3C"/>
                                <w:sz w:val="22"/>
                              </w:rPr>
                              <w:t>Audit Committee Financial Expert</w:t>
                            </w:r>
                          </w:p>
                          <w:p>
                            <w:pPr>
                              <w:pStyle w:val="TextBody"/>
                              <w:jc w:val="left"/>
                              <w:rPr>
                                <w:rFonts w:ascii="Arial" w:hAnsi="Arial"/>
                                <w:sz w:val="20"/>
                              </w:rPr>
                            </w:pPr>
                            <w:r>
                              <w:rPr>
                                <w:rFonts w:ascii="Arial" w:hAnsi="Arial"/>
                                <w:sz w:val="20"/>
                              </w:rPr>
                              <w:t>The Board determined that Edwin T. Burton, III qualifies as an “audit committee financial expert,” as defined in Item 407(d) of SEC Regulation S-K.</w:t>
                            </w:r>
                          </w:p>
                          <w:p>
                            <w:pPr>
                              <w:pStyle w:val="TextBody"/>
                              <w:spacing w:before="0" w:after="0"/>
                              <w:rPr/>
                            </w:pPr>
                            <w:r>
                              <w:rPr/>
                            </w:r>
                          </w:p>
                          <w:p>
                            <w:pPr>
                              <w:pStyle w:val="TextBody"/>
                              <w:spacing w:lineRule="atLeast" w:line="141" w:before="0" w:after="0"/>
                              <w:rPr>
                                <w:highlight w:val="darkYellow"/>
                              </w:rPr>
                            </w:pPr>
                            <w:r>
                              <w:rPr>
                                <w:highlight w:val="darkYellow"/>
                              </w:rPr>
                              <w:t> </w:t>
                            </w:r>
                          </w:p>
                          <w:p>
                            <w:pPr>
                              <w:pStyle w:val="TextBody"/>
                              <w:rPr/>
                            </w:pPr>
                            <w:r>
                              <w:rPr/>
                            </w:r>
                          </w:p>
                          <w:p>
                            <w:pPr>
                              <w:pStyle w:val="TextBody"/>
                              <w:jc w:val="left"/>
                              <w:rPr>
                                <w:rFonts w:ascii="Arial" w:hAnsi="Arial"/>
                                <w:sz w:val="20"/>
                              </w:rPr>
                            </w:pPr>
                            <w:r>
                              <w:rPr>
                                <w:rFonts w:ascii="Arial" w:hAnsi="Arial"/>
                                <w:sz w:val="20"/>
                              </w:rPr>
                              <w:t>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w:t>
                            </w:r>
                          </w:p>
                          <w:p>
                            <w:pPr>
                              <w:pStyle w:val="TextBody"/>
                              <w:spacing w:before="0" w:after="283"/>
                              <w:jc w:val="left"/>
                              <w:rPr>
                                <w:rFonts w:ascii="Arial" w:hAnsi="Arial"/>
                                <w:sz w:val="20"/>
                              </w:rPr>
                            </w:pPr>
                            <w:r>
                              <w:rPr>
                                <w:rFonts w:ascii="Arial" w:hAnsi="Arial"/>
                                <w:sz w:val="20"/>
                              </w:rPr>
                              <w:t>Our independent registered public accounting firm is responsible for planning and carrying out a proper audit of our annual financial statements prior to the filing of our Annual Report on Form 10-K, reviewing our quarterly financial statements prior to the filing of each Quarterly Report on Form 10-Q and annually auditing the effectiveness of our internal control over financial reporting and other procedures.</w:t>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598.1pt;mso-wrap-distance-left:0pt;mso-wrap-distance-right:0pt;mso-wrap-distance-top:0pt;mso-wrap-distance-bottom:0pt;margin-top:0pt;mso-position-vertical:top;mso-position-vertical-relative:text;margin-left:148pt;mso-position-horizontal:right;mso-position-horizontal-relative:text">
                <v:textbox>
                  <w:txbxContent>
                    <w:p>
                      <w:pPr>
                        <w:pStyle w:val="TextBody"/>
                        <w:spacing w:before="0" w:after="283"/>
                        <w:jc w:val="left"/>
                        <w:rPr/>
                      </w:pPr>
                      <w:r>
                        <w:rPr>
                          <w:rStyle w:val="StrongEmphasis"/>
                          <w:rFonts w:ascii="Arial" w:hAnsi="Arial"/>
                          <w:color w:val="8EAD3C"/>
                          <w:sz w:val="22"/>
                        </w:rPr>
                        <w:t>Principal Responsibilities:</w:t>
                      </w:r>
                    </w:p>
                    <w:p>
                      <w:pPr>
                        <w:pStyle w:val="TextBody"/>
                        <w:jc w:val="left"/>
                        <w:rPr>
                          <w:rFonts w:ascii="Arial" w:hAnsi="Arial"/>
                          <w:sz w:val="20"/>
                        </w:rPr>
                      </w:pPr>
                      <w:r>
                        <w:rPr>
                          <w:rFonts w:ascii="Arial" w:hAnsi="Arial"/>
                          <w:sz w:val="20"/>
                        </w:rPr>
                        <w:t>Our Audit Committee’s primary purposes are to:</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Select and appoint our independent registered public accounting firm</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 xml:space="preserve">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 </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Prepare the report that is required to be included in this proxy statement by the rules of the SEC</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Provide an open avenue of communication among the Company’s independent registered public accounting firm, its internal auditors, its management and the Board</w:t>
                            </w:r>
                          </w:p>
                        </w:tc>
                      </w:tr>
                    </w:tbl>
                    <w:p>
                      <w:pPr>
                        <w:pStyle w:val="TextBody"/>
                        <w:spacing w:before="240" w:after="283"/>
                        <w:jc w:val="left"/>
                        <w:rPr>
                          <w:rFonts w:ascii="Arial" w:hAnsi="Arial"/>
                          <w:sz w:val="20"/>
                        </w:rPr>
                      </w:pPr>
                      <w:r>
                        <w:rPr>
                          <w:rFonts w:ascii="Arial" w:hAnsi="Arial"/>
                          <w:sz w:val="20"/>
                        </w:rPr>
                        <w:t>Each member of the Audit Committee is independent within the meaning of the rules of the NYSE and the SEC and each of them meets the financial literacy standard required by the rules of the NYSE.</w:t>
                      </w:r>
                    </w:p>
                    <w:p>
                      <w:pPr>
                        <w:pStyle w:val="TextBody"/>
                        <w:jc w:val="left"/>
                        <w:rPr>
                          <w:rFonts w:ascii="Arial" w:hAnsi="Arial"/>
                          <w:sz w:val="20"/>
                        </w:rPr>
                      </w:pPr>
                      <w:r>
                        <w:rPr>
                          <w:rFonts w:ascii="Arial" w:hAnsi="Arial"/>
                          <w:sz w:val="20"/>
                        </w:rPr>
                        <w:t>Additional information regarding the functions performed by our Audit Committee is set forth in the “Audit Committee Report” included in this annual proxy statement.</w:t>
                      </w:r>
                    </w:p>
                    <w:p>
                      <w:pPr>
                        <w:pStyle w:val="TextBody"/>
                        <w:spacing w:before="0" w:after="283"/>
                        <w:jc w:val="left"/>
                        <w:rPr/>
                      </w:pPr>
                      <w:r>
                        <w:rPr>
                          <w:rStyle w:val="StrongEmphasis"/>
                          <w:rFonts w:ascii="Arial" w:hAnsi="Arial"/>
                          <w:color w:val="8EAD3C"/>
                          <w:sz w:val="22"/>
                        </w:rPr>
                        <w:t>Audit Committee Financial Expert</w:t>
                      </w:r>
                    </w:p>
                    <w:p>
                      <w:pPr>
                        <w:pStyle w:val="TextBody"/>
                        <w:jc w:val="left"/>
                        <w:rPr>
                          <w:rFonts w:ascii="Arial" w:hAnsi="Arial"/>
                          <w:sz w:val="20"/>
                        </w:rPr>
                      </w:pPr>
                      <w:r>
                        <w:rPr>
                          <w:rFonts w:ascii="Arial" w:hAnsi="Arial"/>
                          <w:sz w:val="20"/>
                        </w:rPr>
                        <w:t>The Board determined that Edwin T. Burton, III qualifies as an “audit committee financial expert,” as defined in Item 407(d) of SEC Regulation S-K.</w:t>
                      </w:r>
                    </w:p>
                    <w:p>
                      <w:pPr>
                        <w:pStyle w:val="TextBody"/>
                        <w:spacing w:before="0" w:after="0"/>
                        <w:rPr/>
                      </w:pPr>
                      <w:r>
                        <w:rPr/>
                      </w:r>
                    </w:p>
                    <w:p>
                      <w:pPr>
                        <w:pStyle w:val="TextBody"/>
                        <w:spacing w:lineRule="atLeast" w:line="141" w:before="0" w:after="0"/>
                        <w:rPr>
                          <w:highlight w:val="darkYellow"/>
                        </w:rPr>
                      </w:pPr>
                      <w:r>
                        <w:rPr>
                          <w:highlight w:val="darkYellow"/>
                        </w:rPr>
                        <w:t> </w:t>
                      </w:r>
                    </w:p>
                    <w:p>
                      <w:pPr>
                        <w:pStyle w:val="TextBody"/>
                        <w:rPr/>
                      </w:pPr>
                      <w:r>
                        <w:rPr/>
                      </w:r>
                    </w:p>
                    <w:p>
                      <w:pPr>
                        <w:pStyle w:val="TextBody"/>
                        <w:jc w:val="left"/>
                        <w:rPr>
                          <w:rFonts w:ascii="Arial" w:hAnsi="Arial"/>
                          <w:sz w:val="20"/>
                        </w:rPr>
                      </w:pPr>
                      <w:r>
                        <w:rPr>
                          <w:rFonts w:ascii="Arial" w:hAnsi="Arial"/>
                          <w:sz w:val="20"/>
                        </w:rPr>
                        <w:t>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w:t>
                      </w:r>
                    </w:p>
                    <w:p>
                      <w:pPr>
                        <w:pStyle w:val="TextBody"/>
                        <w:spacing w:before="0" w:after="283"/>
                        <w:jc w:val="left"/>
                        <w:rPr>
                          <w:rFonts w:ascii="Arial" w:hAnsi="Arial"/>
                          <w:sz w:val="20"/>
                        </w:rPr>
                      </w:pPr>
                      <w:r>
                        <w:rPr>
                          <w:rFonts w:ascii="Arial" w:hAnsi="Arial"/>
                          <w:sz w:val="20"/>
                        </w:rPr>
                        <w:t>Our independent registered public accounting firm is responsible for planning and carrying out a proper audit of our annual financial statements prior to the filing of our Annual Report on Form 10-K, reviewing our quarterly financial statements prior to the filing of each Quarterly Report on Form 10-Q and annually auditing the effectiveness of our internal control over financial reporting and other procedures.</w:t>
                      </w:r>
                    </w:p>
                  </w:txbxContent>
                </v:textbox>
                <w10:wrap type="square" side="left"/>
              </v:rect>
            </w:pict>
          </mc:Fallback>
        </mc:AlternateContent>
      </w:r>
    </w:p>
    <w:p>
      <w:pPr>
        <w:pStyle w:val="TextBody"/>
        <w:jc w:val="left"/>
        <w:rPr/>
      </w:pPr>
      <w:hyperlink w:anchor="toc">
        <w:r>
          <w:rPr>
            <w:rStyle w:val="InternetLink"/>
            <w:rFonts w:ascii="Arial" w:hAnsi="Arial"/>
            <w:b/>
            <w:sz w:val="20"/>
          </w:rPr>
          <w:t>Table of Contents</w:t>
        </w:r>
      </w:hyperlink>
    </w:p>
    <w:tbl>
      <w:tblPr>
        <w:tblW w:w="4945" w:type="dxa"/>
        <w:jc w:val="left"/>
        <w:tblInd w:w="0" w:type="dxa"/>
        <w:tblCellMar>
          <w:top w:w="0" w:type="dxa"/>
          <w:left w:w="0" w:type="dxa"/>
          <w:bottom w:w="0" w:type="dxa"/>
          <w:right w:w="0" w:type="dxa"/>
        </w:tblCellMar>
      </w:tblPr>
      <w:tblGrid>
        <w:gridCol w:w="4655"/>
        <w:gridCol w:w="290"/>
      </w:tblGrid>
      <w:tr>
        <w:trPr/>
        <w:tc>
          <w:tcPr>
            <w:tcW w:w="4655" w:type="dxa"/>
            <w:tcBorders/>
            <w:shd w:fill="auto" w:val="clear"/>
            <w:vAlign w:val="center"/>
          </w:tcPr>
          <w:p>
            <w:pPr>
              <w:pStyle w:val="TableContents"/>
              <w:spacing w:before="0" w:after="283"/>
              <w:jc w:val="left"/>
              <w:rPr>
                <w:rFonts w:ascii="Arial" w:hAnsi="Arial"/>
                <w:sz w:val="15"/>
              </w:rPr>
            </w:pPr>
            <w:r>
              <w:rPr>
                <w:rFonts w:ascii="Arial" w:hAnsi="Arial"/>
                <w:b/>
                <w:sz w:val="15"/>
              </w:rPr>
              <w:t>OUR BOARD OF DIRECTORS AND CORPORATE GOVERNANCE</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27</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1619885" cy="3133725"/>
                <wp:effectExtent l="0" t="0" r="0" b="0"/>
                <wp:wrapSquare wrapText="largest"/>
                <wp:docPr id="391" name="Frame31"/>
                <a:graphic xmlns:a="http://schemas.openxmlformats.org/drawingml/2006/main">
                  <a:graphicData uri="http://schemas.microsoft.com/office/word/2010/wordprocessingShape">
                    <wps:wsp>
                      <wps:cNvSpPr txBox="1"/>
                      <wps:spPr>
                        <a:xfrm>
                          <a:off x="0" y="0"/>
                          <a:ext cx="1619885" cy="3133725"/>
                        </a:xfrm>
                        <a:prstGeom prst="rect"/>
                      </wps:spPr>
                      <wps:txbx>
                        <w:txbxContent>
                          <w:tbl>
                            <w:tblPr>
                              <w:tblW w:w="10205" w:type="dxa"/>
                              <w:jc w:val="left"/>
                              <w:tblInd w:w="0" w:type="dxa"/>
                              <w:tblCellMar>
                                <w:top w:w="0" w:type="dxa"/>
                                <w:left w:w="0" w:type="dxa"/>
                                <w:bottom w:w="0" w:type="dxa"/>
                                <w:right w:w="28" w:type="dxa"/>
                              </w:tblCellMar>
                            </w:tblPr>
                            <w:tblGrid>
                              <w:gridCol w:w="1035"/>
                              <w:gridCol w:w="8989"/>
                              <w:gridCol w:w="181"/>
                            </w:tblGrid>
                            <w:tr>
                              <w:trPr/>
                              <w:tc>
                                <w:tcPr>
                                  <w:tcW w:w="1035" w:type="dxa"/>
                                  <w:tcBorders>
                                    <w:right w:val="single" w:sz="32" w:space="0" w:color="8EAD3C"/>
                                  </w:tcBorders>
                                  <w:shd w:fill="auto" w:val="clear"/>
                                  <w:vAlign w:val="center"/>
                                </w:tcPr>
                                <w:p>
                                  <w:pPr>
                                    <w:pStyle w:val="TableContents"/>
                                    <w:spacing w:before="0" w:after="283"/>
                                    <w:jc w:val="left"/>
                                    <w:rPr/>
                                  </w:pPr>
                                  <w:r>
                                    <w:rPr/>
                                    <w:t>   </w:t>
                                  </w:r>
                                </w:p>
                              </w:tc>
                              <w:tc>
                                <w:tcPr>
                                  <w:tcW w:w="8989"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1"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024" w:type="dxa"/>
                                  <w:gridSpan w:val="2"/>
                                  <w:tcBorders/>
                                  <w:shd w:fill="1A2343" w:val="clear"/>
                                  <w:tcMar>
                                    <w:right w:w="0" w:type="dxa"/>
                                  </w:tcMar>
                                  <w:vAlign w:val="center"/>
                                </w:tcPr>
                                <w:p>
                                  <w:pPr>
                                    <w:pStyle w:val="TableContents"/>
                                    <w:jc w:val="left"/>
                                    <w:rPr/>
                                  </w:pPr>
                                  <w:r>
                                    <w:rPr>
                                      <w:rStyle w:val="StrongEmphasis"/>
                                      <w:rFonts w:ascii="Arial" w:hAnsi="Arial"/>
                                      <w:color w:val="FFFFFF"/>
                                      <w:sz w:val="26"/>
                                    </w:rPr>
                                    <w:t>COMPENSATION COMMITTEE</w:t>
                                  </w:r>
                                </w:p>
                                <w:p>
                                  <w:pPr>
                                    <w:pStyle w:val="TableContents"/>
                                    <w:jc w:val="left"/>
                                    <w:rPr/>
                                  </w:pPr>
                                  <w:r>
                                    <w:rPr>
                                      <w:rStyle w:val="StrongEmphasis"/>
                                      <w:rFonts w:ascii="Arial" w:hAnsi="Arial"/>
                                      <w:color w:val="FFFFFF"/>
                                      <w:sz w:val="20"/>
                                    </w:rPr>
                                    <w:t>Members</w:t>
                                  </w:r>
                                </w:p>
                                <w:p>
                                  <w:pPr>
                                    <w:pStyle w:val="TableContents"/>
                                    <w:jc w:val="left"/>
                                    <w:rPr>
                                      <w:rFonts w:ascii="Arial" w:hAnsi="Arial"/>
                                      <w:color w:val="FFFFFF"/>
                                      <w:sz w:val="20"/>
                                    </w:rPr>
                                  </w:pPr>
                                  <w:r>
                                    <w:rPr>
                                      <w:rFonts w:ascii="Arial" w:hAnsi="Arial"/>
                                      <w:color w:val="FFFFFF"/>
                                      <w:sz w:val="20"/>
                                    </w:rPr>
                                    <w:t xml:space="preserve">Lauren B. Dillard (Chair) </w:t>
                                    <w:br/>
                                    <w:t xml:space="preserve">Edwin T. Burton, III </w:t>
                                    <w:br/>
                                    <w:t>John S. Levy</w:t>
                                  </w:r>
                                </w:p>
                                <w:p>
                                  <w:pPr>
                                    <w:pStyle w:val="TableContents"/>
                                    <w:jc w:val="left"/>
                                    <w:rPr>
                                      <w:rFonts w:ascii="Arial" w:hAnsi="Arial"/>
                                      <w:color w:val="FFFFFF"/>
                                      <w:sz w:val="20"/>
                                    </w:rPr>
                                  </w:pPr>
                                  <w:r>
                                    <w:rPr>
                                      <w:rFonts w:ascii="Arial" w:hAnsi="Arial"/>
                                      <w:color w:val="FFFFFF"/>
                                      <w:sz w:val="20"/>
                                    </w:rPr>
                                    <w:t>Meetings in 2022: 2</w:t>
                                  </w:r>
                                </w:p>
                                <w:p>
                                  <w:pPr>
                                    <w:pStyle w:val="TableContents"/>
                                    <w:spacing w:before="0" w:after="283"/>
                                    <w:jc w:val="left"/>
                                    <w:rPr>
                                      <w:rFonts w:ascii="Arial" w:hAnsi="Arial"/>
                                      <w:color w:val="FFFFFF"/>
                                      <w:sz w:val="20"/>
                                    </w:rPr>
                                  </w:pPr>
                                  <w:r>
                                    <w:rPr>
                                      <w:rFonts w:ascii="Arial" w:hAnsi="Arial"/>
                                      <w:color w:val="FFFFFF"/>
                                      <w:sz w:val="20"/>
                                    </w:rPr>
                                    <w:t>In addition to participating in formal meetings, our Compensation Committee members regularly communicate with each other, members of management and advisors and take action by written consent.</w:t>
                                  </w:r>
                                </w:p>
                              </w:tc>
                              <w:tc>
                                <w:tcPr>
                                  <w:tcW w:w="181" w:type="dxa"/>
                                  <w:tcBorders>
                                    <w:right w:val="single" w:sz="32" w:space="0" w:color="8EAD3C"/>
                                  </w:tcBorders>
                                  <w:shd w:fill="auto" w:val="clear"/>
                                  <w:vAlign w:val="center"/>
                                </w:tcPr>
                                <w:p>
                                  <w:pPr>
                                    <w:pStyle w:val="TableContents"/>
                                    <w:spacing w:before="0" w:after="283"/>
                                    <w:jc w:val="left"/>
                                    <w:rPr/>
                                  </w:pPr>
                                  <w:r>
                                    <w:rPr/>
                                    <w:t>   </w:t>
                                  </w:r>
                                </w:p>
                              </w:tc>
                            </w:tr>
                            <w:tr>
                              <w:trPr/>
                              <w:tc>
                                <w:tcPr>
                                  <w:tcW w:w="1035" w:type="dxa"/>
                                  <w:tcBorders/>
                                  <w:shd w:fill="auto" w:val="clear"/>
                                  <w:tcMar>
                                    <w:right w:w="0" w:type="dxa"/>
                                  </w:tcMar>
                                  <w:vAlign w:val="center"/>
                                </w:tcPr>
                                <w:p>
                                  <w:pPr>
                                    <w:pStyle w:val="TableContents"/>
                                    <w:spacing w:before="0" w:after="283"/>
                                    <w:jc w:val="left"/>
                                    <w:rPr/>
                                  </w:pPr>
                                  <w:r>
                                    <w:rPr/>
                                    <w:t> </w:t>
                                  </w:r>
                                </w:p>
                              </w:tc>
                              <w:tc>
                                <w:tcPr>
                                  <w:tcW w:w="8989"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1"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25000</wp14:pctWidth>
                </wp14:sizeRelH>
              </wp:anchor>
            </w:drawing>
          </mc:Choice>
          <mc:Fallback>
            <w:pict>
              <v:rect style="position:absolute;rotation:0;width:127.55pt;height:246.7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CellMar>
                          <w:top w:w="0" w:type="dxa"/>
                          <w:left w:w="0" w:type="dxa"/>
                          <w:bottom w:w="0" w:type="dxa"/>
                          <w:right w:w="28" w:type="dxa"/>
                        </w:tblCellMar>
                      </w:tblPr>
                      <w:tblGrid>
                        <w:gridCol w:w="1035"/>
                        <w:gridCol w:w="8989"/>
                        <w:gridCol w:w="181"/>
                      </w:tblGrid>
                      <w:tr>
                        <w:trPr/>
                        <w:tc>
                          <w:tcPr>
                            <w:tcW w:w="1035" w:type="dxa"/>
                            <w:tcBorders>
                              <w:right w:val="single" w:sz="32" w:space="0" w:color="8EAD3C"/>
                            </w:tcBorders>
                            <w:shd w:fill="auto" w:val="clear"/>
                            <w:vAlign w:val="center"/>
                          </w:tcPr>
                          <w:p>
                            <w:pPr>
                              <w:pStyle w:val="TableContents"/>
                              <w:spacing w:before="0" w:after="283"/>
                              <w:jc w:val="left"/>
                              <w:rPr/>
                            </w:pPr>
                            <w:r>
                              <w:rPr/>
                              <w:t>   </w:t>
                            </w:r>
                          </w:p>
                        </w:tc>
                        <w:tc>
                          <w:tcPr>
                            <w:tcW w:w="8989"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1"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024" w:type="dxa"/>
                            <w:gridSpan w:val="2"/>
                            <w:tcBorders/>
                            <w:shd w:fill="1A2343" w:val="clear"/>
                            <w:tcMar>
                              <w:right w:w="0" w:type="dxa"/>
                            </w:tcMar>
                            <w:vAlign w:val="center"/>
                          </w:tcPr>
                          <w:p>
                            <w:pPr>
                              <w:pStyle w:val="TableContents"/>
                              <w:jc w:val="left"/>
                              <w:rPr/>
                            </w:pPr>
                            <w:r>
                              <w:rPr>
                                <w:rStyle w:val="StrongEmphasis"/>
                                <w:rFonts w:ascii="Arial" w:hAnsi="Arial"/>
                                <w:color w:val="FFFFFF"/>
                                <w:sz w:val="26"/>
                              </w:rPr>
                              <w:t>COMPENSATION COMMITTEE</w:t>
                            </w:r>
                          </w:p>
                          <w:p>
                            <w:pPr>
                              <w:pStyle w:val="TableContents"/>
                              <w:jc w:val="left"/>
                              <w:rPr/>
                            </w:pPr>
                            <w:r>
                              <w:rPr>
                                <w:rStyle w:val="StrongEmphasis"/>
                                <w:rFonts w:ascii="Arial" w:hAnsi="Arial"/>
                                <w:color w:val="FFFFFF"/>
                                <w:sz w:val="20"/>
                              </w:rPr>
                              <w:t>Members</w:t>
                            </w:r>
                          </w:p>
                          <w:p>
                            <w:pPr>
                              <w:pStyle w:val="TableContents"/>
                              <w:jc w:val="left"/>
                              <w:rPr>
                                <w:rFonts w:ascii="Arial" w:hAnsi="Arial"/>
                                <w:color w:val="FFFFFF"/>
                                <w:sz w:val="20"/>
                              </w:rPr>
                            </w:pPr>
                            <w:r>
                              <w:rPr>
                                <w:rFonts w:ascii="Arial" w:hAnsi="Arial"/>
                                <w:color w:val="FFFFFF"/>
                                <w:sz w:val="20"/>
                              </w:rPr>
                              <w:t xml:space="preserve">Lauren B. Dillard (Chair) </w:t>
                              <w:br/>
                              <w:t xml:space="preserve">Edwin T. Burton, III </w:t>
                              <w:br/>
                              <w:t>John S. Levy</w:t>
                            </w:r>
                          </w:p>
                          <w:p>
                            <w:pPr>
                              <w:pStyle w:val="TableContents"/>
                              <w:jc w:val="left"/>
                              <w:rPr>
                                <w:rFonts w:ascii="Arial" w:hAnsi="Arial"/>
                                <w:color w:val="FFFFFF"/>
                                <w:sz w:val="20"/>
                              </w:rPr>
                            </w:pPr>
                            <w:r>
                              <w:rPr>
                                <w:rFonts w:ascii="Arial" w:hAnsi="Arial"/>
                                <w:color w:val="FFFFFF"/>
                                <w:sz w:val="20"/>
                              </w:rPr>
                              <w:t>Meetings in 2022: 2</w:t>
                            </w:r>
                          </w:p>
                          <w:p>
                            <w:pPr>
                              <w:pStyle w:val="TableContents"/>
                              <w:spacing w:before="0" w:after="283"/>
                              <w:jc w:val="left"/>
                              <w:rPr>
                                <w:rFonts w:ascii="Arial" w:hAnsi="Arial"/>
                                <w:color w:val="FFFFFF"/>
                                <w:sz w:val="20"/>
                              </w:rPr>
                            </w:pPr>
                            <w:r>
                              <w:rPr>
                                <w:rFonts w:ascii="Arial" w:hAnsi="Arial"/>
                                <w:color w:val="FFFFFF"/>
                                <w:sz w:val="20"/>
                              </w:rPr>
                              <w:t>In addition to participating in formal meetings, our Compensation Committee members regularly communicate with each other, members of management and advisors and take action by written consent.</w:t>
                            </w:r>
                          </w:p>
                        </w:tc>
                        <w:tc>
                          <w:tcPr>
                            <w:tcW w:w="181" w:type="dxa"/>
                            <w:tcBorders>
                              <w:right w:val="single" w:sz="32" w:space="0" w:color="8EAD3C"/>
                            </w:tcBorders>
                            <w:shd w:fill="auto" w:val="clear"/>
                            <w:vAlign w:val="center"/>
                          </w:tcPr>
                          <w:p>
                            <w:pPr>
                              <w:pStyle w:val="TableContents"/>
                              <w:spacing w:before="0" w:after="283"/>
                              <w:jc w:val="left"/>
                              <w:rPr/>
                            </w:pPr>
                            <w:r>
                              <w:rPr/>
                              <w:t>   </w:t>
                            </w:r>
                          </w:p>
                        </w:tc>
                      </w:tr>
                      <w:tr>
                        <w:trPr/>
                        <w:tc>
                          <w:tcPr>
                            <w:tcW w:w="1035" w:type="dxa"/>
                            <w:tcBorders/>
                            <w:shd w:fill="auto" w:val="clear"/>
                            <w:tcMar>
                              <w:right w:w="0" w:type="dxa"/>
                            </w:tcMar>
                            <w:vAlign w:val="center"/>
                          </w:tcPr>
                          <w:p>
                            <w:pPr>
                              <w:pStyle w:val="TableContents"/>
                              <w:spacing w:before="0" w:after="283"/>
                              <w:jc w:val="left"/>
                              <w:rPr/>
                            </w:pPr>
                            <w:r>
                              <w:rPr/>
                              <w:t> </w:t>
                            </w:r>
                          </w:p>
                        </w:tc>
                        <w:tc>
                          <w:tcPr>
                            <w:tcW w:w="8989"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1"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4">
                <wp:simplePos x="0" y="0"/>
                <wp:positionH relativeFrom="column">
                  <wp:align>right</wp:align>
                </wp:positionH>
                <wp:positionV relativeFrom="line">
                  <wp:posOffset>635</wp:posOffset>
                </wp:positionV>
                <wp:extent cx="4600575" cy="5347970"/>
                <wp:effectExtent l="0" t="0" r="0" b="0"/>
                <wp:wrapSquare wrapText="largest"/>
                <wp:docPr id="392" name="Frame32"/>
                <a:graphic xmlns:a="http://schemas.openxmlformats.org/drawingml/2006/main">
                  <a:graphicData uri="http://schemas.microsoft.com/office/word/2010/wordprocessingShape">
                    <wps:wsp>
                      <wps:cNvSpPr txBox="1"/>
                      <wps:spPr>
                        <a:xfrm>
                          <a:off x="0" y="0"/>
                          <a:ext cx="4600575" cy="5347970"/>
                        </a:xfrm>
                        <a:prstGeom prst="rect"/>
                      </wps:spPr>
                      <wps:txbx>
                        <w:txbxContent>
                          <w:p>
                            <w:pPr>
                              <w:pStyle w:val="TextBody"/>
                              <w:spacing w:before="0" w:after="283"/>
                              <w:jc w:val="left"/>
                              <w:rPr/>
                            </w:pPr>
                            <w:r>
                              <w:rPr>
                                <w:rStyle w:val="StrongEmphasis"/>
                                <w:rFonts w:ascii="Arial" w:hAnsi="Arial"/>
                                <w:color w:val="8EAD3C"/>
                                <w:sz w:val="22"/>
                              </w:rPr>
                              <w:t>Principal Responsibilities:</w:t>
                            </w:r>
                          </w:p>
                          <w:p>
                            <w:pPr>
                              <w:pStyle w:val="TextBody"/>
                              <w:jc w:val="left"/>
                              <w:rPr>
                                <w:rFonts w:ascii="Arial" w:hAnsi="Arial"/>
                                <w:sz w:val="20"/>
                              </w:rPr>
                            </w:pPr>
                            <w:r>
                              <w:rPr>
                                <w:rFonts w:ascii="Arial" w:hAnsi="Arial"/>
                                <w:sz w:val="20"/>
                              </w:rPr>
                              <w:t>Our Compensation Committee’s primary purposes are to:</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Determine how the Company’s Chief Executive Officer should be compensated</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Administer the Company’s employee benefit plans and executive compensation programs</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Determine compensation of our executive officers other than our Chief Executive Officer</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Produce the report on executive compensation that is required to be included in this proxy statement</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Solicit recommendations, with respect to the compensation of our executive officers, from our Chief Executive Officer regarding total compensation for all executive officers other than the Chief Executive Officer and review his recommendations in terms of total compensation and the allocation of such compensation among base salary, annual bonus amounts and other long-term incentive compensation as well as the allocation of such items between cash and equity compensation</w:t>
                                  </w:r>
                                </w:p>
                              </w:tc>
                            </w:tr>
                          </w:tbl>
                          <w:p>
                            <w:pPr>
                              <w:pStyle w:val="TextBody"/>
                              <w:spacing w:before="240" w:after="283"/>
                              <w:jc w:val="left"/>
                              <w:rPr>
                                <w:rFonts w:ascii="Arial" w:hAnsi="Arial"/>
                                <w:sz w:val="20"/>
                              </w:rPr>
                            </w:pPr>
                            <w:r>
                              <w:rPr>
                                <w:rFonts w:ascii="Arial" w:hAnsi="Arial"/>
                                <w:sz w:val="20"/>
                              </w:rPr>
                              <w:t>Each member of the Compensation Committee is independent within the meaning of the rules of the NYSE.</w:t>
                            </w:r>
                          </w:p>
                          <w:p>
                            <w:pPr>
                              <w:pStyle w:val="TextBody"/>
                              <w:spacing w:before="0" w:after="0"/>
                              <w:rPr/>
                            </w:pPr>
                            <w:r>
                              <w:rPr/>
                            </w:r>
                          </w:p>
                          <w:p>
                            <w:pPr>
                              <w:pStyle w:val="TextBody"/>
                              <w:spacing w:lineRule="atLeast" w:line="141" w:before="0" w:after="0"/>
                              <w:rPr>
                                <w:highlight w:val="darkYellow"/>
                              </w:rPr>
                            </w:pPr>
                            <w:r>
                              <w:rPr>
                                <w:highlight w:val="darkYellow"/>
                              </w:rPr>
                              <w:t> </w:t>
                            </w:r>
                          </w:p>
                          <w:p>
                            <w:pPr>
                              <w:pStyle w:val="TextBody"/>
                              <w:rPr/>
                            </w:pPr>
                            <w:r>
                              <w:rPr/>
                            </w:r>
                          </w:p>
                          <w:p>
                            <w:pPr>
                              <w:pStyle w:val="TextBody"/>
                              <w:spacing w:before="0" w:after="283"/>
                              <w:jc w:val="left"/>
                              <w:rPr>
                                <w:rFonts w:ascii="Arial" w:hAnsi="Arial"/>
                                <w:sz w:val="20"/>
                              </w:rPr>
                            </w:pPr>
                            <w:r>
                              <w:rPr>
                                <w:rFonts w:ascii="Arial" w:hAnsi="Arial"/>
                                <w:sz w:val="20"/>
                              </w:rPr>
                              <w:t>Our Compensation Committee retained Gressle &amp; McGinley LLC as its independent outside compensation consulting firm and engaged Gressle &amp; McGinley LLC to provide our Compensation Committee with relevant data concerning the marketplace, our peer group and its own independent analysis and recommendations concerning executive compensation. Gressle &amp; McGinley LLC regularly participates in Compensation Committee meetings. See “Executive Compensation—Compensation Discussion and Analysis.”</w:t>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421.1pt;mso-wrap-distance-left:0pt;mso-wrap-distance-right:0pt;mso-wrap-distance-top:0pt;mso-wrap-distance-bottom:0pt;margin-top:0pt;mso-position-vertical:top;mso-position-vertical-relative:text;margin-left:148pt;mso-position-horizontal:right;mso-position-horizontal-relative:text">
                <v:textbox>
                  <w:txbxContent>
                    <w:p>
                      <w:pPr>
                        <w:pStyle w:val="TextBody"/>
                        <w:spacing w:before="0" w:after="283"/>
                        <w:jc w:val="left"/>
                        <w:rPr/>
                      </w:pPr>
                      <w:r>
                        <w:rPr>
                          <w:rStyle w:val="StrongEmphasis"/>
                          <w:rFonts w:ascii="Arial" w:hAnsi="Arial"/>
                          <w:color w:val="8EAD3C"/>
                          <w:sz w:val="22"/>
                        </w:rPr>
                        <w:t>Principal Responsibilities:</w:t>
                      </w:r>
                    </w:p>
                    <w:p>
                      <w:pPr>
                        <w:pStyle w:val="TextBody"/>
                        <w:jc w:val="left"/>
                        <w:rPr>
                          <w:rFonts w:ascii="Arial" w:hAnsi="Arial"/>
                          <w:sz w:val="20"/>
                        </w:rPr>
                      </w:pPr>
                      <w:r>
                        <w:rPr>
                          <w:rFonts w:ascii="Arial" w:hAnsi="Arial"/>
                          <w:sz w:val="20"/>
                        </w:rPr>
                        <w:t>Our Compensation Committee’s primary purposes are to:</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Determine how the Company’s Chief Executive Officer should be compensated</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Administer the Company’s employee benefit plans and executive compensation programs</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Determine compensation of our executive officers other than our Chief Executive Officer</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Produce the report on executive compensation that is required to be included in this proxy statement</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Solicit recommendations, with respect to the compensation of our executive officers, from our Chief Executive Officer regarding total compensation for all executive officers other than the Chief Executive Officer and review his recommendations in terms of total compensation and the allocation of such compensation among base salary, annual bonus amounts and other long-term incentive compensation as well as the allocation of such items between cash and equity compensation</w:t>
                            </w:r>
                          </w:p>
                        </w:tc>
                      </w:tr>
                    </w:tbl>
                    <w:p>
                      <w:pPr>
                        <w:pStyle w:val="TextBody"/>
                        <w:spacing w:before="240" w:after="283"/>
                        <w:jc w:val="left"/>
                        <w:rPr>
                          <w:rFonts w:ascii="Arial" w:hAnsi="Arial"/>
                          <w:sz w:val="20"/>
                        </w:rPr>
                      </w:pPr>
                      <w:r>
                        <w:rPr>
                          <w:rFonts w:ascii="Arial" w:hAnsi="Arial"/>
                          <w:sz w:val="20"/>
                        </w:rPr>
                        <w:t>Each member of the Compensation Committee is independent within the meaning of the rules of the NYSE.</w:t>
                      </w:r>
                    </w:p>
                    <w:p>
                      <w:pPr>
                        <w:pStyle w:val="TextBody"/>
                        <w:spacing w:before="0" w:after="0"/>
                        <w:rPr/>
                      </w:pPr>
                      <w:r>
                        <w:rPr/>
                      </w:r>
                    </w:p>
                    <w:p>
                      <w:pPr>
                        <w:pStyle w:val="TextBody"/>
                        <w:spacing w:lineRule="atLeast" w:line="141" w:before="0" w:after="0"/>
                        <w:rPr>
                          <w:highlight w:val="darkYellow"/>
                        </w:rPr>
                      </w:pPr>
                      <w:r>
                        <w:rPr>
                          <w:highlight w:val="darkYellow"/>
                        </w:rPr>
                        <w:t> </w:t>
                      </w:r>
                    </w:p>
                    <w:p>
                      <w:pPr>
                        <w:pStyle w:val="TextBody"/>
                        <w:rPr/>
                      </w:pPr>
                      <w:r>
                        <w:rPr/>
                      </w:r>
                    </w:p>
                    <w:p>
                      <w:pPr>
                        <w:pStyle w:val="TextBody"/>
                        <w:spacing w:before="0" w:after="283"/>
                        <w:jc w:val="left"/>
                        <w:rPr>
                          <w:rFonts w:ascii="Arial" w:hAnsi="Arial"/>
                          <w:sz w:val="20"/>
                        </w:rPr>
                      </w:pPr>
                      <w:r>
                        <w:rPr>
                          <w:rFonts w:ascii="Arial" w:hAnsi="Arial"/>
                          <w:sz w:val="20"/>
                        </w:rPr>
                        <w:t>Our Compensation Committee retained Gressle &amp; McGinley LLC as its independent outside compensation consulting firm and engaged Gressle &amp; McGinley LLC to provide our Compensation Committee with relevant data concerning the marketplace, our peer group and its own independent analysis and recommendations concerning executive compensation. Gressle &amp; McGinley LLC regularly participates in Compensation Committee meetings. See “Executive Compensation—Compensation Discussion and Analysis.”</w:t>
                      </w:r>
                    </w:p>
                  </w:txbxContent>
                </v:textbox>
                <w10:wrap type="square" side="left"/>
              </v:rect>
            </w:pict>
          </mc:Fallback>
        </mc:AlternateContent>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28</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0" w:after="0"/>
        <w:rPr/>
      </w:pPr>
      <w:r>
        <w:rPr/>
      </w: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1619885" cy="3571875"/>
                <wp:effectExtent l="0" t="0" r="0" b="0"/>
                <wp:wrapSquare wrapText="largest"/>
                <wp:docPr id="393" name="Frame33"/>
                <a:graphic xmlns:a="http://schemas.openxmlformats.org/drawingml/2006/main">
                  <a:graphicData uri="http://schemas.microsoft.com/office/word/2010/wordprocessingShape">
                    <wps:wsp>
                      <wps:cNvSpPr txBox="1"/>
                      <wps:spPr>
                        <a:xfrm>
                          <a:off x="0" y="0"/>
                          <a:ext cx="1619885" cy="3571875"/>
                        </a:xfrm>
                        <a:prstGeom prst="rect"/>
                      </wps:spPr>
                      <wps:txbx>
                        <w:txbxContent>
                          <w:tbl>
                            <w:tblPr>
                              <w:tblW w:w="10205" w:type="dxa"/>
                              <w:jc w:val="left"/>
                              <w:tblInd w:w="0" w:type="dxa"/>
                              <w:tblCellMar>
                                <w:top w:w="0" w:type="dxa"/>
                                <w:left w:w="0" w:type="dxa"/>
                                <w:bottom w:w="0" w:type="dxa"/>
                                <w:right w:w="28" w:type="dxa"/>
                              </w:tblCellMar>
                            </w:tblPr>
                            <w:tblGrid>
                              <w:gridCol w:w="1033"/>
                              <w:gridCol w:w="8991"/>
                              <w:gridCol w:w="181"/>
                            </w:tblGrid>
                            <w:tr>
                              <w:trPr/>
                              <w:tc>
                                <w:tcPr>
                                  <w:tcW w:w="1033" w:type="dxa"/>
                                  <w:tcBorders>
                                    <w:right w:val="single" w:sz="32" w:space="0" w:color="8EAD3C"/>
                                  </w:tcBorders>
                                  <w:shd w:fill="auto" w:val="clear"/>
                                  <w:vAlign w:val="center"/>
                                </w:tcPr>
                                <w:p>
                                  <w:pPr>
                                    <w:pStyle w:val="TableContents"/>
                                    <w:spacing w:before="0" w:after="283"/>
                                    <w:jc w:val="left"/>
                                    <w:rPr/>
                                  </w:pPr>
                                  <w:r>
                                    <w:rPr/>
                                    <w:t>   </w:t>
                                  </w:r>
                                </w:p>
                              </w:tc>
                              <w:tc>
                                <w:tcPr>
                                  <w:tcW w:w="8991"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1"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024" w:type="dxa"/>
                                  <w:gridSpan w:val="2"/>
                                  <w:tcBorders/>
                                  <w:shd w:fill="1A2343" w:val="clear"/>
                                  <w:tcMar>
                                    <w:right w:w="0" w:type="dxa"/>
                                  </w:tcMar>
                                  <w:vAlign w:val="center"/>
                                </w:tcPr>
                                <w:p>
                                  <w:pPr>
                                    <w:pStyle w:val="TableContents"/>
                                    <w:jc w:val="left"/>
                                    <w:rPr/>
                                  </w:pPr>
                                  <w:r>
                                    <w:rPr>
                                      <w:rStyle w:val="StrongEmphasis"/>
                                      <w:rFonts w:ascii="Arial" w:hAnsi="Arial"/>
                                      <w:color w:val="FFFFFF"/>
                                      <w:sz w:val="26"/>
                                    </w:rPr>
                                    <w:t>NOMINATING AND CORPORATE GOVERNANCE COMMITTEE</w:t>
                                  </w:r>
                                </w:p>
                                <w:p>
                                  <w:pPr>
                                    <w:pStyle w:val="TableContents"/>
                                    <w:jc w:val="left"/>
                                    <w:rPr/>
                                  </w:pPr>
                                  <w:r>
                                    <w:rPr>
                                      <w:rStyle w:val="StrongEmphasis"/>
                                      <w:rFonts w:ascii="Arial" w:hAnsi="Arial"/>
                                      <w:color w:val="FFFFFF"/>
                                      <w:sz w:val="20"/>
                                    </w:rPr>
                                    <w:t>Members</w:t>
                                  </w:r>
                                </w:p>
                                <w:p>
                                  <w:pPr>
                                    <w:pStyle w:val="TableContents"/>
                                    <w:jc w:val="left"/>
                                    <w:rPr>
                                      <w:rFonts w:ascii="Arial" w:hAnsi="Arial"/>
                                      <w:color w:val="FFFFFF"/>
                                      <w:sz w:val="20"/>
                                    </w:rPr>
                                  </w:pPr>
                                  <w:r>
                                    <w:rPr>
                                      <w:rFonts w:ascii="Arial" w:hAnsi="Arial"/>
                                      <w:color w:val="FFFFFF"/>
                                      <w:sz w:val="20"/>
                                    </w:rPr>
                                    <w:t xml:space="preserve">Craig M. Hatkoff (Chair) </w:t>
                                    <w:br/>
                                    <w:t>John H. Alschuler</w:t>
                                    <w:br/>
                                    <w:t>Betsy S. Atkins</w:t>
                                    <w:br/>
                                    <w:t>Carol N. Brown</w:t>
                                    <w:br/>
                                    <w:t>John S. Levy</w:t>
                                  </w:r>
                                </w:p>
                                <w:p>
                                  <w:pPr>
                                    <w:pStyle w:val="TableContents"/>
                                    <w:jc w:val="left"/>
                                    <w:rPr>
                                      <w:rFonts w:ascii="Arial" w:hAnsi="Arial"/>
                                      <w:color w:val="FFFFFF"/>
                                      <w:sz w:val="20"/>
                                    </w:rPr>
                                  </w:pPr>
                                  <w:r>
                                    <w:rPr>
                                      <w:rFonts w:ascii="Arial" w:hAnsi="Arial"/>
                                      <w:color w:val="FFFFFF"/>
                                      <w:sz w:val="20"/>
                                    </w:rPr>
                                    <w:t>Meetings in 2022: 1</w:t>
                                  </w:r>
                                </w:p>
                                <w:p>
                                  <w:pPr>
                                    <w:pStyle w:val="TableContents"/>
                                    <w:spacing w:before="0" w:after="283"/>
                                    <w:jc w:val="left"/>
                                    <w:rPr>
                                      <w:rFonts w:ascii="Arial" w:hAnsi="Arial"/>
                                      <w:color w:val="FFFFFF"/>
                                      <w:sz w:val="20"/>
                                    </w:rPr>
                                  </w:pPr>
                                  <w:r>
                                    <w:rPr>
                                      <w:rFonts w:ascii="Arial" w:hAnsi="Arial"/>
                                      <w:color w:val="FFFFFF"/>
                                      <w:sz w:val="20"/>
                                    </w:rPr>
                                    <w:t>In addition to participating in formal meetings, our Nominating and Corporate Governance Committee members regularly communicate with each other, members of management and advisors and take action by written consent.</w:t>
                                  </w:r>
                                </w:p>
                              </w:tc>
                              <w:tc>
                                <w:tcPr>
                                  <w:tcW w:w="181" w:type="dxa"/>
                                  <w:tcBorders>
                                    <w:right w:val="single" w:sz="32" w:space="0" w:color="8EAD3C"/>
                                  </w:tcBorders>
                                  <w:shd w:fill="auto" w:val="clear"/>
                                  <w:vAlign w:val="center"/>
                                </w:tcPr>
                                <w:p>
                                  <w:pPr>
                                    <w:pStyle w:val="TableContents"/>
                                    <w:spacing w:before="0" w:after="283"/>
                                    <w:jc w:val="left"/>
                                    <w:rPr/>
                                  </w:pPr>
                                  <w:r>
                                    <w:rPr/>
                                    <w:t>   </w:t>
                                  </w:r>
                                </w:p>
                              </w:tc>
                            </w:tr>
                            <w:tr>
                              <w:trPr/>
                              <w:tc>
                                <w:tcPr>
                                  <w:tcW w:w="1033" w:type="dxa"/>
                                  <w:tcBorders/>
                                  <w:shd w:fill="auto" w:val="clear"/>
                                  <w:tcMar>
                                    <w:right w:w="0" w:type="dxa"/>
                                  </w:tcMar>
                                  <w:vAlign w:val="center"/>
                                </w:tcPr>
                                <w:p>
                                  <w:pPr>
                                    <w:pStyle w:val="TableContents"/>
                                    <w:spacing w:before="0" w:after="283"/>
                                    <w:jc w:val="left"/>
                                    <w:rPr/>
                                  </w:pPr>
                                  <w:r>
                                    <w:rPr/>
                                    <w:t> </w:t>
                                  </w:r>
                                </w:p>
                              </w:tc>
                              <w:tc>
                                <w:tcPr>
                                  <w:tcW w:w="8991"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1"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25000</wp14:pctWidth>
                </wp14:sizeRelH>
              </wp:anchor>
            </w:drawing>
          </mc:Choice>
          <mc:Fallback>
            <w:pict>
              <v:rect style="position:absolute;rotation:0;width:127.55pt;height:281.2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CellMar>
                          <w:top w:w="0" w:type="dxa"/>
                          <w:left w:w="0" w:type="dxa"/>
                          <w:bottom w:w="0" w:type="dxa"/>
                          <w:right w:w="28" w:type="dxa"/>
                        </w:tblCellMar>
                      </w:tblPr>
                      <w:tblGrid>
                        <w:gridCol w:w="1033"/>
                        <w:gridCol w:w="8991"/>
                        <w:gridCol w:w="181"/>
                      </w:tblGrid>
                      <w:tr>
                        <w:trPr/>
                        <w:tc>
                          <w:tcPr>
                            <w:tcW w:w="1033" w:type="dxa"/>
                            <w:tcBorders>
                              <w:right w:val="single" w:sz="32" w:space="0" w:color="8EAD3C"/>
                            </w:tcBorders>
                            <w:shd w:fill="auto" w:val="clear"/>
                            <w:vAlign w:val="center"/>
                          </w:tcPr>
                          <w:p>
                            <w:pPr>
                              <w:pStyle w:val="TableContents"/>
                              <w:spacing w:before="0" w:after="283"/>
                              <w:jc w:val="left"/>
                              <w:rPr/>
                            </w:pPr>
                            <w:r>
                              <w:rPr/>
                              <w:t>   </w:t>
                            </w:r>
                          </w:p>
                        </w:tc>
                        <w:tc>
                          <w:tcPr>
                            <w:tcW w:w="8991"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1"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024" w:type="dxa"/>
                            <w:gridSpan w:val="2"/>
                            <w:tcBorders/>
                            <w:shd w:fill="1A2343" w:val="clear"/>
                            <w:tcMar>
                              <w:right w:w="0" w:type="dxa"/>
                            </w:tcMar>
                            <w:vAlign w:val="center"/>
                          </w:tcPr>
                          <w:p>
                            <w:pPr>
                              <w:pStyle w:val="TableContents"/>
                              <w:jc w:val="left"/>
                              <w:rPr/>
                            </w:pPr>
                            <w:r>
                              <w:rPr>
                                <w:rStyle w:val="StrongEmphasis"/>
                                <w:rFonts w:ascii="Arial" w:hAnsi="Arial"/>
                                <w:color w:val="FFFFFF"/>
                                <w:sz w:val="26"/>
                              </w:rPr>
                              <w:t>NOMINATING AND CORPORATE GOVERNANCE COMMITTEE</w:t>
                            </w:r>
                          </w:p>
                          <w:p>
                            <w:pPr>
                              <w:pStyle w:val="TableContents"/>
                              <w:jc w:val="left"/>
                              <w:rPr/>
                            </w:pPr>
                            <w:r>
                              <w:rPr>
                                <w:rStyle w:val="StrongEmphasis"/>
                                <w:rFonts w:ascii="Arial" w:hAnsi="Arial"/>
                                <w:color w:val="FFFFFF"/>
                                <w:sz w:val="20"/>
                              </w:rPr>
                              <w:t>Members</w:t>
                            </w:r>
                          </w:p>
                          <w:p>
                            <w:pPr>
                              <w:pStyle w:val="TableContents"/>
                              <w:jc w:val="left"/>
                              <w:rPr>
                                <w:rFonts w:ascii="Arial" w:hAnsi="Arial"/>
                                <w:color w:val="FFFFFF"/>
                                <w:sz w:val="20"/>
                              </w:rPr>
                            </w:pPr>
                            <w:r>
                              <w:rPr>
                                <w:rFonts w:ascii="Arial" w:hAnsi="Arial"/>
                                <w:color w:val="FFFFFF"/>
                                <w:sz w:val="20"/>
                              </w:rPr>
                              <w:t xml:space="preserve">Craig M. Hatkoff (Chair) </w:t>
                              <w:br/>
                              <w:t>John H. Alschuler</w:t>
                              <w:br/>
                              <w:t>Betsy S. Atkins</w:t>
                              <w:br/>
                              <w:t>Carol N. Brown</w:t>
                              <w:br/>
                              <w:t>John S. Levy</w:t>
                            </w:r>
                          </w:p>
                          <w:p>
                            <w:pPr>
                              <w:pStyle w:val="TableContents"/>
                              <w:jc w:val="left"/>
                              <w:rPr>
                                <w:rFonts w:ascii="Arial" w:hAnsi="Arial"/>
                                <w:color w:val="FFFFFF"/>
                                <w:sz w:val="20"/>
                              </w:rPr>
                            </w:pPr>
                            <w:r>
                              <w:rPr>
                                <w:rFonts w:ascii="Arial" w:hAnsi="Arial"/>
                                <w:color w:val="FFFFFF"/>
                                <w:sz w:val="20"/>
                              </w:rPr>
                              <w:t>Meetings in 2022: 1</w:t>
                            </w:r>
                          </w:p>
                          <w:p>
                            <w:pPr>
                              <w:pStyle w:val="TableContents"/>
                              <w:spacing w:before="0" w:after="283"/>
                              <w:jc w:val="left"/>
                              <w:rPr>
                                <w:rFonts w:ascii="Arial" w:hAnsi="Arial"/>
                                <w:color w:val="FFFFFF"/>
                                <w:sz w:val="20"/>
                              </w:rPr>
                            </w:pPr>
                            <w:r>
                              <w:rPr>
                                <w:rFonts w:ascii="Arial" w:hAnsi="Arial"/>
                                <w:color w:val="FFFFFF"/>
                                <w:sz w:val="20"/>
                              </w:rPr>
                              <w:t>In addition to participating in formal meetings, our Nominating and Corporate Governance Committee members regularly communicate with each other, members of management and advisors and take action by written consent.</w:t>
                            </w:r>
                          </w:p>
                        </w:tc>
                        <w:tc>
                          <w:tcPr>
                            <w:tcW w:w="181" w:type="dxa"/>
                            <w:tcBorders>
                              <w:right w:val="single" w:sz="32" w:space="0" w:color="8EAD3C"/>
                            </w:tcBorders>
                            <w:shd w:fill="auto" w:val="clear"/>
                            <w:vAlign w:val="center"/>
                          </w:tcPr>
                          <w:p>
                            <w:pPr>
                              <w:pStyle w:val="TableContents"/>
                              <w:spacing w:before="0" w:after="283"/>
                              <w:jc w:val="left"/>
                              <w:rPr/>
                            </w:pPr>
                            <w:r>
                              <w:rPr/>
                              <w:t>   </w:t>
                            </w:r>
                          </w:p>
                        </w:tc>
                      </w:tr>
                      <w:tr>
                        <w:trPr/>
                        <w:tc>
                          <w:tcPr>
                            <w:tcW w:w="1033" w:type="dxa"/>
                            <w:tcBorders/>
                            <w:shd w:fill="auto" w:val="clear"/>
                            <w:tcMar>
                              <w:right w:w="0" w:type="dxa"/>
                            </w:tcMar>
                            <w:vAlign w:val="center"/>
                          </w:tcPr>
                          <w:p>
                            <w:pPr>
                              <w:pStyle w:val="TableContents"/>
                              <w:spacing w:before="0" w:after="283"/>
                              <w:jc w:val="left"/>
                              <w:rPr/>
                            </w:pPr>
                            <w:r>
                              <w:rPr/>
                              <w:t> </w:t>
                            </w:r>
                          </w:p>
                        </w:tc>
                        <w:tc>
                          <w:tcPr>
                            <w:tcW w:w="8991"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1"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6">
                <wp:simplePos x="0" y="0"/>
                <wp:positionH relativeFrom="column">
                  <wp:align>right</wp:align>
                </wp:positionH>
                <wp:positionV relativeFrom="line">
                  <wp:posOffset>635</wp:posOffset>
                </wp:positionV>
                <wp:extent cx="4600575" cy="2793365"/>
                <wp:effectExtent l="0" t="0" r="0" b="0"/>
                <wp:wrapSquare wrapText="largest"/>
                <wp:docPr id="394" name="Frame34"/>
                <a:graphic xmlns:a="http://schemas.openxmlformats.org/drawingml/2006/main">
                  <a:graphicData uri="http://schemas.microsoft.com/office/word/2010/wordprocessingShape">
                    <wps:wsp>
                      <wps:cNvSpPr txBox="1"/>
                      <wps:spPr>
                        <a:xfrm>
                          <a:off x="0" y="0"/>
                          <a:ext cx="4600575" cy="2793365"/>
                        </a:xfrm>
                        <a:prstGeom prst="rect"/>
                      </wps:spPr>
                      <wps:txbx>
                        <w:txbxContent>
                          <w:p>
                            <w:pPr>
                              <w:pStyle w:val="TextBody"/>
                              <w:spacing w:before="0" w:after="283"/>
                              <w:jc w:val="left"/>
                              <w:rPr/>
                            </w:pPr>
                            <w:r>
                              <w:rPr>
                                <w:rStyle w:val="StrongEmphasis"/>
                                <w:rFonts w:ascii="Arial" w:hAnsi="Arial"/>
                                <w:color w:val="8EAD3C"/>
                                <w:sz w:val="22"/>
                              </w:rPr>
                              <w:t>Principal Responsibilities:</w:t>
                            </w:r>
                          </w:p>
                          <w:p>
                            <w:pPr>
                              <w:pStyle w:val="TextBody"/>
                              <w:jc w:val="left"/>
                              <w:rPr>
                                <w:rFonts w:ascii="Arial" w:hAnsi="Arial"/>
                                <w:sz w:val="20"/>
                              </w:rPr>
                            </w:pPr>
                            <w:r>
                              <w:rPr>
                                <w:rFonts w:ascii="Arial" w:hAnsi="Arial"/>
                                <w:sz w:val="20"/>
                              </w:rPr>
                              <w:t>Our Nominating and Corporate Governance Committee’s primary purposes are to:</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Identify individuals qualified to fill vacancies or newly-created positions on the Board</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Recommend to the Board the persons it should nominate for election as directors at annual meetings of the Company’s stockholders</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Recommend directors to serve on all committees of the Board</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Develop and recommend to the Board governance principles applicable to the Company</w:t>
                                  </w:r>
                                </w:p>
                              </w:tc>
                            </w:tr>
                          </w:tbl>
                          <w:p>
                            <w:pPr>
                              <w:pStyle w:val="TextBody"/>
                              <w:spacing w:before="240" w:after="283"/>
                              <w:jc w:val="left"/>
                              <w:rPr>
                                <w:rFonts w:ascii="Arial" w:hAnsi="Arial"/>
                                <w:sz w:val="20"/>
                              </w:rPr>
                            </w:pPr>
                            <w:r>
                              <w:rPr>
                                <w:rFonts w:ascii="Arial" w:hAnsi="Arial"/>
                                <w:sz w:val="20"/>
                              </w:rPr>
                              <w:t>Each member of the Nominating and Corporate Governance Committee is independent within the meaning of the rules of the NYSE.</w:t>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219.95pt;mso-wrap-distance-left:0pt;mso-wrap-distance-right:0pt;mso-wrap-distance-top:0pt;mso-wrap-distance-bottom:0pt;margin-top:0pt;mso-position-vertical:top;mso-position-vertical-relative:text;margin-left:148pt;mso-position-horizontal:right;mso-position-horizontal-relative:text">
                <v:textbox>
                  <w:txbxContent>
                    <w:p>
                      <w:pPr>
                        <w:pStyle w:val="TextBody"/>
                        <w:spacing w:before="0" w:after="283"/>
                        <w:jc w:val="left"/>
                        <w:rPr/>
                      </w:pPr>
                      <w:r>
                        <w:rPr>
                          <w:rStyle w:val="StrongEmphasis"/>
                          <w:rFonts w:ascii="Arial" w:hAnsi="Arial"/>
                          <w:color w:val="8EAD3C"/>
                          <w:sz w:val="22"/>
                        </w:rPr>
                        <w:t>Principal Responsibilities:</w:t>
                      </w:r>
                    </w:p>
                    <w:p>
                      <w:pPr>
                        <w:pStyle w:val="TextBody"/>
                        <w:jc w:val="left"/>
                        <w:rPr>
                          <w:rFonts w:ascii="Arial" w:hAnsi="Arial"/>
                          <w:sz w:val="20"/>
                        </w:rPr>
                      </w:pPr>
                      <w:r>
                        <w:rPr>
                          <w:rFonts w:ascii="Arial" w:hAnsi="Arial"/>
                          <w:sz w:val="20"/>
                        </w:rPr>
                        <w:t>Our Nominating and Corporate Governance Committee’s primary purposes are to:</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Identify individuals qualified to fill vacancies or newly-created positions on the Board</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Recommend to the Board the persons it should nominate for election as directors at annual meetings of the Company’s stockholders</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Recommend directors to serve on all committees of the Board</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Develop and recommend to the Board governance principles applicable to the Company</w:t>
                            </w:r>
                          </w:p>
                        </w:tc>
                      </w:tr>
                    </w:tbl>
                    <w:p>
                      <w:pPr>
                        <w:pStyle w:val="TextBody"/>
                        <w:spacing w:before="240" w:after="283"/>
                        <w:jc w:val="left"/>
                        <w:rPr>
                          <w:rFonts w:ascii="Arial" w:hAnsi="Arial"/>
                          <w:sz w:val="20"/>
                        </w:rPr>
                      </w:pPr>
                      <w:r>
                        <w:rPr>
                          <w:rFonts w:ascii="Arial" w:hAnsi="Arial"/>
                          <w:sz w:val="20"/>
                        </w:rPr>
                        <w:t>Each member of the Nominating and Corporate Governance Committee is independent within the meaning of the rules of the NYSE.</w:t>
                      </w:r>
                    </w:p>
                  </w:txbxContent>
                </v:textbox>
                <w10:wrap type="square" side="left"/>
              </v:rect>
            </w:pict>
          </mc:Fallback>
        </mc:AlternateContent>
      </w: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1619885" cy="175260"/>
                <wp:effectExtent l="0" t="0" r="0" b="0"/>
                <wp:wrapSquare wrapText="largest"/>
                <wp:docPr id="395" name="Frame35"/>
                <a:graphic xmlns:a="http://schemas.openxmlformats.org/drawingml/2006/main">
                  <a:graphicData uri="http://schemas.microsoft.com/office/word/2010/wordprocessingShape">
                    <wps:wsp>
                      <wps:cNvSpPr txBox="1"/>
                      <wps:spPr>
                        <a:xfrm>
                          <a:off x="0" y="0"/>
                          <a:ext cx="1619885" cy="175260"/>
                        </a:xfrm>
                        <a:prstGeom prst="rect"/>
                      </wps:spPr>
                      <wps:txbx>
                        <w:txbxContent>
                          <w:p>
                            <w:pPr>
                              <w:pStyle w:val="TextBody"/>
                              <w:spacing w:before="0" w:after="283"/>
                              <w:rPr/>
                            </w:pPr>
                            <w:r>
                              <w:rPr/>
                              <w:t> </w:t>
                            </w:r>
                          </w:p>
                        </w:txbxContent>
                      </wps:txbx>
                      <wps:bodyPr anchor="t" lIns="0" tIns="0" rIns="0" bIns="0">
                        <a:noAutofit/>
                      </wps:bodyPr>
                    </wps:wsp>
                  </a:graphicData>
                </a:graphic>
                <wp14:sizeRelH relativeFrom="margin">
                  <wp14:pctWidth>25000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127.55pt;mso-position-horizontal:left;mso-position-horizontal-relative:text">
                <v:textbox>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78">
                <wp:simplePos x="0" y="0"/>
                <wp:positionH relativeFrom="column">
                  <wp:align>right</wp:align>
                </wp:positionH>
                <wp:positionV relativeFrom="line">
                  <wp:posOffset>635</wp:posOffset>
                </wp:positionV>
                <wp:extent cx="4600575" cy="175260"/>
                <wp:effectExtent l="0" t="0" r="0" b="0"/>
                <wp:wrapSquare wrapText="largest"/>
                <wp:docPr id="396" name="Frame36"/>
                <a:graphic xmlns:a="http://schemas.openxmlformats.org/drawingml/2006/main">
                  <a:graphicData uri="http://schemas.microsoft.com/office/word/2010/wordprocessingShape">
                    <wps:wsp>
                      <wps:cNvSpPr txBox="1"/>
                      <wps:spPr>
                        <a:xfrm>
                          <a:off x="0" y="0"/>
                          <a:ext cx="4600575" cy="175260"/>
                        </a:xfrm>
                        <a:prstGeom prst="rect"/>
                      </wps:spPr>
                      <wps:txbx>
                        <w:txbxContent>
                          <w:p>
                            <w:pPr>
                              <w:pStyle w:val="TextBody"/>
                              <w:spacing w:lineRule="atLeast" w:line="141" w:before="0" w:after="0"/>
                              <w:jc w:val="right"/>
                              <w:rPr>
                                <w:highlight w:val="darkYellow"/>
                              </w:rPr>
                            </w:pPr>
                            <w:r>
                              <w:rPr>
                                <w:highlight w:val="darkYellow"/>
                              </w:rPr>
                              <w:t> </w:t>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13.8pt;mso-wrap-distance-left:0pt;mso-wrap-distance-right:0pt;mso-wrap-distance-top:0pt;mso-wrap-distance-bottom:0pt;margin-top:0pt;mso-position-vertical:top;mso-position-vertical-relative:text;margin-left:148pt;mso-position-horizontal:right;mso-position-horizontal-relative:text">
                <v:textbox>
                  <w:txbxContent>
                    <w:p>
                      <w:pPr>
                        <w:pStyle w:val="TextBody"/>
                        <w:spacing w:lineRule="atLeast" w:line="141" w:before="0" w:after="0"/>
                        <w:jc w:val="right"/>
                        <w:rPr>
                          <w:highlight w:val="darkYellow"/>
                        </w:rPr>
                      </w:pPr>
                      <w:r>
                        <w:rPr>
                          <w:highlight w:val="darkYellow"/>
                        </w:rPr>
                        <w:t> </w:t>
                      </w:r>
                    </w:p>
                  </w:txbxContent>
                </v:textbox>
                <w10:wrap type="square" side="left"/>
              </v:rect>
            </w:pict>
          </mc:Fallback>
        </mc:AlternateConten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1619885" cy="3133725"/>
                <wp:effectExtent l="0" t="0" r="0" b="0"/>
                <wp:wrapSquare wrapText="largest"/>
                <wp:docPr id="397" name="Frame37"/>
                <a:graphic xmlns:a="http://schemas.openxmlformats.org/drawingml/2006/main">
                  <a:graphicData uri="http://schemas.microsoft.com/office/word/2010/wordprocessingShape">
                    <wps:wsp>
                      <wps:cNvSpPr txBox="1"/>
                      <wps:spPr>
                        <a:xfrm>
                          <a:off x="0" y="0"/>
                          <a:ext cx="1619885" cy="3133725"/>
                        </a:xfrm>
                        <a:prstGeom prst="rect"/>
                      </wps:spPr>
                      <wps:txbx>
                        <w:txbxContent>
                          <w:tbl>
                            <w:tblPr>
                              <w:tblW w:w="10205" w:type="dxa"/>
                              <w:jc w:val="left"/>
                              <w:tblInd w:w="0" w:type="dxa"/>
                              <w:tblCellMar>
                                <w:top w:w="0" w:type="dxa"/>
                                <w:left w:w="0" w:type="dxa"/>
                                <w:bottom w:w="0" w:type="dxa"/>
                                <w:right w:w="28" w:type="dxa"/>
                              </w:tblCellMar>
                            </w:tblPr>
                            <w:tblGrid>
                              <w:gridCol w:w="1032"/>
                              <w:gridCol w:w="8992"/>
                              <w:gridCol w:w="181"/>
                            </w:tblGrid>
                            <w:tr>
                              <w:trPr/>
                              <w:tc>
                                <w:tcPr>
                                  <w:tcW w:w="1032" w:type="dxa"/>
                                  <w:tcBorders>
                                    <w:right w:val="single" w:sz="32" w:space="0" w:color="8EAD3C"/>
                                  </w:tcBorders>
                                  <w:shd w:fill="auto" w:val="clear"/>
                                  <w:vAlign w:val="center"/>
                                </w:tcPr>
                                <w:p>
                                  <w:pPr>
                                    <w:pStyle w:val="TableContents"/>
                                    <w:spacing w:before="0" w:after="283"/>
                                    <w:jc w:val="left"/>
                                    <w:rPr/>
                                  </w:pPr>
                                  <w:r>
                                    <w:rPr/>
                                    <w:t>   </w:t>
                                  </w:r>
                                </w:p>
                              </w:tc>
                              <w:tc>
                                <w:tcPr>
                                  <w:tcW w:w="8992"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1"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024" w:type="dxa"/>
                                  <w:gridSpan w:val="2"/>
                                  <w:tcBorders/>
                                  <w:shd w:fill="1A2343" w:val="clear"/>
                                  <w:tcMar>
                                    <w:right w:w="0" w:type="dxa"/>
                                  </w:tcMar>
                                  <w:vAlign w:val="center"/>
                                </w:tcPr>
                                <w:p>
                                  <w:pPr>
                                    <w:pStyle w:val="TableContents"/>
                                    <w:jc w:val="left"/>
                                    <w:rPr/>
                                  </w:pPr>
                                  <w:r>
                                    <w:rPr>
                                      <w:rStyle w:val="StrongEmphasis"/>
                                      <w:rFonts w:ascii="Arial" w:hAnsi="Arial"/>
                                      <w:color w:val="FFFFFF"/>
                                      <w:sz w:val="26"/>
                                    </w:rPr>
                                    <w:t>EXECUTIVE COMMITTEE</w:t>
                                  </w:r>
                                </w:p>
                                <w:p>
                                  <w:pPr>
                                    <w:pStyle w:val="TableContents"/>
                                    <w:jc w:val="left"/>
                                    <w:rPr/>
                                  </w:pPr>
                                  <w:r>
                                    <w:rPr>
                                      <w:rStyle w:val="StrongEmphasis"/>
                                      <w:rFonts w:ascii="Arial" w:hAnsi="Arial"/>
                                      <w:color w:val="FFFFFF"/>
                                      <w:sz w:val="20"/>
                                    </w:rPr>
                                    <w:t>Members</w:t>
                                  </w:r>
                                </w:p>
                                <w:p>
                                  <w:pPr>
                                    <w:pStyle w:val="TableContents"/>
                                    <w:jc w:val="left"/>
                                    <w:rPr>
                                      <w:rFonts w:ascii="Arial" w:hAnsi="Arial"/>
                                      <w:color w:val="FFFFFF"/>
                                      <w:sz w:val="20"/>
                                    </w:rPr>
                                  </w:pPr>
                                  <w:r>
                                    <w:rPr>
                                      <w:rFonts w:ascii="Arial" w:hAnsi="Arial"/>
                                      <w:color w:val="FFFFFF"/>
                                      <w:sz w:val="20"/>
                                    </w:rPr>
                                    <w:t xml:space="preserve">Marc Holliday (Chair) </w:t>
                                    <w:br/>
                                    <w:t>Stephen L. Green</w:t>
                                    <w:br/>
                                    <w:t>John H. Alschuler</w:t>
                                  </w:r>
                                </w:p>
                                <w:p>
                                  <w:pPr>
                                    <w:pStyle w:val="TableContents"/>
                                    <w:jc w:val="left"/>
                                    <w:rPr>
                                      <w:rFonts w:ascii="Arial" w:hAnsi="Arial"/>
                                      <w:color w:val="FFFFFF"/>
                                      <w:sz w:val="20"/>
                                    </w:rPr>
                                  </w:pPr>
                                  <w:r>
                                    <w:rPr>
                                      <w:rFonts w:ascii="Arial" w:hAnsi="Arial"/>
                                      <w:color w:val="FFFFFF"/>
                                      <w:sz w:val="20"/>
                                    </w:rPr>
                                    <w:t>Meetings in 2022: 0</w:t>
                                  </w:r>
                                </w:p>
                                <w:p>
                                  <w:pPr>
                                    <w:pStyle w:val="TableContents"/>
                                    <w:spacing w:before="0" w:after="283"/>
                                    <w:jc w:val="left"/>
                                    <w:rPr>
                                      <w:rFonts w:ascii="Arial" w:hAnsi="Arial"/>
                                      <w:color w:val="FFFFFF"/>
                                      <w:sz w:val="20"/>
                                    </w:rPr>
                                  </w:pPr>
                                  <w:r>
                                    <w:rPr>
                                      <w:rFonts w:ascii="Arial" w:hAnsi="Arial"/>
                                      <w:color w:val="FFFFFF"/>
                                      <w:sz w:val="20"/>
                                    </w:rPr>
                                    <w:t>Our Executive Committee did not take any actions by written consent during fiscal year 2022, as all matters within its authority were approved by the Board.</w:t>
                                  </w:r>
                                </w:p>
                              </w:tc>
                              <w:tc>
                                <w:tcPr>
                                  <w:tcW w:w="181" w:type="dxa"/>
                                  <w:tcBorders>
                                    <w:right w:val="single" w:sz="32" w:space="0" w:color="8EAD3C"/>
                                  </w:tcBorders>
                                  <w:shd w:fill="auto" w:val="clear"/>
                                  <w:vAlign w:val="center"/>
                                </w:tcPr>
                                <w:p>
                                  <w:pPr>
                                    <w:pStyle w:val="TableContents"/>
                                    <w:spacing w:before="0" w:after="283"/>
                                    <w:jc w:val="left"/>
                                    <w:rPr/>
                                  </w:pPr>
                                  <w:r>
                                    <w:rPr/>
                                    <w:t>   </w:t>
                                  </w:r>
                                </w:p>
                              </w:tc>
                            </w:tr>
                            <w:tr>
                              <w:trPr/>
                              <w:tc>
                                <w:tcPr>
                                  <w:tcW w:w="1032" w:type="dxa"/>
                                  <w:tcBorders/>
                                  <w:shd w:fill="auto" w:val="clear"/>
                                  <w:tcMar>
                                    <w:right w:w="0" w:type="dxa"/>
                                  </w:tcMar>
                                  <w:vAlign w:val="center"/>
                                </w:tcPr>
                                <w:p>
                                  <w:pPr>
                                    <w:pStyle w:val="TableContents"/>
                                    <w:spacing w:before="0" w:after="283"/>
                                    <w:jc w:val="left"/>
                                    <w:rPr/>
                                  </w:pPr>
                                  <w:r>
                                    <w:rPr/>
                                    <w:t> </w:t>
                                  </w:r>
                                </w:p>
                              </w:tc>
                              <w:tc>
                                <w:tcPr>
                                  <w:tcW w:w="8992"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1"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25000</wp14:pctWidth>
                </wp14:sizeRelH>
              </wp:anchor>
            </w:drawing>
          </mc:Choice>
          <mc:Fallback>
            <w:pict>
              <v:rect style="position:absolute;rotation:0;width:127.55pt;height:246.75pt;mso-wrap-distance-left:0pt;mso-wrap-distance-right:0pt;mso-wrap-distance-top:0pt;mso-wrap-distance-bottom:0pt;margin-top:0pt;mso-position-vertical:top;mso-position-vertical-relative:text;margin-left:255.1pt;mso-position-horizontal:left;mso-position-horizontal-relative:text">
                <v:textbox>
                  <w:txbxContent>
                    <w:tbl>
                      <w:tblPr>
                        <w:tblW w:w="10205" w:type="dxa"/>
                        <w:jc w:val="left"/>
                        <w:tblInd w:w="0" w:type="dxa"/>
                        <w:tblCellMar>
                          <w:top w:w="0" w:type="dxa"/>
                          <w:left w:w="0" w:type="dxa"/>
                          <w:bottom w:w="0" w:type="dxa"/>
                          <w:right w:w="28" w:type="dxa"/>
                        </w:tblCellMar>
                      </w:tblPr>
                      <w:tblGrid>
                        <w:gridCol w:w="1032"/>
                        <w:gridCol w:w="8992"/>
                        <w:gridCol w:w="181"/>
                      </w:tblGrid>
                      <w:tr>
                        <w:trPr/>
                        <w:tc>
                          <w:tcPr>
                            <w:tcW w:w="1032" w:type="dxa"/>
                            <w:tcBorders>
                              <w:right w:val="single" w:sz="32" w:space="0" w:color="8EAD3C"/>
                            </w:tcBorders>
                            <w:shd w:fill="auto" w:val="clear"/>
                            <w:vAlign w:val="center"/>
                          </w:tcPr>
                          <w:p>
                            <w:pPr>
                              <w:pStyle w:val="TableContents"/>
                              <w:spacing w:before="0" w:after="283"/>
                              <w:jc w:val="left"/>
                              <w:rPr/>
                            </w:pPr>
                            <w:r>
                              <w:rPr/>
                              <w:t>   </w:t>
                            </w:r>
                          </w:p>
                        </w:tc>
                        <w:tc>
                          <w:tcPr>
                            <w:tcW w:w="8992" w:type="dxa"/>
                            <w:tcBorders>
                              <w:top w:val="single" w:sz="32" w:space="0" w:color="8EAD3C"/>
                            </w:tcBorders>
                            <w:shd w:fill="auto" w:val="clear"/>
                            <w:tcMar>
                              <w:top w:w="28" w:type="dxa"/>
                              <w:right w:w="0" w:type="dxa"/>
                            </w:tcMar>
                            <w:vAlign w:val="center"/>
                          </w:tcPr>
                          <w:p>
                            <w:pPr>
                              <w:pStyle w:val="TableContents"/>
                              <w:spacing w:before="0" w:after="283"/>
                              <w:jc w:val="left"/>
                              <w:rPr/>
                            </w:pPr>
                            <w:r>
                              <w:rPr/>
                              <w:t>                          </w:t>
                            </w:r>
                          </w:p>
                        </w:tc>
                        <w:tc>
                          <w:tcPr>
                            <w:tcW w:w="181" w:type="dxa"/>
                            <w:tcBorders>
                              <w:top w:val="single" w:sz="32" w:space="0" w:color="8EAD3C"/>
                              <w:right w:val="single" w:sz="32" w:space="0" w:color="8EAD3C"/>
                            </w:tcBorders>
                            <w:shd w:fill="auto" w:val="clear"/>
                            <w:tcMar>
                              <w:top w:w="28" w:type="dxa"/>
                            </w:tcMar>
                            <w:vAlign w:val="center"/>
                          </w:tcPr>
                          <w:p>
                            <w:pPr>
                              <w:pStyle w:val="TableContents"/>
                              <w:spacing w:before="0" w:after="283"/>
                              <w:rPr>
                                <w:sz w:val="4"/>
                                <w:szCs w:val="4"/>
                              </w:rPr>
                            </w:pPr>
                            <w:r>
                              <w:rPr>
                                <w:sz w:val="4"/>
                                <w:szCs w:val="4"/>
                              </w:rPr>
                            </w:r>
                          </w:p>
                        </w:tc>
                      </w:tr>
                      <w:tr>
                        <w:trPr/>
                        <w:tc>
                          <w:tcPr>
                            <w:tcW w:w="10024" w:type="dxa"/>
                            <w:gridSpan w:val="2"/>
                            <w:tcBorders/>
                            <w:shd w:fill="1A2343" w:val="clear"/>
                            <w:tcMar>
                              <w:right w:w="0" w:type="dxa"/>
                            </w:tcMar>
                            <w:vAlign w:val="center"/>
                          </w:tcPr>
                          <w:p>
                            <w:pPr>
                              <w:pStyle w:val="TableContents"/>
                              <w:jc w:val="left"/>
                              <w:rPr/>
                            </w:pPr>
                            <w:r>
                              <w:rPr>
                                <w:rStyle w:val="StrongEmphasis"/>
                                <w:rFonts w:ascii="Arial" w:hAnsi="Arial"/>
                                <w:color w:val="FFFFFF"/>
                                <w:sz w:val="26"/>
                              </w:rPr>
                              <w:t>EXECUTIVE COMMITTEE</w:t>
                            </w:r>
                          </w:p>
                          <w:p>
                            <w:pPr>
                              <w:pStyle w:val="TableContents"/>
                              <w:jc w:val="left"/>
                              <w:rPr/>
                            </w:pPr>
                            <w:r>
                              <w:rPr>
                                <w:rStyle w:val="StrongEmphasis"/>
                                <w:rFonts w:ascii="Arial" w:hAnsi="Arial"/>
                                <w:color w:val="FFFFFF"/>
                                <w:sz w:val="20"/>
                              </w:rPr>
                              <w:t>Members</w:t>
                            </w:r>
                          </w:p>
                          <w:p>
                            <w:pPr>
                              <w:pStyle w:val="TableContents"/>
                              <w:jc w:val="left"/>
                              <w:rPr>
                                <w:rFonts w:ascii="Arial" w:hAnsi="Arial"/>
                                <w:color w:val="FFFFFF"/>
                                <w:sz w:val="20"/>
                              </w:rPr>
                            </w:pPr>
                            <w:r>
                              <w:rPr>
                                <w:rFonts w:ascii="Arial" w:hAnsi="Arial"/>
                                <w:color w:val="FFFFFF"/>
                                <w:sz w:val="20"/>
                              </w:rPr>
                              <w:t xml:space="preserve">Marc Holliday (Chair) </w:t>
                              <w:br/>
                              <w:t>Stephen L. Green</w:t>
                              <w:br/>
                              <w:t>John H. Alschuler</w:t>
                            </w:r>
                          </w:p>
                          <w:p>
                            <w:pPr>
                              <w:pStyle w:val="TableContents"/>
                              <w:jc w:val="left"/>
                              <w:rPr>
                                <w:rFonts w:ascii="Arial" w:hAnsi="Arial"/>
                                <w:color w:val="FFFFFF"/>
                                <w:sz w:val="20"/>
                              </w:rPr>
                            </w:pPr>
                            <w:r>
                              <w:rPr>
                                <w:rFonts w:ascii="Arial" w:hAnsi="Arial"/>
                                <w:color w:val="FFFFFF"/>
                                <w:sz w:val="20"/>
                              </w:rPr>
                              <w:t>Meetings in 2022: 0</w:t>
                            </w:r>
                          </w:p>
                          <w:p>
                            <w:pPr>
                              <w:pStyle w:val="TableContents"/>
                              <w:spacing w:before="0" w:after="283"/>
                              <w:jc w:val="left"/>
                              <w:rPr>
                                <w:rFonts w:ascii="Arial" w:hAnsi="Arial"/>
                                <w:color w:val="FFFFFF"/>
                                <w:sz w:val="20"/>
                              </w:rPr>
                            </w:pPr>
                            <w:r>
                              <w:rPr>
                                <w:rFonts w:ascii="Arial" w:hAnsi="Arial"/>
                                <w:color w:val="FFFFFF"/>
                                <w:sz w:val="20"/>
                              </w:rPr>
                              <w:t>Our Executive Committee did not take any actions by written consent during fiscal year 2022, as all matters within its authority were approved by the Board.</w:t>
                            </w:r>
                          </w:p>
                        </w:tc>
                        <w:tc>
                          <w:tcPr>
                            <w:tcW w:w="181" w:type="dxa"/>
                            <w:tcBorders>
                              <w:right w:val="single" w:sz="32" w:space="0" w:color="8EAD3C"/>
                            </w:tcBorders>
                            <w:shd w:fill="auto" w:val="clear"/>
                            <w:vAlign w:val="center"/>
                          </w:tcPr>
                          <w:p>
                            <w:pPr>
                              <w:pStyle w:val="TableContents"/>
                              <w:spacing w:before="0" w:after="283"/>
                              <w:jc w:val="left"/>
                              <w:rPr/>
                            </w:pPr>
                            <w:r>
                              <w:rPr/>
                              <w:t>   </w:t>
                            </w:r>
                          </w:p>
                        </w:tc>
                      </w:tr>
                      <w:tr>
                        <w:trPr/>
                        <w:tc>
                          <w:tcPr>
                            <w:tcW w:w="1032" w:type="dxa"/>
                            <w:tcBorders/>
                            <w:shd w:fill="auto" w:val="clear"/>
                            <w:tcMar>
                              <w:right w:w="0" w:type="dxa"/>
                            </w:tcMar>
                            <w:vAlign w:val="center"/>
                          </w:tcPr>
                          <w:p>
                            <w:pPr>
                              <w:pStyle w:val="TableContents"/>
                              <w:spacing w:before="0" w:after="283"/>
                              <w:jc w:val="left"/>
                              <w:rPr/>
                            </w:pPr>
                            <w:r>
                              <w:rPr/>
                              <w:t> </w:t>
                            </w:r>
                          </w:p>
                        </w:tc>
                        <w:tc>
                          <w:tcPr>
                            <w:tcW w:w="8992" w:type="dxa"/>
                            <w:tcBorders>
                              <w:left w:val="single" w:sz="32" w:space="0" w:color="8EAD3C"/>
                              <w:bottom w:val="single" w:sz="32" w:space="0" w:color="8EAD3C"/>
                            </w:tcBorders>
                            <w:shd w:fill="auto" w:val="clear"/>
                            <w:tcMar>
                              <w:left w:w="28" w:type="dxa"/>
                              <w:bottom w:w="28" w:type="dxa"/>
                              <w:right w:w="0" w:type="dxa"/>
                            </w:tcMar>
                            <w:vAlign w:val="center"/>
                          </w:tcPr>
                          <w:p>
                            <w:pPr>
                              <w:pStyle w:val="TableContents"/>
                              <w:spacing w:before="0" w:after="283"/>
                              <w:jc w:val="left"/>
                              <w:rPr/>
                            </w:pPr>
                            <w:r>
                              <w:rPr/>
                              <w:t> </w:t>
                            </w:r>
                          </w:p>
                        </w:tc>
                        <w:tc>
                          <w:tcPr>
                            <w:tcW w:w="181" w:type="dxa"/>
                            <w:tcBorders>
                              <w:bottom w:val="single" w:sz="32" w:space="0" w:color="8EAD3C"/>
                              <w:right w:val="single" w:sz="32" w:space="0" w:color="8EAD3C"/>
                            </w:tcBorders>
                            <w:shd w:fill="auto" w:val="clear"/>
                            <w:tcMar>
                              <w:bottom w:w="28" w:type="dxa"/>
                            </w:tcMar>
                            <w:vAlign w:val="center"/>
                          </w:tcPr>
                          <w:p>
                            <w:pPr>
                              <w:pStyle w:val="TableContents"/>
                              <w:spacing w:before="0" w:after="283"/>
                              <w:jc w:val="left"/>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1">
                <wp:simplePos x="0" y="0"/>
                <wp:positionH relativeFrom="column">
                  <wp:align>right</wp:align>
                </wp:positionH>
                <wp:positionV relativeFrom="line">
                  <wp:posOffset>635</wp:posOffset>
                </wp:positionV>
                <wp:extent cx="4600575" cy="2286000"/>
                <wp:effectExtent l="0" t="0" r="0" b="0"/>
                <wp:wrapSquare wrapText="largest"/>
                <wp:docPr id="398" name="Frame38"/>
                <a:graphic xmlns:a="http://schemas.openxmlformats.org/drawingml/2006/main">
                  <a:graphicData uri="http://schemas.microsoft.com/office/word/2010/wordprocessingShape">
                    <wps:wsp>
                      <wps:cNvSpPr txBox="1"/>
                      <wps:spPr>
                        <a:xfrm>
                          <a:off x="0" y="0"/>
                          <a:ext cx="4600575" cy="2286000"/>
                        </a:xfrm>
                        <a:prstGeom prst="rect"/>
                      </wps:spPr>
                      <wps:txbx>
                        <w:txbxContent>
                          <w:p>
                            <w:pPr>
                              <w:pStyle w:val="TextBody"/>
                              <w:spacing w:before="0" w:after="283"/>
                              <w:jc w:val="left"/>
                              <w:rPr/>
                            </w:pPr>
                            <w:r>
                              <w:rPr>
                                <w:rStyle w:val="StrongEmphasis"/>
                                <w:rFonts w:ascii="Arial" w:hAnsi="Arial"/>
                                <w:color w:val="8EAD3C"/>
                                <w:sz w:val="22"/>
                              </w:rPr>
                              <w:t>Principal Responsibilities:</w:t>
                            </w:r>
                          </w:p>
                          <w:p>
                            <w:pPr>
                              <w:pStyle w:val="TextBody"/>
                              <w:jc w:val="left"/>
                              <w:rPr>
                                <w:rFonts w:ascii="Arial" w:hAnsi="Arial"/>
                                <w:sz w:val="20"/>
                              </w:rPr>
                            </w:pPr>
                            <w:r>
                              <w:rPr>
                                <w:rFonts w:ascii="Arial" w:hAnsi="Arial"/>
                                <w:sz w:val="20"/>
                              </w:rPr>
                              <w:t>Subject to the supervision and oversight of the Board, our Executive Committee is responsible for, among other things: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The approval of our acquisition, disposition and financing of investments</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The authorization of the execution of certain contracts and agreements, including those relating to our borrowing of money</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The exercise, in general, of all other powers of the Board, except for such powers that require action by all directors or the independent directors under our articles of incorporation or bylaws or under applicable law</w:t>
                                  </w:r>
                                </w:p>
                              </w:tc>
                            </w:tr>
                          </w:tbl>
                          <w:p>
                            <w:pPr>
                              <w:pStyle w:val="TextBody"/>
                              <w:spacing w:before="0" w:after="283"/>
                              <w:rPr/>
                            </w:pPr>
                            <w:r>
                              <w:rPr/>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180pt;mso-wrap-distance-left:0pt;mso-wrap-distance-right:0pt;mso-wrap-distance-top:0pt;mso-wrap-distance-bottom:0pt;margin-top:0pt;mso-position-vertical:top;mso-position-vertical-relative:text;margin-left:148pt;mso-position-horizontal:right;mso-position-horizontal-relative:text">
                <v:textbox>
                  <w:txbxContent>
                    <w:p>
                      <w:pPr>
                        <w:pStyle w:val="TextBody"/>
                        <w:spacing w:before="0" w:after="283"/>
                        <w:jc w:val="left"/>
                        <w:rPr/>
                      </w:pPr>
                      <w:r>
                        <w:rPr>
                          <w:rStyle w:val="StrongEmphasis"/>
                          <w:rFonts w:ascii="Arial" w:hAnsi="Arial"/>
                          <w:color w:val="8EAD3C"/>
                          <w:sz w:val="22"/>
                        </w:rPr>
                        <w:t>Principal Responsibilities:</w:t>
                      </w:r>
                    </w:p>
                    <w:p>
                      <w:pPr>
                        <w:pStyle w:val="TextBody"/>
                        <w:jc w:val="left"/>
                        <w:rPr>
                          <w:rFonts w:ascii="Arial" w:hAnsi="Arial"/>
                          <w:sz w:val="20"/>
                        </w:rPr>
                      </w:pPr>
                      <w:r>
                        <w:rPr>
                          <w:rFonts w:ascii="Arial" w:hAnsi="Arial"/>
                          <w:sz w:val="20"/>
                        </w:rPr>
                        <w:t>Subject to the supervision and oversight of the Board, our Executive Committee is responsible for, among other things: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The approval of our acquisition, disposition and financing of investments</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The authorization of the execution of certain contracts and agreements, including those relating to our borrowing of money</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The exercise, in general, of all other powers of the Board, except for such powers that require action by all directors or the independent directors under our articles of incorporation or bylaws or under applicable law</w:t>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945" w:type="dxa"/>
        <w:jc w:val="left"/>
        <w:tblInd w:w="0" w:type="dxa"/>
        <w:tblCellMar>
          <w:top w:w="0" w:type="dxa"/>
          <w:left w:w="0" w:type="dxa"/>
          <w:bottom w:w="0" w:type="dxa"/>
          <w:right w:w="0" w:type="dxa"/>
        </w:tblCellMar>
      </w:tblPr>
      <w:tblGrid>
        <w:gridCol w:w="4655"/>
        <w:gridCol w:w="290"/>
      </w:tblGrid>
      <w:tr>
        <w:trPr/>
        <w:tc>
          <w:tcPr>
            <w:tcW w:w="4655" w:type="dxa"/>
            <w:tcBorders/>
            <w:shd w:fill="auto" w:val="clear"/>
            <w:vAlign w:val="center"/>
          </w:tcPr>
          <w:p>
            <w:pPr>
              <w:pStyle w:val="TableContents"/>
              <w:spacing w:before="0" w:after="283"/>
              <w:jc w:val="left"/>
              <w:rPr>
                <w:rFonts w:ascii="Arial" w:hAnsi="Arial"/>
                <w:sz w:val="15"/>
              </w:rPr>
            </w:pPr>
            <w:r>
              <w:rPr>
                <w:rFonts w:ascii="Arial" w:hAnsi="Arial"/>
                <w:b/>
                <w:sz w:val="15"/>
              </w:rPr>
              <w:t>OUR BOARD OF DIRECTORS AND CORPORATE GOVERNANCE</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29</w:t>
            </w:r>
          </w:p>
        </w:tc>
      </w:tr>
    </w:tbl>
    <w:p>
      <w:pPr>
        <w:pStyle w:val="TextBody"/>
        <w:spacing w:before="240" w:after="283"/>
        <w:jc w:val="left"/>
        <w:rPr/>
      </w:pPr>
      <w:bookmarkStart w:id="14" w:name="pg_CorporateGovernance"/>
      <w:bookmarkEnd w:id="14"/>
      <w:r>
        <w:rPr>
          <w:rStyle w:val="StrongEmphasis"/>
          <w:rFonts w:ascii="Arial" w:hAnsi="Arial"/>
          <w:color w:val="8EAD3C"/>
          <w:sz w:val="32"/>
        </w:rPr>
        <w:t>CORPORATE GOVERNANCE</w:t>
      </w:r>
    </w:p>
    <w:p>
      <w:pPr>
        <w:pStyle w:val="TextBody"/>
        <w:jc w:val="left"/>
        <w:rPr/>
      </w:pPr>
      <w:r>
        <w:rPr>
          <w:rStyle w:val="StrongEmphasis"/>
          <w:rFonts w:ascii="Arial" w:hAnsi="Arial"/>
          <w:color w:val="1A2343"/>
          <w:sz w:val="26"/>
        </w:rPr>
        <w:t>Corporate Governance Highlights</w:t>
      </w:r>
    </w:p>
    <w:tbl>
      <w:tblPr>
        <w:tblW w:w="10205" w:type="dxa"/>
        <w:jc w:val="left"/>
        <w:tblInd w:w="0" w:type="dxa"/>
        <w:tblCellMar>
          <w:top w:w="28" w:type="dxa"/>
          <w:left w:w="0" w:type="dxa"/>
          <w:bottom w:w="0" w:type="dxa"/>
          <w:right w:w="0" w:type="dxa"/>
        </w:tblCellMar>
      </w:tblPr>
      <w:tblGrid>
        <w:gridCol w:w="5236"/>
        <w:gridCol w:w="2422"/>
        <w:gridCol w:w="2547"/>
      </w:tblGrid>
      <w:tr>
        <w:trPr/>
        <w:tc>
          <w:tcPr>
            <w:tcW w:w="5236" w:type="dxa"/>
            <w:tcBorders>
              <w:top w:val="single" w:sz="8" w:space="0" w:color="8EAD3C"/>
            </w:tcBorders>
            <w:shd w:fill="auto" w:val="clear"/>
            <w:vAlign w:val="center"/>
          </w:tcPr>
          <w:p>
            <w:pPr>
              <w:pStyle w:val="TableContents"/>
              <w:spacing w:before="0" w:after="283"/>
              <w:jc w:val="left"/>
              <w:rPr/>
            </w:pPr>
            <w:r>
              <w:rPr/>
              <w:t> </w:t>
            </w:r>
          </w:p>
        </w:tc>
        <w:tc>
          <w:tcPr>
            <w:tcW w:w="2422" w:type="dxa"/>
            <w:tcBorders>
              <w:top w:val="single" w:sz="8" w:space="0" w:color="8EAD3C"/>
            </w:tcBorders>
            <w:shd w:fill="auto" w:val="clear"/>
            <w:vAlign w:val="center"/>
          </w:tcPr>
          <w:p>
            <w:pPr>
              <w:pStyle w:val="TableContents"/>
              <w:spacing w:before="0" w:after="283"/>
              <w:jc w:val="left"/>
              <w:rPr/>
            </w:pPr>
            <w:r>
              <w:rPr/>
              <w:t> </w:t>
            </w:r>
          </w:p>
        </w:tc>
        <w:tc>
          <w:tcPr>
            <w:tcW w:w="2547" w:type="dxa"/>
            <w:tcBorders>
              <w:top w:val="single" w:sz="8" w:space="0" w:color="8EAD3C"/>
            </w:tcBorders>
            <w:shd w:fill="auto" w:val="clear"/>
            <w:vAlign w:val="center"/>
          </w:tcPr>
          <w:p>
            <w:pPr>
              <w:pStyle w:val="TableContents"/>
              <w:spacing w:before="0" w:after="283"/>
              <w:jc w:val="left"/>
              <w:rPr/>
            </w:pPr>
            <w:r>
              <w:rPr/>
              <w:t> </w:t>
            </w:r>
          </w:p>
        </w:tc>
      </w:tr>
      <w:tr>
        <w:trPr/>
        <w:tc>
          <w:tcPr>
            <w:tcW w:w="5236" w:type="dxa"/>
            <w:tcBorders>
              <w:right w:val="single" w:sz="8" w:space="0" w:color="8EAD3C"/>
            </w:tcBorders>
            <w:shd w:fill="auto" w:val="clear"/>
            <w:tcMar>
              <w:top w:w="0" w:type="dxa"/>
              <w:right w:w="160" w:type="dxa"/>
            </w:tcMar>
            <w:vAlign w:val="center"/>
          </w:tcPr>
          <w:p>
            <w:pPr>
              <w:pStyle w:val="TableContents"/>
              <w:spacing w:before="0" w:after="283"/>
              <w:jc w:val="left"/>
              <w:rPr/>
            </w:pPr>
            <w:r>
              <w:rPr>
                <w:rStyle w:val="StrongEmphasis"/>
                <w:rFonts w:ascii="Arial" w:hAnsi="Arial"/>
                <w:color w:val="1A2343"/>
                <w:sz w:val="20"/>
              </w:rPr>
              <w:t>Board Independence and</w:t>
              <w:br/>
              <w:t>Composition</w:t>
            </w:r>
          </w:p>
        </w:tc>
        <w:tc>
          <w:tcPr>
            <w:tcW w:w="2422" w:type="dxa"/>
            <w:tcBorders>
              <w:right w:val="single" w:sz="8" w:space="0" w:color="8EAD3C"/>
            </w:tcBorders>
            <w:shd w:fill="auto" w:val="clear"/>
            <w:tcMar>
              <w:top w:w="0" w:type="dxa"/>
              <w:right w:w="160" w:type="dxa"/>
            </w:tcMar>
            <w:vAlign w:val="center"/>
          </w:tcPr>
          <w:p>
            <w:pPr>
              <w:pStyle w:val="TableContents"/>
              <w:spacing w:before="0" w:after="283"/>
              <w:jc w:val="left"/>
              <w:rPr/>
            </w:pPr>
            <w:r>
              <w:rPr>
                <w:rStyle w:val="StrongEmphasis"/>
                <w:rFonts w:ascii="Arial" w:hAnsi="Arial"/>
                <w:color w:val="1A2343"/>
                <w:sz w:val="20"/>
              </w:rPr>
              <w:t>Board and Board Committee</w:t>
              <w:br/>
              <w:t>Practices</w:t>
            </w:r>
          </w:p>
        </w:tc>
        <w:tc>
          <w:tcPr>
            <w:tcW w:w="2547" w:type="dxa"/>
            <w:tcBorders/>
            <w:shd w:fill="auto" w:val="clear"/>
            <w:tcMar>
              <w:top w:w="0" w:type="dxa"/>
            </w:tcMar>
            <w:vAlign w:val="center"/>
          </w:tcPr>
          <w:p>
            <w:pPr>
              <w:pStyle w:val="TableContents"/>
              <w:spacing w:before="0" w:after="283"/>
              <w:jc w:val="left"/>
              <w:rPr/>
            </w:pPr>
            <w:r>
              <w:rPr>
                <w:rStyle w:val="StrongEmphasis"/>
                <w:rFonts w:ascii="Arial" w:hAnsi="Arial"/>
                <w:color w:val="1A2343"/>
                <w:sz w:val="20"/>
              </w:rPr>
              <w:t>Stockholder Rights</w:t>
            </w:r>
          </w:p>
        </w:tc>
      </w:tr>
      <w:tr>
        <w:trPr/>
        <w:tc>
          <w:tcPr>
            <w:tcW w:w="5236" w:type="dxa"/>
            <w:tcBorders>
              <w:right w:val="single" w:sz="8" w:space="0" w:color="8EAD3C"/>
            </w:tcBorders>
            <w:shd w:fill="auto" w:val="clear"/>
            <w:tcMar>
              <w:top w:w="0" w:type="dxa"/>
              <w:right w:w="160" w:type="dxa"/>
            </w:tcMar>
            <w:vAlign w:val="center"/>
          </w:tcPr>
          <w:p>
            <w:pPr>
              <w:pStyle w:val="TableContents"/>
              <w:spacing w:before="0" w:after="0"/>
              <w:ind w:left="0" w:right="0" w:hanging="290"/>
              <w:jc w:val="left"/>
              <w:rPr/>
            </w:pPr>
            <w:r>
              <w:rPr>
                <w:color w:val="000000"/>
              </w:rPr>
              <w:t>●</w:t>
            </w:r>
            <w:r>
              <w:rPr>
                <w:rFonts w:ascii="Arial" w:hAnsi="Arial"/>
                <w:sz w:val="20"/>
              </w:rPr>
              <w:t xml:space="preserve">Majority independent Board and 100% independent Nominating and Corporate Governance, Audit and Compensation Committees </w:t>
            </w:r>
          </w:p>
          <w:p>
            <w:pPr>
              <w:pStyle w:val="TableContents"/>
              <w:spacing w:before="0" w:after="0"/>
              <w:ind w:left="0" w:right="0" w:hanging="290"/>
              <w:jc w:val="left"/>
              <w:rPr/>
            </w:pPr>
            <w:r>
              <w:rPr>
                <w:color w:val="000000"/>
              </w:rPr>
              <w:t>●</w:t>
            </w:r>
            <w:r>
              <w:rPr>
                <w:rFonts w:ascii="Arial" w:hAnsi="Arial"/>
                <w:sz w:val="20"/>
              </w:rPr>
              <w:t>Lead Independent Director role with robust responsibilities</w:t>
            </w:r>
          </w:p>
        </w:tc>
        <w:tc>
          <w:tcPr>
            <w:tcW w:w="2422" w:type="dxa"/>
            <w:tcBorders>
              <w:right w:val="single" w:sz="8" w:space="0" w:color="8EAD3C"/>
            </w:tcBorders>
            <w:shd w:fill="auto" w:val="clear"/>
            <w:tcMar>
              <w:top w:w="0" w:type="dxa"/>
              <w:right w:w="160" w:type="dxa"/>
            </w:tcMar>
            <w:vAlign w:val="center"/>
          </w:tcPr>
          <w:p>
            <w:pPr>
              <w:pStyle w:val="TableContents"/>
              <w:spacing w:before="0" w:after="0"/>
              <w:ind w:left="0" w:right="0" w:hanging="290"/>
              <w:jc w:val="left"/>
              <w:rPr/>
            </w:pPr>
            <w:r>
              <w:rPr>
                <w:color w:val="000000"/>
              </w:rPr>
              <w:t>●</w:t>
            </w:r>
            <w:r>
              <w:rPr>
                <w:rFonts w:ascii="arial" w:hAnsi="arial"/>
                <w:color w:val="000000"/>
                <w:sz w:val="20"/>
              </w:rPr>
              <w:t>Board and committee self-evaluations</w:t>
            </w:r>
          </w:p>
          <w:p>
            <w:pPr>
              <w:pStyle w:val="TableContents"/>
              <w:spacing w:before="0" w:after="0"/>
              <w:ind w:left="0" w:right="0" w:hanging="290"/>
              <w:jc w:val="left"/>
              <w:rPr/>
            </w:pPr>
            <w:r>
              <w:rPr>
                <w:color w:val="000000"/>
              </w:rPr>
              <w:t>●</w:t>
            </w:r>
            <w:r>
              <w:rPr>
                <w:rFonts w:ascii="Arial" w:hAnsi="Arial"/>
                <w:sz w:val="20"/>
              </w:rPr>
              <w:t xml:space="preserve">Risk oversight by full Board and Audit Committee </w:t>
            </w:r>
          </w:p>
          <w:p>
            <w:pPr>
              <w:pStyle w:val="TableContents"/>
              <w:spacing w:before="0" w:after="0"/>
              <w:ind w:left="0" w:right="0" w:hanging="290"/>
              <w:jc w:val="left"/>
              <w:rPr/>
            </w:pPr>
            <w:r>
              <w:rPr>
                <w:color w:val="000000"/>
              </w:rPr>
              <w:t>●</w:t>
            </w:r>
            <w:r>
              <w:rPr>
                <w:rFonts w:ascii="arial" w:hAnsi="arial"/>
                <w:color w:val="000000"/>
                <w:sz w:val="20"/>
              </w:rPr>
              <w:t xml:space="preserve">ESG oversight </w:t>
            </w:r>
          </w:p>
          <w:p>
            <w:pPr>
              <w:pStyle w:val="TableContents"/>
              <w:spacing w:before="0" w:after="0"/>
              <w:ind w:left="0" w:right="0" w:hanging="290"/>
              <w:jc w:val="left"/>
              <w:rPr/>
            </w:pPr>
            <w:r>
              <w:rPr>
                <w:color w:val="000000"/>
              </w:rPr>
              <w:t>●</w:t>
            </w:r>
            <w:r>
              <w:rPr>
                <w:rFonts w:ascii="arial" w:hAnsi="arial"/>
                <w:color w:val="000000"/>
                <w:sz w:val="20"/>
              </w:rPr>
              <w:t>Robust stockholder engagement</w:t>
            </w:r>
          </w:p>
        </w:tc>
        <w:tc>
          <w:tcPr>
            <w:tcW w:w="2547" w:type="dxa"/>
            <w:tcBorders/>
            <w:shd w:fill="auto" w:val="clear"/>
            <w:tcMar>
              <w:top w:w="0" w:type="dxa"/>
            </w:tcMar>
            <w:vAlign w:val="center"/>
          </w:tcPr>
          <w:p>
            <w:pPr>
              <w:pStyle w:val="TableContents"/>
              <w:spacing w:before="0" w:after="0"/>
              <w:ind w:left="0" w:right="0" w:hanging="290"/>
              <w:jc w:val="left"/>
              <w:rPr/>
            </w:pPr>
            <w:r>
              <w:rPr>
                <w:color w:val="000000"/>
              </w:rPr>
              <w:t>●</w:t>
            </w:r>
            <w:r>
              <w:rPr>
                <w:rFonts w:ascii="arial" w:hAnsi="arial"/>
                <w:color w:val="000000"/>
                <w:sz w:val="20"/>
              </w:rPr>
              <w:t xml:space="preserve">Annual election of all directors </w:t>
            </w:r>
          </w:p>
          <w:p>
            <w:pPr>
              <w:pStyle w:val="TableContents"/>
              <w:spacing w:before="0" w:after="0"/>
              <w:ind w:left="0" w:right="0" w:hanging="290"/>
              <w:jc w:val="left"/>
              <w:rPr/>
            </w:pPr>
            <w:r>
              <w:rPr>
                <w:color w:val="000000"/>
              </w:rPr>
              <w:t>●</w:t>
            </w:r>
            <w:r>
              <w:rPr>
                <w:rFonts w:ascii="arial" w:hAnsi="arial"/>
                <w:color w:val="000000"/>
                <w:sz w:val="20"/>
              </w:rPr>
              <w:t>Proxy access bylaw provision</w:t>
            </w:r>
          </w:p>
          <w:p>
            <w:pPr>
              <w:pStyle w:val="TableContents"/>
              <w:spacing w:before="0" w:after="0"/>
              <w:ind w:left="0" w:right="0" w:hanging="290"/>
              <w:jc w:val="left"/>
              <w:rPr/>
            </w:pPr>
            <w:r>
              <w:rPr>
                <w:color w:val="000000"/>
              </w:rPr>
              <w:t>●</w:t>
            </w:r>
            <w:r>
              <w:rPr>
                <w:rFonts w:ascii="arial" w:hAnsi="arial"/>
                <w:color w:val="000000"/>
                <w:sz w:val="20"/>
              </w:rPr>
              <w:t>Majority voting standard for director elections</w:t>
            </w:r>
          </w:p>
          <w:p>
            <w:pPr>
              <w:pStyle w:val="TableContents"/>
              <w:spacing w:before="0" w:after="0"/>
              <w:ind w:left="0" w:right="0" w:hanging="290"/>
              <w:jc w:val="left"/>
              <w:rPr/>
            </w:pPr>
            <w:r>
              <w:rPr>
                <w:color w:val="000000"/>
              </w:rPr>
              <w:t>●</w:t>
            </w:r>
            <w:r>
              <w:rPr>
                <w:rFonts w:ascii="arial" w:hAnsi="arial"/>
                <w:color w:val="000000"/>
                <w:sz w:val="20"/>
              </w:rPr>
              <w:t>Stockholder ability to amend bylaws by majority vote</w:t>
            </w:r>
          </w:p>
        </w:tc>
      </w:tr>
      <w:tr>
        <w:trPr/>
        <w:tc>
          <w:tcPr>
            <w:tcW w:w="5236" w:type="dxa"/>
            <w:tcBorders>
              <w:bottom w:val="single" w:sz="8" w:space="0" w:color="8EAD3C"/>
            </w:tcBorders>
            <w:shd w:fill="auto" w:val="clear"/>
            <w:tcMar>
              <w:top w:w="0" w:type="dxa"/>
              <w:bottom w:w="28" w:type="dxa"/>
            </w:tcMar>
            <w:vAlign w:val="center"/>
          </w:tcPr>
          <w:p>
            <w:pPr>
              <w:pStyle w:val="TableContents"/>
              <w:spacing w:before="0" w:after="283"/>
              <w:jc w:val="left"/>
              <w:rPr/>
            </w:pPr>
            <w:r>
              <w:rPr/>
              <w:t> </w:t>
            </w:r>
          </w:p>
        </w:tc>
        <w:tc>
          <w:tcPr>
            <w:tcW w:w="2422" w:type="dxa"/>
            <w:tcBorders>
              <w:bottom w:val="single" w:sz="8" w:space="0" w:color="8EAD3C"/>
            </w:tcBorders>
            <w:shd w:fill="auto" w:val="clear"/>
            <w:tcMar>
              <w:top w:w="0" w:type="dxa"/>
              <w:bottom w:w="28" w:type="dxa"/>
            </w:tcMar>
            <w:vAlign w:val="center"/>
          </w:tcPr>
          <w:p>
            <w:pPr>
              <w:pStyle w:val="TableContents"/>
              <w:spacing w:before="0" w:after="283"/>
              <w:jc w:val="left"/>
              <w:rPr/>
            </w:pPr>
            <w:r>
              <w:rPr/>
              <w:t> </w:t>
            </w:r>
          </w:p>
        </w:tc>
        <w:tc>
          <w:tcPr>
            <w:tcW w:w="2547" w:type="dxa"/>
            <w:tcBorders>
              <w:bottom w:val="single" w:sz="8" w:space="0" w:color="8EAD3C"/>
            </w:tcBorders>
            <w:shd w:fill="auto" w:val="clear"/>
            <w:tcMar>
              <w:top w:w="0" w:type="dxa"/>
              <w:bottom w:w="28" w:type="dxa"/>
            </w:tcMar>
            <w:vAlign w:val="center"/>
          </w:tcPr>
          <w:p>
            <w:pPr>
              <w:pStyle w:val="TableContents"/>
              <w:spacing w:before="0" w:after="283"/>
              <w:jc w:val="left"/>
              <w:rPr/>
            </w:pPr>
            <w:r>
              <w:rPr/>
              <w:t> </w:t>
            </w:r>
          </w:p>
        </w:tc>
      </w:tr>
    </w:tbl>
    <w:p>
      <w:pPr>
        <w:pStyle w:val="TextBody"/>
        <w:spacing w:before="240" w:after="283"/>
        <w:jc w:val="left"/>
        <w:rPr/>
      </w:pPr>
      <w:r>
        <w:rPr>
          <w:rStyle w:val="StrongEmphasis"/>
          <w:rFonts w:ascii="Arial" w:hAnsi="Arial"/>
          <w:color w:val="1A2343"/>
          <w:sz w:val="26"/>
        </w:rPr>
        <w:t>Board Oversight of Strategy</w:t>
      </w:r>
    </w:p>
    <w:p>
      <w:pPr>
        <w:pStyle w:val="TextBody"/>
        <w:jc w:val="left"/>
        <w:rPr>
          <w:rFonts w:ascii="Arial" w:hAnsi="Arial"/>
          <w:sz w:val="20"/>
        </w:rPr>
      </w:pPr>
      <w:r>
        <w:rPr>
          <w:rFonts w:ascii="Arial" w:hAnsi="Arial"/>
          <w:sz w:val="20"/>
        </w:rPr>
        <w:t>One of the most important functions of the Board relates to its role in formulating and overseeing the execution of our business strategy. In order to do this, the Board:</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actively participates with management in the formulation and refinement of our business strategy to help ensure that our strategic goals are thoughtfully constructed and well-articulated;</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periodically meets with our management and external advisors in full day or multi-day sessions focused on long-term strategic planning;</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 xml:space="preserve">no less than quarterly, receives updates from management regarding internal progress toward strategic goals and changes in market conditions and external strategic opportunities and challenges in order to assist our management in refining its business strategy and reacting to particular opportunities or challenges that arise; </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 xml:space="preserve">monitors and evaluates performance through these regular updates and by actively engaging in dialogues with our senior management team; </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 xml:space="preserve">discusses aspects of our business strategy at every meeting, and includes key elements of our strategy in the work performed by the committees of the Board; and </w:t>
            </w:r>
          </w:p>
        </w:tc>
      </w:tr>
      <w:tr>
        <w:trPr/>
        <w:tc>
          <w:tcPr>
            <w:tcW w:w="170" w:type="dxa"/>
            <w:tcBorders/>
            <w:shd w:fill="auto" w:val="clear"/>
            <w:vAlign w:val="center"/>
          </w:tcPr>
          <w:p>
            <w:pPr>
              <w:pStyle w:val="TableContents"/>
              <w:spacing w:before="0" w:after="283"/>
              <w:rPr>
                <w:color w:val="000000"/>
              </w:rPr>
            </w:pPr>
            <w:r>
              <w:rPr>
                <w:color w:val="00000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oversees financial and operational performance, non-financial measures, including sustainability, social and governance goals.</w:t>
            </w:r>
          </w:p>
        </w:tc>
      </w:tr>
    </w:tbl>
    <w:p>
      <w:pPr>
        <w:pStyle w:val="TextBody"/>
        <w:spacing w:before="240" w:after="283"/>
        <w:jc w:val="left"/>
        <w:rPr>
          <w:rFonts w:ascii="Arial" w:hAnsi="Arial"/>
          <w:sz w:val="20"/>
        </w:rPr>
      </w:pPr>
      <w:r>
        <w:rPr>
          <w:rFonts w:ascii="Arial" w:hAnsi="Arial"/>
          <w:sz w:val="20"/>
        </w:rPr>
        <w:t>The Board believes that, through these ongoing efforts, it is able to focus on our performance over the short, intermediate and long term to secure the continuing health and success of the business for our stockholders.</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30</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pPr>
      <w:r>
        <w:rPr>
          <w:rStyle w:val="StrongEmphasis"/>
          <w:rFonts w:ascii="Arial" w:hAnsi="Arial"/>
          <w:color w:val="1A2343"/>
          <w:sz w:val="26"/>
        </w:rPr>
        <w:t>Risk Oversight</w:t>
      </w:r>
    </w:p>
    <w:tbl>
      <w:tblPr>
        <w:tblW w:w="10205" w:type="dxa"/>
        <w:jc w:val="left"/>
        <w:tblInd w:w="0" w:type="dxa"/>
        <w:tblCellMar>
          <w:top w:w="0" w:type="dxa"/>
          <w:left w:w="0" w:type="dxa"/>
          <w:bottom w:w="0" w:type="dxa"/>
          <w:right w:w="0" w:type="dxa"/>
        </w:tblCellMar>
      </w:tblPr>
      <w:tblGrid>
        <w:gridCol w:w="180"/>
        <w:gridCol w:w="3140"/>
        <w:gridCol w:w="3542"/>
        <w:gridCol w:w="3162"/>
        <w:gridCol w:w="181"/>
      </w:tblGrid>
      <w:tr>
        <w:trPr/>
        <w:tc>
          <w:tcPr>
            <w:tcW w:w="180" w:type="dxa"/>
            <w:tcBorders/>
            <w:shd w:fill="auto" w:val="clear"/>
            <w:vAlign w:val="center"/>
          </w:tcPr>
          <w:p>
            <w:pPr>
              <w:pStyle w:val="TableContents"/>
              <w:spacing w:before="0" w:after="283"/>
              <w:jc w:val="left"/>
              <w:rPr/>
            </w:pPr>
            <w:r>
              <w:rPr/>
              <w:t>   </w:t>
            </w:r>
          </w:p>
        </w:tc>
        <w:tc>
          <w:tcPr>
            <w:tcW w:w="9844" w:type="dxa"/>
            <w:gridSpan w:val="3"/>
            <w:tcBorders>
              <w:top w:val="single" w:sz="32" w:space="0" w:color="8EAD3C"/>
              <w:left w:val="single" w:sz="32" w:space="0" w:color="8EAD3C"/>
            </w:tcBorders>
            <w:shd w:fill="auto" w:val="clear"/>
            <w:tcMar>
              <w:top w:w="28" w:type="dxa"/>
              <w:left w:w="28" w:type="dxa"/>
            </w:tcMar>
            <w:vAlign w:val="center"/>
          </w:tcPr>
          <w:p>
            <w:pPr>
              <w:pStyle w:val="TableContents"/>
              <w:spacing w:before="0" w:after="283"/>
              <w:jc w:val="left"/>
              <w:rPr/>
            </w:pPr>
            <w:r>
              <w:rPr/>
              <w:t> </w:t>
            </w:r>
          </w:p>
        </w:tc>
        <w:tc>
          <w:tcPr>
            <w:tcW w:w="181" w:type="dxa"/>
            <w:tcBorders>
              <w:top w:val="single" w:sz="32" w:space="0" w:color="8EAD3C"/>
              <w:right w:val="single" w:sz="32" w:space="0" w:color="8EAD3C"/>
            </w:tcBorders>
            <w:shd w:fill="auto" w:val="clear"/>
            <w:tcMar>
              <w:top w:w="28" w:type="dxa"/>
              <w:right w:w="28" w:type="dxa"/>
            </w:tcMar>
            <w:vAlign w:val="center"/>
          </w:tcPr>
          <w:p>
            <w:pPr>
              <w:pStyle w:val="TableContents"/>
              <w:spacing w:before="0" w:after="283"/>
              <w:jc w:val="left"/>
              <w:rPr/>
            </w:pPr>
            <w:r>
              <w:rPr/>
              <w:t>   </w:t>
            </w:r>
          </w:p>
        </w:tc>
      </w:tr>
      <w:tr>
        <w:trPr/>
        <w:tc>
          <w:tcPr>
            <w:tcW w:w="180" w:type="dxa"/>
            <w:tcBorders/>
            <w:shd w:fill="1A2343" w:val="clear"/>
            <w:vAlign w:val="center"/>
          </w:tcPr>
          <w:p>
            <w:pPr>
              <w:pStyle w:val="TableContents"/>
              <w:spacing w:before="0" w:after="283"/>
              <w:rPr>
                <w:sz w:val="4"/>
                <w:szCs w:val="4"/>
              </w:rPr>
            </w:pPr>
            <w:r>
              <w:rPr>
                <w:sz w:val="4"/>
                <w:szCs w:val="4"/>
              </w:rPr>
            </w:r>
          </w:p>
        </w:tc>
        <w:tc>
          <w:tcPr>
            <w:tcW w:w="9844" w:type="dxa"/>
            <w:gridSpan w:val="3"/>
            <w:tcBorders/>
            <w:shd w:fill="1A2343" w:val="clear"/>
            <w:vAlign w:val="center"/>
          </w:tcPr>
          <w:p>
            <w:pPr>
              <w:pStyle w:val="TableContents"/>
              <w:jc w:val="left"/>
              <w:rPr/>
            </w:pPr>
            <w:r>
              <w:rPr>
                <w:rStyle w:val="StrongEmphasis"/>
                <w:rFonts w:ascii="Arial" w:hAnsi="Arial"/>
                <w:color w:val="FFFFFF"/>
                <w:sz w:val="20"/>
              </w:rPr>
              <w:t>Board</w:t>
            </w:r>
          </w:p>
          <w:p>
            <w:pPr>
              <w:pStyle w:val="TableContents"/>
              <w:spacing w:before="0" w:after="283"/>
              <w:jc w:val="left"/>
              <w:rPr>
                <w:rFonts w:ascii="Arial" w:hAnsi="Arial"/>
                <w:color w:val="FFFFFF"/>
                <w:sz w:val="20"/>
              </w:rPr>
            </w:pPr>
            <w:r>
              <w:rPr>
                <w:rFonts w:ascii="Arial" w:hAnsi="Arial"/>
                <w:color w:val="FFFFFF"/>
                <w:sz w:val="20"/>
              </w:rPr>
              <w:t>The Board is responsible for overseeing the Company’s risk management process. Both directly and through its committees, the Board focuses on the Company’s general risk management strategy and the most significant risks facing the Company, and ensures that appropriate risk mitigation strategies are implemented by management. The Board is routinely apprised of particular risk management matters in connection with its general oversight and approval of corporate matters. In particular, the Board focuses on overseeing risks relating to the financial health of the Company, including the structure and amount of our debt, broad market conditions, leasing activity and expirations, status of development projects, environmental, social and governance (ESG) issues, succession planning and other material risks facing the Company.</w:t>
            </w:r>
          </w:p>
        </w:tc>
        <w:tc>
          <w:tcPr>
            <w:tcW w:w="181" w:type="dxa"/>
            <w:tcBorders>
              <w:right w:val="single" w:sz="32" w:space="0" w:color="8EAD3C"/>
            </w:tcBorders>
            <w:shd w:fill="auto" w:val="clear"/>
            <w:tcMar>
              <w:right w:w="28" w:type="dxa"/>
            </w:tcMar>
            <w:vAlign w:val="center"/>
          </w:tcPr>
          <w:p>
            <w:pPr>
              <w:pStyle w:val="TableContents"/>
              <w:spacing w:before="0" w:after="283"/>
              <w:rPr>
                <w:sz w:val="4"/>
                <w:szCs w:val="4"/>
              </w:rPr>
            </w:pPr>
            <w:r>
              <w:rPr>
                <w:sz w:val="4"/>
                <w:szCs w:val="4"/>
              </w:rPr>
            </w:r>
          </w:p>
        </w:tc>
      </w:tr>
      <w:tr>
        <w:trPr/>
        <w:tc>
          <w:tcPr>
            <w:tcW w:w="180" w:type="dxa"/>
            <w:tcBorders/>
            <w:shd w:fill="auto" w:val="clear"/>
            <w:vAlign w:val="center"/>
          </w:tcPr>
          <w:p>
            <w:pPr>
              <w:pStyle w:val="TableContents"/>
              <w:spacing w:before="0" w:after="283"/>
              <w:rPr>
                <w:sz w:val="4"/>
                <w:szCs w:val="4"/>
              </w:rPr>
            </w:pPr>
            <w:r>
              <w:rPr>
                <w:sz w:val="4"/>
                <w:szCs w:val="4"/>
              </w:rPr>
            </w:r>
          </w:p>
        </w:tc>
        <w:tc>
          <w:tcPr>
            <w:tcW w:w="9844" w:type="dxa"/>
            <w:gridSpan w:val="3"/>
            <w:tcBorders>
              <w:left w:val="single" w:sz="32" w:space="0" w:color="8EAD3C"/>
            </w:tcBorders>
            <w:shd w:fill="auto" w:val="clear"/>
            <w:tcMar>
              <w:left w:w="28" w:type="dxa"/>
            </w:tcMar>
            <w:vAlign w:val="center"/>
          </w:tcPr>
          <w:p>
            <w:pPr>
              <w:pStyle w:val="TableContents"/>
              <w:spacing w:before="0" w:after="283"/>
              <w:jc w:val="center"/>
              <w:rPr/>
            </w:pPr>
            <w:r>
              <w:rPr/>
              <w:drawing>
                <wp:inline distT="0" distB="0" distL="0" distR="0">
                  <wp:extent cx="257175" cy="142875"/>
                  <wp:effectExtent l="0" t="0" r="0" b="0"/>
                  <wp:docPr id="399"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266" descr=""/>
                          <pic:cNvPicPr>
                            <a:picLocks noChangeAspect="1" noChangeArrowheads="1"/>
                          </pic:cNvPicPr>
                        </pic:nvPicPr>
                        <pic:blipFill>
                          <a:blip r:embed="rId267"/>
                          <a:srcRect l="-3921" t="-7052" r="-3921" b="-7052"/>
                          <a:stretch>
                            <a:fillRect/>
                          </a:stretch>
                        </pic:blipFill>
                        <pic:spPr bwMode="auto">
                          <a:xfrm>
                            <a:off x="0" y="0"/>
                            <a:ext cx="257175" cy="142875"/>
                          </a:xfrm>
                          <a:prstGeom prst="rect">
                            <a:avLst/>
                          </a:prstGeom>
                          <a:ln w="635">
                            <a:solidFill>
                              <a:srgbClr val="000000"/>
                            </a:solidFill>
                          </a:ln>
                        </pic:spPr>
                      </pic:pic>
                    </a:graphicData>
                  </a:graphic>
                </wp:inline>
              </w:drawing>
            </w:r>
          </w:p>
        </w:tc>
        <w:tc>
          <w:tcPr>
            <w:tcW w:w="181" w:type="dxa"/>
            <w:tcBorders>
              <w:right w:val="single" w:sz="32" w:space="0" w:color="8EAD3C"/>
            </w:tcBorders>
            <w:shd w:fill="auto" w:val="clear"/>
            <w:tcMar>
              <w:right w:w="28" w:type="dxa"/>
            </w:tcMar>
            <w:vAlign w:val="center"/>
          </w:tcPr>
          <w:p>
            <w:pPr>
              <w:pStyle w:val="TableContents"/>
              <w:spacing w:before="0" w:after="283"/>
              <w:rPr>
                <w:sz w:val="4"/>
                <w:szCs w:val="4"/>
              </w:rPr>
            </w:pPr>
            <w:r>
              <w:rPr>
                <w:sz w:val="4"/>
                <w:szCs w:val="4"/>
              </w:rPr>
            </w:r>
          </w:p>
        </w:tc>
      </w:tr>
      <w:tr>
        <w:trPr/>
        <w:tc>
          <w:tcPr>
            <w:tcW w:w="180" w:type="dxa"/>
            <w:tcBorders/>
            <w:shd w:fill="ECECEC" w:val="clear"/>
            <w:vAlign w:val="center"/>
          </w:tcPr>
          <w:p>
            <w:pPr>
              <w:pStyle w:val="TableContents"/>
              <w:spacing w:before="0" w:after="283"/>
              <w:jc w:val="left"/>
              <w:rPr/>
            </w:pPr>
            <w:r>
              <w:rPr/>
              <w:t> </w:t>
            </w:r>
          </w:p>
        </w:tc>
        <w:tc>
          <w:tcPr>
            <w:tcW w:w="3140" w:type="dxa"/>
            <w:tcBorders/>
            <w:shd w:fill="ECECEC" w:val="clear"/>
            <w:vAlign w:val="center"/>
          </w:tcPr>
          <w:p>
            <w:pPr>
              <w:pStyle w:val="TableContents"/>
              <w:spacing w:before="0" w:after="283"/>
              <w:jc w:val="left"/>
              <w:rPr/>
            </w:pPr>
            <w:r>
              <w:rPr/>
              <w:t> </w:t>
            </w:r>
          </w:p>
        </w:tc>
        <w:tc>
          <w:tcPr>
            <w:tcW w:w="3542" w:type="dxa"/>
            <w:tcBorders/>
            <w:shd w:fill="ECECEC" w:val="clear"/>
            <w:vAlign w:val="center"/>
          </w:tcPr>
          <w:p>
            <w:pPr>
              <w:pStyle w:val="TableContents"/>
              <w:spacing w:before="0" w:after="283"/>
              <w:jc w:val="left"/>
              <w:rPr/>
            </w:pPr>
            <w:r>
              <w:rPr/>
              <w:t> </w:t>
            </w:r>
          </w:p>
        </w:tc>
        <w:tc>
          <w:tcPr>
            <w:tcW w:w="3162" w:type="dxa"/>
            <w:tcBorders/>
            <w:shd w:fill="ECECEC" w:val="clear"/>
            <w:vAlign w:val="center"/>
          </w:tcPr>
          <w:p>
            <w:pPr>
              <w:pStyle w:val="TableContents"/>
              <w:spacing w:before="0" w:after="283"/>
              <w:jc w:val="left"/>
              <w:rPr/>
            </w:pPr>
            <w:r>
              <w:rPr/>
              <w:t> </w:t>
            </w:r>
          </w:p>
        </w:tc>
        <w:tc>
          <w:tcPr>
            <w:tcW w:w="181" w:type="dxa"/>
            <w:tcBorders>
              <w:right w:val="single" w:sz="32" w:space="0" w:color="8EAD3C"/>
            </w:tcBorders>
            <w:shd w:fill="auto" w:val="clear"/>
            <w:tcMar>
              <w:right w:w="28" w:type="dxa"/>
            </w:tcMar>
            <w:vAlign w:val="center"/>
          </w:tcPr>
          <w:p>
            <w:pPr>
              <w:pStyle w:val="TableContents"/>
              <w:spacing w:before="0" w:after="283"/>
              <w:jc w:val="left"/>
              <w:rPr/>
            </w:pPr>
            <w:r>
              <w:rPr/>
              <w:t> </w:t>
            </w:r>
          </w:p>
        </w:tc>
      </w:tr>
      <w:tr>
        <w:trPr/>
        <w:tc>
          <w:tcPr>
            <w:tcW w:w="180" w:type="dxa"/>
            <w:tcBorders/>
            <w:shd w:fill="ECECEC" w:val="clear"/>
            <w:vAlign w:val="center"/>
          </w:tcPr>
          <w:p>
            <w:pPr>
              <w:pStyle w:val="TableContents"/>
              <w:spacing w:before="0" w:after="283"/>
              <w:rPr>
                <w:sz w:val="4"/>
                <w:szCs w:val="4"/>
              </w:rPr>
            </w:pPr>
            <w:r>
              <w:rPr>
                <w:sz w:val="4"/>
                <w:szCs w:val="4"/>
              </w:rPr>
            </w:r>
          </w:p>
        </w:tc>
        <w:tc>
          <w:tcPr>
            <w:tcW w:w="3140" w:type="dxa"/>
            <w:tcBorders>
              <w:right w:val="single" w:sz="8" w:space="0" w:color="8EAD3C"/>
            </w:tcBorders>
            <w:shd w:fill="ECECEC" w:val="clear"/>
            <w:tcMar>
              <w:right w:w="120" w:type="dxa"/>
            </w:tcMar>
            <w:vAlign w:val="center"/>
          </w:tcPr>
          <w:p>
            <w:pPr>
              <w:pStyle w:val="TableContents"/>
              <w:jc w:val="left"/>
              <w:rPr/>
            </w:pPr>
            <w:r>
              <w:rPr>
                <w:rStyle w:val="StrongEmphasis"/>
                <w:rFonts w:ascii="Arial" w:hAnsi="Arial"/>
                <w:color w:val="1A2343"/>
                <w:sz w:val="20"/>
              </w:rPr>
              <w:t>Audit Committee</w:t>
            </w:r>
          </w:p>
          <w:p>
            <w:pPr>
              <w:pStyle w:val="TableContents"/>
              <w:spacing w:before="0" w:after="0"/>
              <w:ind w:left="0" w:right="0" w:hanging="290"/>
              <w:jc w:val="left"/>
              <w:rPr/>
            </w:pPr>
            <w:r>
              <w:rPr>
                <w:color w:val="000000"/>
              </w:rPr>
              <w:t>●</w:t>
            </w:r>
            <w:r>
              <w:rPr>
                <w:rFonts w:ascii="arial" w:hAnsi="arial"/>
                <w:color w:val="000000"/>
                <w:sz w:val="20"/>
              </w:rPr>
              <w:t>Oversees the Company’s risk management process</w:t>
            </w:r>
          </w:p>
          <w:p>
            <w:pPr>
              <w:pStyle w:val="TableContents"/>
              <w:spacing w:before="0" w:after="0"/>
              <w:ind w:left="0" w:right="0" w:hanging="290"/>
              <w:jc w:val="left"/>
              <w:rPr/>
            </w:pPr>
            <w:r>
              <w:rPr>
                <w:color w:val="000000"/>
              </w:rPr>
              <w:t>●</w:t>
            </w:r>
            <w:r>
              <w:rPr>
                <w:rFonts w:ascii="Arial" w:hAnsi="Arial"/>
                <w:sz w:val="20"/>
              </w:rPr>
              <w:t xml:space="preserve">Reviews with management (a) Company policies with respect to risk assessment and management of risks that may be material to the Company, (b) disclosure controls and internal controls over financial reporting and (c) the Company’s compliance with legal and regulatory requirements </w:t>
            </w:r>
          </w:p>
          <w:p>
            <w:pPr>
              <w:pStyle w:val="TableContents"/>
              <w:spacing w:before="0" w:after="0"/>
              <w:ind w:left="0" w:right="0" w:hanging="290"/>
              <w:jc w:val="left"/>
              <w:rPr/>
            </w:pPr>
            <w:r>
              <w:rPr>
                <w:color w:val="000000"/>
              </w:rPr>
              <w:t>●</w:t>
            </w:r>
            <w:r>
              <w:rPr>
                <w:rFonts w:ascii="arial" w:hAnsi="arial"/>
                <w:color w:val="000000"/>
                <w:sz w:val="20"/>
              </w:rPr>
              <w:t xml:space="preserve">Reviews major legislative and regulatory developments that could have a material impact on the Company’s contingent liabilities and risks </w:t>
            </w:r>
          </w:p>
        </w:tc>
        <w:tc>
          <w:tcPr>
            <w:tcW w:w="3542" w:type="dxa"/>
            <w:tcBorders>
              <w:right w:val="single" w:sz="8" w:space="0" w:color="8EAD3C"/>
            </w:tcBorders>
            <w:shd w:fill="ECECEC" w:val="clear"/>
            <w:tcMar>
              <w:right w:w="120" w:type="dxa"/>
            </w:tcMar>
            <w:vAlign w:val="center"/>
          </w:tcPr>
          <w:p>
            <w:pPr>
              <w:pStyle w:val="TableContents"/>
              <w:jc w:val="left"/>
              <w:rPr/>
            </w:pPr>
            <w:r>
              <w:rPr>
                <w:rStyle w:val="StrongEmphasis"/>
                <w:rFonts w:ascii="Arial" w:hAnsi="Arial"/>
                <w:color w:val="1A2343"/>
                <w:sz w:val="20"/>
              </w:rPr>
              <w:t>Compensation Committee</w:t>
            </w:r>
            <w:r>
              <w:rPr/>
              <w:t xml:space="preserve"> </w:t>
            </w:r>
          </w:p>
          <w:p>
            <w:pPr>
              <w:pStyle w:val="TableContents"/>
              <w:spacing w:before="0" w:after="283"/>
              <w:jc w:val="left"/>
              <w:rPr>
                <w:rFonts w:ascii="Arial" w:hAnsi="Arial"/>
                <w:sz w:val="20"/>
              </w:rPr>
            </w:pPr>
            <w:r>
              <w:rPr>
                <w:rFonts w:ascii="Arial" w:hAnsi="Arial"/>
                <w:sz w:val="20"/>
              </w:rPr>
              <w:t>Considers potential risks to the Company in its determinations of the overall structure of our executive compensation program, our ability to attract, retain and motivate our management team, the specific goals it establishes for our executives and the influence of incentive compensation on risk-taking</w:t>
            </w:r>
          </w:p>
        </w:tc>
        <w:tc>
          <w:tcPr>
            <w:tcW w:w="3162" w:type="dxa"/>
            <w:tcBorders/>
            <w:shd w:fill="ECECEC" w:val="clear"/>
            <w:vAlign w:val="center"/>
          </w:tcPr>
          <w:p>
            <w:pPr>
              <w:pStyle w:val="TableContents"/>
              <w:jc w:val="left"/>
              <w:rPr/>
            </w:pPr>
            <w:r>
              <w:rPr>
                <w:rStyle w:val="StrongEmphasis"/>
                <w:rFonts w:ascii="Arial" w:hAnsi="Arial"/>
                <w:color w:val="1A2343"/>
                <w:sz w:val="20"/>
              </w:rPr>
              <w:t>Nominating and Corporate Governance Committee</w:t>
            </w:r>
          </w:p>
          <w:p>
            <w:pPr>
              <w:pStyle w:val="TableContents"/>
              <w:spacing w:before="0" w:after="283"/>
              <w:jc w:val="left"/>
              <w:rPr>
                <w:rFonts w:ascii="Arial" w:hAnsi="Arial"/>
                <w:sz w:val="20"/>
              </w:rPr>
            </w:pPr>
            <w:r>
              <w:rPr>
                <w:rFonts w:ascii="Arial" w:hAnsi="Arial"/>
                <w:sz w:val="20"/>
              </w:rPr>
              <w:t>Considers potential risks to the Company related to the composition of the board, including succession planning and diversity, environmental, social and governance matters, compliance with corporate governance guidelines and adoption of new policies and governance guidelines</w:t>
            </w:r>
          </w:p>
        </w:tc>
        <w:tc>
          <w:tcPr>
            <w:tcW w:w="181" w:type="dxa"/>
            <w:tcBorders>
              <w:right w:val="single" w:sz="32" w:space="0" w:color="8EAD3C"/>
            </w:tcBorders>
            <w:shd w:fill="auto" w:val="clear"/>
            <w:tcMar>
              <w:right w:w="28" w:type="dxa"/>
            </w:tcMar>
            <w:vAlign w:val="center"/>
          </w:tcPr>
          <w:p>
            <w:pPr>
              <w:pStyle w:val="TableContents"/>
              <w:spacing w:before="0" w:after="283"/>
              <w:rPr>
                <w:sz w:val="4"/>
                <w:szCs w:val="4"/>
              </w:rPr>
            </w:pPr>
            <w:r>
              <w:rPr>
                <w:sz w:val="4"/>
                <w:szCs w:val="4"/>
              </w:rPr>
            </w:r>
          </w:p>
        </w:tc>
      </w:tr>
      <w:tr>
        <w:trPr/>
        <w:tc>
          <w:tcPr>
            <w:tcW w:w="180" w:type="dxa"/>
            <w:tcBorders/>
            <w:shd w:fill="ECECEC" w:val="clear"/>
            <w:vAlign w:val="center"/>
          </w:tcPr>
          <w:p>
            <w:pPr>
              <w:pStyle w:val="TableContents"/>
              <w:spacing w:before="0" w:after="283"/>
              <w:jc w:val="left"/>
              <w:rPr/>
            </w:pPr>
            <w:r>
              <w:rPr/>
              <w:t> </w:t>
            </w:r>
          </w:p>
        </w:tc>
        <w:tc>
          <w:tcPr>
            <w:tcW w:w="3140" w:type="dxa"/>
            <w:tcBorders/>
            <w:shd w:fill="ECECEC" w:val="clear"/>
            <w:vAlign w:val="center"/>
          </w:tcPr>
          <w:p>
            <w:pPr>
              <w:pStyle w:val="TableContents"/>
              <w:spacing w:before="0" w:after="283"/>
              <w:jc w:val="left"/>
              <w:rPr/>
            </w:pPr>
            <w:r>
              <w:rPr/>
              <w:t> </w:t>
            </w:r>
          </w:p>
        </w:tc>
        <w:tc>
          <w:tcPr>
            <w:tcW w:w="3542" w:type="dxa"/>
            <w:tcBorders/>
            <w:shd w:fill="ECECEC" w:val="clear"/>
            <w:vAlign w:val="center"/>
          </w:tcPr>
          <w:p>
            <w:pPr>
              <w:pStyle w:val="TableContents"/>
              <w:spacing w:before="0" w:after="283"/>
              <w:jc w:val="left"/>
              <w:rPr/>
            </w:pPr>
            <w:r>
              <w:rPr/>
              <w:t> </w:t>
            </w:r>
          </w:p>
        </w:tc>
        <w:tc>
          <w:tcPr>
            <w:tcW w:w="3162" w:type="dxa"/>
            <w:tcBorders/>
            <w:shd w:fill="ECECEC" w:val="clear"/>
            <w:vAlign w:val="center"/>
          </w:tcPr>
          <w:p>
            <w:pPr>
              <w:pStyle w:val="TableContents"/>
              <w:spacing w:before="0" w:after="283"/>
              <w:jc w:val="left"/>
              <w:rPr/>
            </w:pPr>
            <w:r>
              <w:rPr/>
              <w:t> </w:t>
            </w:r>
          </w:p>
        </w:tc>
        <w:tc>
          <w:tcPr>
            <w:tcW w:w="181" w:type="dxa"/>
            <w:tcBorders>
              <w:right w:val="single" w:sz="32" w:space="0" w:color="8EAD3C"/>
            </w:tcBorders>
            <w:shd w:fill="auto" w:val="clear"/>
            <w:tcMar>
              <w:right w:w="28" w:type="dxa"/>
            </w:tcMar>
            <w:vAlign w:val="center"/>
          </w:tcPr>
          <w:p>
            <w:pPr>
              <w:pStyle w:val="TableContents"/>
              <w:spacing w:before="0" w:after="283"/>
              <w:jc w:val="left"/>
              <w:rPr/>
            </w:pPr>
            <w:r>
              <w:rPr/>
              <w:t> </w:t>
            </w:r>
          </w:p>
        </w:tc>
      </w:tr>
      <w:tr>
        <w:trPr/>
        <w:tc>
          <w:tcPr>
            <w:tcW w:w="180" w:type="dxa"/>
            <w:tcBorders/>
            <w:shd w:fill="auto" w:val="clear"/>
            <w:vAlign w:val="center"/>
          </w:tcPr>
          <w:p>
            <w:pPr>
              <w:pStyle w:val="TableContents"/>
              <w:spacing w:before="0" w:after="283"/>
              <w:rPr>
                <w:sz w:val="4"/>
                <w:szCs w:val="4"/>
              </w:rPr>
            </w:pPr>
            <w:r>
              <w:rPr>
                <w:sz w:val="4"/>
                <w:szCs w:val="4"/>
              </w:rPr>
            </w:r>
          </w:p>
        </w:tc>
        <w:tc>
          <w:tcPr>
            <w:tcW w:w="9844" w:type="dxa"/>
            <w:gridSpan w:val="3"/>
            <w:tcBorders>
              <w:left w:val="single" w:sz="32" w:space="0" w:color="8EAD3C"/>
              <w:bottom w:val="single" w:sz="32" w:space="0" w:color="8EAD3C"/>
            </w:tcBorders>
            <w:shd w:fill="auto" w:val="clear"/>
            <w:tcMar>
              <w:left w:w="28" w:type="dxa"/>
              <w:bottom w:w="28" w:type="dxa"/>
            </w:tcMar>
            <w:vAlign w:val="center"/>
          </w:tcPr>
          <w:p>
            <w:pPr>
              <w:pStyle w:val="TableContents"/>
              <w:spacing w:before="0" w:after="283"/>
              <w:jc w:val="left"/>
              <w:rPr/>
            </w:pPr>
            <w:r>
              <w:rPr/>
              <w:t xml:space="preserve">  </w:t>
            </w:r>
          </w:p>
        </w:tc>
        <w:tc>
          <w:tcPr>
            <w:tcW w:w="181" w:type="dxa"/>
            <w:tcBorders>
              <w:bottom w:val="single" w:sz="32" w:space="0" w:color="8EAD3C"/>
              <w:right w:val="single" w:sz="32" w:space="0" w:color="8EAD3C"/>
            </w:tcBorders>
            <w:shd w:fill="auto" w:val="clear"/>
            <w:tcMar>
              <w:bottom w:w="28" w:type="dxa"/>
              <w:right w:w="28" w:type="dxa"/>
            </w:tcMar>
            <w:vAlign w:val="center"/>
          </w:tcPr>
          <w:p>
            <w:pPr>
              <w:pStyle w:val="TableContents"/>
              <w:spacing w:before="0" w:after="283"/>
              <w:rPr>
                <w:sz w:val="4"/>
                <w:szCs w:val="4"/>
              </w:rPr>
            </w:pPr>
            <w:r>
              <w:rPr>
                <w:sz w:val="4"/>
                <w:szCs w:val="4"/>
              </w:rPr>
            </w:r>
          </w:p>
        </w:tc>
      </w:tr>
      <w:tr>
        <w:trPr/>
        <w:tc>
          <w:tcPr>
            <w:tcW w:w="180" w:type="dxa"/>
            <w:tcBorders/>
            <w:shd w:fill="auto" w:val="clear"/>
            <w:vAlign w:val="center"/>
          </w:tcPr>
          <w:p>
            <w:pPr>
              <w:pStyle w:val="TableContents"/>
              <w:spacing w:before="0" w:after="283"/>
              <w:rPr>
                <w:sz w:val="4"/>
                <w:szCs w:val="4"/>
              </w:rPr>
            </w:pPr>
            <w:r>
              <w:rPr>
                <w:sz w:val="4"/>
                <w:szCs w:val="4"/>
              </w:rPr>
            </w:r>
          </w:p>
        </w:tc>
        <w:tc>
          <w:tcPr>
            <w:tcW w:w="9844" w:type="dxa"/>
            <w:gridSpan w:val="3"/>
            <w:tcBorders/>
            <w:shd w:fill="auto" w:val="clear"/>
            <w:vAlign w:val="center"/>
          </w:tcPr>
          <w:p>
            <w:pPr>
              <w:pStyle w:val="TableContents"/>
              <w:spacing w:before="0" w:after="283"/>
              <w:jc w:val="center"/>
              <w:rPr/>
            </w:pPr>
            <w:r>
              <w:rPr/>
              <w:drawing>
                <wp:inline distT="0" distB="0" distL="0" distR="0">
                  <wp:extent cx="257175" cy="142875"/>
                  <wp:effectExtent l="0" t="0" r="0" b="0"/>
                  <wp:docPr id="400"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67" descr=""/>
                          <pic:cNvPicPr>
                            <a:picLocks noChangeAspect="1" noChangeArrowheads="1"/>
                          </pic:cNvPicPr>
                        </pic:nvPicPr>
                        <pic:blipFill>
                          <a:blip r:embed="rId268"/>
                          <a:srcRect l="-3921" t="-7052" r="-3921" b="-7052"/>
                          <a:stretch>
                            <a:fillRect/>
                          </a:stretch>
                        </pic:blipFill>
                        <pic:spPr bwMode="auto">
                          <a:xfrm>
                            <a:off x="0" y="0"/>
                            <a:ext cx="257175" cy="142875"/>
                          </a:xfrm>
                          <a:prstGeom prst="rect">
                            <a:avLst/>
                          </a:prstGeom>
                          <a:ln w="635">
                            <a:solidFill>
                              <a:srgbClr val="000000"/>
                            </a:solidFill>
                          </a:ln>
                        </pic:spPr>
                      </pic:pic>
                    </a:graphicData>
                  </a:graphic>
                </wp:inline>
              </w:drawing>
            </w:r>
          </w:p>
        </w:tc>
        <w:tc>
          <w:tcPr>
            <w:tcW w:w="181" w:type="dxa"/>
            <w:tcBorders/>
            <w:shd w:fill="auto" w:val="clear"/>
            <w:vAlign w:val="center"/>
          </w:tcPr>
          <w:p>
            <w:pPr>
              <w:pStyle w:val="TableContents"/>
              <w:spacing w:before="0" w:after="283"/>
              <w:rPr>
                <w:sz w:val="4"/>
                <w:szCs w:val="4"/>
              </w:rPr>
            </w:pPr>
            <w:r>
              <w:rPr>
                <w:sz w:val="4"/>
                <w:szCs w:val="4"/>
              </w:rPr>
            </w:r>
          </w:p>
        </w:tc>
      </w:tr>
      <w:tr>
        <w:trPr/>
        <w:tc>
          <w:tcPr>
            <w:tcW w:w="180" w:type="dxa"/>
            <w:tcBorders/>
            <w:shd w:fill="auto" w:val="clear"/>
            <w:vAlign w:val="center"/>
          </w:tcPr>
          <w:p>
            <w:pPr>
              <w:pStyle w:val="TableContents"/>
              <w:spacing w:before="0" w:after="283"/>
              <w:rPr>
                <w:sz w:val="4"/>
                <w:szCs w:val="4"/>
              </w:rPr>
            </w:pPr>
            <w:r>
              <w:rPr>
                <w:sz w:val="4"/>
                <w:szCs w:val="4"/>
              </w:rPr>
            </w:r>
          </w:p>
        </w:tc>
        <w:tc>
          <w:tcPr>
            <w:tcW w:w="9844" w:type="dxa"/>
            <w:gridSpan w:val="3"/>
            <w:tcBorders>
              <w:top w:val="single" w:sz="32" w:space="0" w:color="1A2343"/>
              <w:left w:val="single" w:sz="32" w:space="0" w:color="1A2343"/>
            </w:tcBorders>
            <w:shd w:fill="auto" w:val="clear"/>
            <w:tcMar>
              <w:top w:w="28" w:type="dxa"/>
              <w:left w:w="28" w:type="dxa"/>
            </w:tcMar>
            <w:vAlign w:val="center"/>
          </w:tcPr>
          <w:p>
            <w:pPr>
              <w:pStyle w:val="TableContents"/>
              <w:spacing w:before="0" w:after="283"/>
              <w:rPr>
                <w:sz w:val="4"/>
                <w:szCs w:val="4"/>
              </w:rPr>
            </w:pPr>
            <w:r>
              <w:rPr>
                <w:sz w:val="4"/>
                <w:szCs w:val="4"/>
              </w:rPr>
            </w:r>
          </w:p>
        </w:tc>
        <w:tc>
          <w:tcPr>
            <w:tcW w:w="181" w:type="dxa"/>
            <w:tcBorders>
              <w:top w:val="single" w:sz="32" w:space="0" w:color="1A2343"/>
              <w:right w:val="single" w:sz="32" w:space="0" w:color="1A2343"/>
            </w:tcBorders>
            <w:shd w:fill="auto" w:val="clear"/>
            <w:tcMar>
              <w:top w:w="28" w:type="dxa"/>
              <w:right w:w="28" w:type="dxa"/>
            </w:tcMar>
            <w:vAlign w:val="center"/>
          </w:tcPr>
          <w:p>
            <w:pPr>
              <w:pStyle w:val="TableContents"/>
              <w:spacing w:before="0" w:after="283"/>
              <w:jc w:val="left"/>
              <w:rPr/>
            </w:pPr>
            <w:r>
              <w:rPr/>
              <w:t> </w:t>
            </w:r>
          </w:p>
        </w:tc>
      </w:tr>
      <w:tr>
        <w:trPr/>
        <w:tc>
          <w:tcPr>
            <w:tcW w:w="180" w:type="dxa"/>
            <w:tcBorders/>
            <w:shd w:fill="8EAD3C" w:val="clear"/>
            <w:vAlign w:val="center"/>
          </w:tcPr>
          <w:p>
            <w:pPr>
              <w:pStyle w:val="TableContents"/>
              <w:spacing w:before="0" w:after="283"/>
              <w:rPr>
                <w:sz w:val="4"/>
                <w:szCs w:val="4"/>
              </w:rPr>
            </w:pPr>
            <w:r>
              <w:rPr>
                <w:sz w:val="4"/>
                <w:szCs w:val="4"/>
              </w:rPr>
            </w:r>
          </w:p>
        </w:tc>
        <w:tc>
          <w:tcPr>
            <w:tcW w:w="9844" w:type="dxa"/>
            <w:gridSpan w:val="3"/>
            <w:tcBorders/>
            <w:shd w:fill="8EAD3C" w:val="clear"/>
            <w:vAlign w:val="center"/>
          </w:tcPr>
          <w:p>
            <w:pPr>
              <w:pStyle w:val="TableContents"/>
              <w:jc w:val="left"/>
              <w:rPr/>
            </w:pPr>
            <w:r>
              <w:rPr>
                <w:rStyle w:val="StrongEmphasis"/>
                <w:rFonts w:ascii="Arial" w:hAnsi="Arial"/>
                <w:color w:val="FFFFFF"/>
                <w:sz w:val="20"/>
              </w:rPr>
              <w:t>Management</w:t>
            </w:r>
          </w:p>
          <w:p>
            <w:pPr>
              <w:pStyle w:val="TableContents"/>
              <w:spacing w:before="0" w:after="283"/>
              <w:jc w:val="left"/>
              <w:rPr>
                <w:rFonts w:ascii="Arial" w:hAnsi="Arial"/>
                <w:color w:val="FFFFFF"/>
                <w:sz w:val="20"/>
              </w:rPr>
            </w:pPr>
            <w:r>
              <w:rPr>
                <w:rFonts w:ascii="Arial" w:hAnsi="Arial"/>
                <w:color w:val="FFFFFF"/>
                <w:sz w:val="20"/>
              </w:rPr>
              <w:t>The Company’s management is responsible for day-to-day risk management, including the primary monitoring and testing function for company-wide policies and procedures, and day-to-day oversight of the risk management strategy for the ongoing business of the Company. This oversight includes identifying, evaluating, and addressing potential risks that may exist at the enterprise, strategic, financial, operational, and compliance and reporting levels.</w:t>
            </w:r>
          </w:p>
        </w:tc>
        <w:tc>
          <w:tcPr>
            <w:tcW w:w="181" w:type="dxa"/>
            <w:tcBorders>
              <w:right w:val="single" w:sz="32" w:space="0" w:color="1A2343"/>
            </w:tcBorders>
            <w:shd w:fill="auto" w:val="clear"/>
            <w:tcMar>
              <w:right w:w="28" w:type="dxa"/>
            </w:tcMar>
            <w:vAlign w:val="center"/>
          </w:tcPr>
          <w:p>
            <w:pPr>
              <w:pStyle w:val="TableContents"/>
              <w:spacing w:before="0" w:after="283"/>
              <w:jc w:val="left"/>
              <w:rPr/>
            </w:pPr>
            <w:r>
              <w:rPr/>
              <w:t> </w:t>
            </w:r>
          </w:p>
        </w:tc>
      </w:tr>
      <w:tr>
        <w:trPr/>
        <w:tc>
          <w:tcPr>
            <w:tcW w:w="180" w:type="dxa"/>
            <w:tcBorders/>
            <w:shd w:fill="auto" w:val="clear"/>
            <w:vAlign w:val="center"/>
          </w:tcPr>
          <w:p>
            <w:pPr>
              <w:pStyle w:val="TableContents"/>
              <w:spacing w:before="0" w:after="283"/>
              <w:jc w:val="left"/>
              <w:rPr/>
            </w:pPr>
            <w:r>
              <w:rPr/>
              <w:t> </w:t>
            </w:r>
          </w:p>
        </w:tc>
        <w:tc>
          <w:tcPr>
            <w:tcW w:w="9844" w:type="dxa"/>
            <w:gridSpan w:val="3"/>
            <w:tcBorders>
              <w:left w:val="single" w:sz="32" w:space="0" w:color="1A2343"/>
              <w:bottom w:val="single" w:sz="32" w:space="0" w:color="1A2343"/>
            </w:tcBorders>
            <w:shd w:fill="auto" w:val="clear"/>
            <w:tcMar>
              <w:left w:w="28" w:type="dxa"/>
              <w:bottom w:w="28" w:type="dxa"/>
            </w:tcMar>
            <w:vAlign w:val="center"/>
          </w:tcPr>
          <w:p>
            <w:pPr>
              <w:pStyle w:val="TableContents"/>
              <w:spacing w:before="0" w:after="283"/>
              <w:jc w:val="left"/>
              <w:rPr/>
            </w:pPr>
            <w:r>
              <w:rPr/>
              <w:t> </w:t>
            </w:r>
          </w:p>
        </w:tc>
        <w:tc>
          <w:tcPr>
            <w:tcW w:w="181" w:type="dxa"/>
            <w:tcBorders>
              <w:bottom w:val="single" w:sz="32" w:space="0" w:color="1A2343"/>
              <w:right w:val="single" w:sz="32" w:space="0" w:color="1A2343"/>
            </w:tcBorders>
            <w:shd w:fill="auto" w:val="clear"/>
            <w:tcMar>
              <w:bottom w:w="28" w:type="dxa"/>
              <w:right w:w="28" w:type="dxa"/>
            </w:tcMar>
            <w:vAlign w:val="center"/>
          </w:tcPr>
          <w:p>
            <w:pPr>
              <w:pStyle w:val="TableContents"/>
              <w:spacing w:before="0" w:after="283"/>
              <w:rPr>
                <w:sz w:val="4"/>
                <w:szCs w:val="4"/>
              </w:rPr>
            </w:pPr>
            <w:r>
              <w:rPr>
                <w:sz w:val="4"/>
                <w:szCs w:val="4"/>
              </w:rPr>
            </w:r>
          </w:p>
        </w:tc>
      </w:tr>
    </w:tbl>
    <w:p>
      <w:pPr>
        <w:pStyle w:val="TextBody"/>
        <w:spacing w:before="240" w:after="283"/>
        <w:jc w:val="left"/>
        <w:rPr>
          <w:rFonts w:ascii="Arial" w:hAnsi="Arial"/>
          <w:sz w:val="20"/>
        </w:rPr>
      </w:pPr>
      <w:r>
        <w:rPr>
          <w:rFonts w:ascii="Arial" w:hAnsi="Arial"/>
          <w:sz w:val="20"/>
        </w:rPr>
        <w:t>All committees report to the full Board as appropriate, including when a matter rises to the level of a material or enterprise level risk.</w:t>
      </w:r>
    </w:p>
    <w:p>
      <w:pPr>
        <w:pStyle w:val="TextBody"/>
        <w:jc w:val="left"/>
        <w:rPr>
          <w:rFonts w:ascii="Arial" w:hAnsi="Arial"/>
          <w:sz w:val="20"/>
        </w:rPr>
      </w:pPr>
      <w:r>
        <w:rPr>
          <w:rFonts w:ascii="Arial" w:hAnsi="Arial"/>
          <w:sz w:val="20"/>
        </w:rPr>
        <w:t>We believe the division of risk management responsibilities described above is an effective approach for addressing the risks facing the Company and that the Board leadership structure supports this approach.</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945" w:type="dxa"/>
        <w:jc w:val="left"/>
        <w:tblInd w:w="0" w:type="dxa"/>
        <w:tblCellMar>
          <w:top w:w="0" w:type="dxa"/>
          <w:left w:w="0" w:type="dxa"/>
          <w:bottom w:w="0" w:type="dxa"/>
          <w:right w:w="0" w:type="dxa"/>
        </w:tblCellMar>
      </w:tblPr>
      <w:tblGrid>
        <w:gridCol w:w="4655"/>
        <w:gridCol w:w="290"/>
      </w:tblGrid>
      <w:tr>
        <w:trPr/>
        <w:tc>
          <w:tcPr>
            <w:tcW w:w="4655" w:type="dxa"/>
            <w:tcBorders/>
            <w:shd w:fill="auto" w:val="clear"/>
            <w:vAlign w:val="center"/>
          </w:tcPr>
          <w:p>
            <w:pPr>
              <w:pStyle w:val="TableContents"/>
              <w:spacing w:before="0" w:after="283"/>
              <w:jc w:val="left"/>
              <w:rPr>
                <w:rFonts w:ascii="Arial" w:hAnsi="Arial"/>
                <w:sz w:val="15"/>
              </w:rPr>
            </w:pPr>
            <w:r>
              <w:rPr>
                <w:rFonts w:ascii="Arial" w:hAnsi="Arial"/>
                <w:b/>
                <w:sz w:val="15"/>
              </w:rPr>
              <w:t>OUR BOARD OF DIRECTORS AND CORPORATE GOVERNANCE</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31</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F3F5E9" w:val="clear"/>
            <w:vAlign w:val="center"/>
          </w:tcPr>
          <w:p>
            <w:pPr>
              <w:pStyle w:val="TableContents"/>
              <w:jc w:val="left"/>
              <w:rPr/>
            </w:pPr>
            <w:r>
              <w:rPr>
                <w:rStyle w:val="StrongEmphasis"/>
                <w:rFonts w:ascii="Arial" w:hAnsi="Arial"/>
                <w:color w:val="8EAD3C"/>
                <w:sz w:val="20"/>
              </w:rPr>
              <w:t>OVERSIGHT OF CYBERSECURITY</w:t>
            </w:r>
          </w:p>
          <w:p>
            <w:pPr>
              <w:pStyle w:val="TableContents"/>
              <w:jc w:val="left"/>
              <w:rPr>
                <w:rFonts w:ascii="Arial" w:hAnsi="Arial"/>
                <w:sz w:val="20"/>
              </w:rPr>
            </w:pPr>
            <w:r>
              <w:rPr>
                <w:rFonts w:ascii="Arial" w:hAnsi="Arial"/>
                <w:sz w:val="20"/>
              </w:rPr>
              <w:t>Included in our Board’s oversight and approach to risk management is a focus on cybersecurity. As we transmit sensitive data across networks and rely on inter-connected systems to operate our buildings, we are dedicated to protecting this information and the systems used to process it. We ensure our employees, processes, systems, and external partners are aligned with cybersecurity best practices.</w:t>
            </w:r>
          </w:p>
          <w:p>
            <w:pPr>
              <w:pStyle w:val="TableContents"/>
              <w:jc w:val="left"/>
              <w:rPr/>
            </w:pPr>
            <w:r>
              <w:rPr>
                <w:rStyle w:val="StrongEmphasis"/>
                <w:rFonts w:ascii="Arial" w:hAnsi="Arial"/>
                <w:color w:val="1A2343"/>
                <w:sz w:val="20"/>
              </w:rPr>
              <w:t>Vulnerability Management</w:t>
              <w:br/>
            </w:r>
            <w:r>
              <w:rPr>
                <w:rFonts w:ascii="Arial" w:hAnsi="Arial"/>
                <w:sz w:val="20"/>
              </w:rPr>
              <w:t>We constantly scan our systems for vulnerabilities and address identified risks. During scheduled maintenance windows, we update or upgrade our systems to minimize these risks.</w:t>
            </w:r>
          </w:p>
          <w:p>
            <w:pPr>
              <w:pStyle w:val="TableContents"/>
              <w:jc w:val="left"/>
              <w:rPr/>
            </w:pPr>
            <w:r>
              <w:rPr>
                <w:rStyle w:val="StrongEmphasis"/>
                <w:rFonts w:ascii="Arial" w:hAnsi="Arial"/>
                <w:color w:val="1A2343"/>
                <w:sz w:val="20"/>
              </w:rPr>
              <w:t>Security Assessments</w:t>
              <w:br/>
            </w:r>
            <w:r>
              <w:rPr>
                <w:rFonts w:ascii="Arial" w:hAnsi="Arial"/>
                <w:sz w:val="20"/>
              </w:rPr>
              <w:t>We periodically employ internal software tools as well as external agencies to test the efficacy of our security protocols. Any weaknesses found are addressed through corrective action plans and systematic changes.</w:t>
            </w:r>
          </w:p>
          <w:p>
            <w:pPr>
              <w:pStyle w:val="TableContents"/>
              <w:jc w:val="left"/>
              <w:rPr/>
            </w:pPr>
            <w:r>
              <w:rPr>
                <w:rStyle w:val="StrongEmphasis"/>
                <w:rFonts w:ascii="Arial" w:hAnsi="Arial"/>
                <w:color w:val="1A2343"/>
                <w:sz w:val="20"/>
              </w:rPr>
              <w:t>Cybersecurity Awareness</w:t>
              <w:br/>
            </w:r>
            <w:r>
              <w:rPr>
                <w:rFonts w:ascii="Arial" w:hAnsi="Arial"/>
                <w:sz w:val="20"/>
              </w:rPr>
              <w:t>To ensure our employees are equipped with strategies to combat cybersecurity threats, we have regular mandatory employee trainings. All employees also receive security awareness tips to help identify phishing, deceptive emails, and corrupt links.</w:t>
            </w:r>
          </w:p>
          <w:p>
            <w:pPr>
              <w:pStyle w:val="TableContents"/>
              <w:jc w:val="left"/>
              <w:rPr/>
            </w:pPr>
            <w:r>
              <w:rPr>
                <w:rStyle w:val="StrongEmphasis"/>
                <w:rFonts w:ascii="Arial" w:hAnsi="Arial"/>
                <w:color w:val="1A2343"/>
                <w:sz w:val="20"/>
              </w:rPr>
              <w:t>Disaster Recovery</w:t>
              <w:br/>
            </w:r>
            <w:r>
              <w:rPr>
                <w:rFonts w:ascii="Arial" w:hAnsi="Arial"/>
                <w:sz w:val="20"/>
              </w:rPr>
              <w:t>We undergo offsite disaster recovery testing of Day 1 and partial Day 2 critical systems annually and implement incident response procedures. Additionally, 100% of our employees are equipped with mobile computing and remote work capabilities that enable end-to-end continuity of business operations.</w:t>
            </w:r>
          </w:p>
          <w:p>
            <w:pPr>
              <w:pStyle w:val="TableContents"/>
              <w:jc w:val="left"/>
              <w:rPr/>
            </w:pPr>
            <w:r>
              <w:rPr>
                <w:rStyle w:val="StrongEmphasis"/>
                <w:rFonts w:ascii="Arial" w:hAnsi="Arial"/>
                <w:color w:val="1A2343"/>
                <w:sz w:val="20"/>
              </w:rPr>
              <w:t>Cloud Computing</w:t>
              <w:br/>
            </w:r>
            <w:r>
              <w:rPr>
                <w:rFonts w:ascii="Arial" w:hAnsi="Arial"/>
                <w:sz w:val="20"/>
              </w:rPr>
              <w:t>With the advancement and availability of cloud technologies, we leverage the power of the cloud to employ sophisticated cybersecurity and business resilience measures.</w:t>
            </w:r>
          </w:p>
          <w:p>
            <w:pPr>
              <w:pStyle w:val="TableContents"/>
              <w:jc w:val="left"/>
              <w:rPr/>
            </w:pPr>
            <w:r>
              <w:rPr>
                <w:rStyle w:val="StrongEmphasis"/>
                <w:rFonts w:ascii="Arial" w:hAnsi="Arial"/>
                <w:color w:val="1A2343"/>
                <w:sz w:val="20"/>
              </w:rPr>
              <w:t>Risk Mitigation</w:t>
              <w:br/>
            </w:r>
            <w:r>
              <w:rPr>
                <w:rFonts w:ascii="Arial" w:hAnsi="Arial"/>
                <w:sz w:val="20"/>
              </w:rPr>
              <w:t>With growing risks associated with cybersecurity, we mitigate our exposure by offsetting the potential costs involved with recovery after a cyber-related security breach or similar event by purchasing cyber liability insurance coverage.</w:t>
            </w:r>
          </w:p>
          <w:p>
            <w:pPr>
              <w:pStyle w:val="TableContents"/>
              <w:spacing w:before="0" w:after="283"/>
              <w:jc w:val="left"/>
              <w:rPr/>
            </w:pPr>
            <w:r>
              <w:rPr>
                <w:rStyle w:val="StrongEmphasis"/>
                <w:rFonts w:ascii="Arial" w:hAnsi="Arial"/>
                <w:color w:val="1A2343"/>
                <w:sz w:val="20"/>
              </w:rPr>
              <w:t>External Assurance</w:t>
              <w:br/>
            </w:r>
            <w:r>
              <w:rPr>
                <w:rFonts w:ascii="Arial" w:hAnsi="Arial"/>
                <w:sz w:val="20"/>
              </w:rPr>
              <w:t>We periodically assess our IT systems to ensure adherence to industry standards, guidelines, and regulations. Our systems are also audited by external auditors annually and any findings tracked until they are adequately remediated.</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32</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pPr>
      <w:r>
        <w:rPr>
          <w:rStyle w:val="StrongEmphasis"/>
          <w:rFonts w:ascii="Arial" w:hAnsi="Arial"/>
          <w:color w:val="1A2343"/>
          <w:sz w:val="26"/>
        </w:rPr>
        <w:t>Stockholder Outreach</w:t>
      </w:r>
    </w:p>
    <w:p>
      <w:pPr>
        <w:pStyle w:val="TextBody"/>
        <w:jc w:val="left"/>
        <w:rPr>
          <w:rFonts w:ascii="Arial" w:hAnsi="Arial"/>
          <w:sz w:val="20"/>
        </w:rPr>
      </w:pPr>
      <w:r>
        <w:rPr>
          <w:rFonts w:ascii="Arial" w:hAnsi="Arial"/>
          <w:sz w:val="20"/>
        </w:rPr>
        <w:t>The Board believes that engaging in stockholder outreach is an essential element of strong corporate governance. We strive for a collaborative approach to issues of importance to investors and continually seek to better understand the views of our investors on key topics.</w:t>
      </w:r>
    </w:p>
    <w:tbl>
      <w:tblPr>
        <w:tblW w:w="10205" w:type="dxa"/>
        <w:jc w:val="left"/>
        <w:tblInd w:w="0" w:type="dxa"/>
        <w:tblCellMar>
          <w:top w:w="0" w:type="dxa"/>
          <w:left w:w="0" w:type="dxa"/>
          <w:bottom w:w="0" w:type="dxa"/>
          <w:right w:w="160" w:type="dxa"/>
        </w:tblCellMar>
      </w:tblPr>
      <w:tblGrid>
        <w:gridCol w:w="3561"/>
        <w:gridCol w:w="2998"/>
        <w:gridCol w:w="3646"/>
      </w:tblGrid>
      <w:tr>
        <w:trPr/>
        <w:tc>
          <w:tcPr>
            <w:tcW w:w="3561" w:type="dxa"/>
            <w:tcBorders>
              <w:right w:val="single" w:sz="8" w:space="0" w:color="8EAD3C"/>
            </w:tcBorders>
            <w:shd w:fill="auto" w:val="clear"/>
            <w:vAlign w:val="center"/>
          </w:tcPr>
          <w:p>
            <w:pPr>
              <w:pStyle w:val="TableContents"/>
              <w:spacing w:before="0" w:after="283"/>
              <w:jc w:val="left"/>
              <w:rPr/>
            </w:pPr>
            <w:r>
              <w:rPr>
                <w:rStyle w:val="StrongEmphasis"/>
                <w:rFonts w:ascii="Arial" w:hAnsi="Arial"/>
                <w:color w:val="8EAD3C"/>
                <w:sz w:val="20"/>
              </w:rPr>
              <w:t>Who We Engage</w:t>
            </w:r>
          </w:p>
        </w:tc>
        <w:tc>
          <w:tcPr>
            <w:tcW w:w="2998" w:type="dxa"/>
            <w:tcBorders>
              <w:right w:val="single" w:sz="8" w:space="0" w:color="8EAD3C"/>
            </w:tcBorders>
            <w:shd w:fill="auto" w:val="clear"/>
            <w:vAlign w:val="center"/>
          </w:tcPr>
          <w:p>
            <w:pPr>
              <w:pStyle w:val="TableContents"/>
              <w:spacing w:before="0" w:after="283"/>
              <w:jc w:val="center"/>
              <w:rPr/>
            </w:pPr>
            <w:r>
              <w:rPr>
                <w:rStyle w:val="StrongEmphasis"/>
                <w:rFonts w:ascii="Arial" w:hAnsi="Arial"/>
                <w:color w:val="8EAD3C"/>
                <w:sz w:val="20"/>
              </w:rPr>
              <w:t>Offered Engagement with Approximately</w:t>
            </w:r>
          </w:p>
        </w:tc>
        <w:tc>
          <w:tcPr>
            <w:tcW w:w="3646" w:type="dxa"/>
            <w:tcBorders/>
            <w:shd w:fill="auto" w:val="clear"/>
            <w:tcMar>
              <w:right w:w="0" w:type="dxa"/>
            </w:tcMar>
            <w:vAlign w:val="center"/>
          </w:tcPr>
          <w:p>
            <w:pPr>
              <w:pStyle w:val="TableContents"/>
              <w:spacing w:before="0" w:after="283"/>
              <w:jc w:val="left"/>
              <w:rPr/>
            </w:pPr>
            <w:r>
              <w:rPr>
                <w:rStyle w:val="StrongEmphasis"/>
                <w:rFonts w:ascii="Arial" w:hAnsi="Arial"/>
                <w:color w:val="8EAD3C"/>
                <w:sz w:val="20"/>
              </w:rPr>
              <w:t>How We Engage</w:t>
            </w:r>
          </w:p>
        </w:tc>
      </w:tr>
      <w:tr>
        <w:trPr/>
        <w:tc>
          <w:tcPr>
            <w:tcW w:w="3561" w:type="dxa"/>
            <w:tcBorders>
              <w:right w:val="single" w:sz="8" w:space="0" w:color="8EAD3C"/>
            </w:tcBorders>
            <w:shd w:fill="auto" w:val="clear"/>
            <w:vAlign w:val="center"/>
          </w:tcPr>
          <w:p>
            <w:pPr>
              <w:pStyle w:val="TableContents"/>
              <w:spacing w:before="0" w:after="283"/>
              <w:jc w:val="left"/>
              <w:rPr/>
            </w:pPr>
            <w:r>
              <w:rPr>
                <w:rFonts w:ascii="Arial" w:hAnsi="Arial"/>
                <w:sz w:val="20"/>
              </w:rPr>
              <w:t>Over the past several years, the chairs of the Compensation and Nominating and Governance Committees and members of our senior management team have engaged with many of our largest institutional investors.</w:t>
            </w:r>
            <w:r>
              <w:rPr/>
              <w:t xml:space="preserve"> </w:t>
            </w:r>
          </w:p>
        </w:tc>
        <w:tc>
          <w:tcPr>
            <w:tcW w:w="2998" w:type="dxa"/>
            <w:tcBorders>
              <w:right w:val="single" w:sz="8" w:space="0" w:color="8EAD3C"/>
            </w:tcBorders>
            <w:shd w:fill="auto" w:val="clear"/>
            <w:vAlign w:val="center"/>
          </w:tcPr>
          <w:p>
            <w:pPr>
              <w:pStyle w:val="TableContents"/>
              <w:spacing w:before="0" w:after="283"/>
              <w:jc w:val="center"/>
              <w:rPr/>
            </w:pPr>
            <w:r>
              <w:rPr/>
              <w:drawing>
                <wp:inline distT="0" distB="0" distL="0" distR="0">
                  <wp:extent cx="1828800" cy="1819275"/>
                  <wp:effectExtent l="0" t="0" r="0" b="0"/>
                  <wp:docPr id="401"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268" descr=""/>
                          <pic:cNvPicPr>
                            <a:picLocks noChangeAspect="1" noChangeArrowheads="1"/>
                          </pic:cNvPicPr>
                        </pic:nvPicPr>
                        <pic:blipFill>
                          <a:blip r:embed="rId269"/>
                          <a:srcRect l="-551" t="-554" r="-551" b="-554"/>
                          <a:stretch>
                            <a:fillRect/>
                          </a:stretch>
                        </pic:blipFill>
                        <pic:spPr bwMode="auto">
                          <a:xfrm>
                            <a:off x="0" y="0"/>
                            <a:ext cx="1828800" cy="1819275"/>
                          </a:xfrm>
                          <a:prstGeom prst="rect">
                            <a:avLst/>
                          </a:prstGeom>
                          <a:ln w="635">
                            <a:solidFill>
                              <a:srgbClr val="000000"/>
                            </a:solidFill>
                          </a:ln>
                        </pic:spPr>
                      </pic:pic>
                    </a:graphicData>
                  </a:graphic>
                </wp:inline>
              </w:drawing>
            </w:r>
          </w:p>
        </w:tc>
        <w:tc>
          <w:tcPr>
            <w:tcW w:w="3646" w:type="dxa"/>
            <w:tcBorders/>
            <w:shd w:fill="auto" w:val="clear"/>
            <w:tcMar>
              <w:right w:w="0" w:type="dxa"/>
            </w:tcMar>
            <w:vAlign w:val="center"/>
          </w:tcPr>
          <w:p>
            <w:pPr>
              <w:pStyle w:val="TableContents"/>
              <w:spacing w:before="0" w:after="283"/>
              <w:jc w:val="left"/>
              <w:rPr>
                <w:rFonts w:ascii="Arial" w:hAnsi="Arial"/>
                <w:sz w:val="20"/>
              </w:rPr>
            </w:pPr>
            <w:r>
              <w:rPr>
                <w:rFonts w:ascii="Arial" w:hAnsi="Arial"/>
                <w:sz w:val="20"/>
              </w:rPr>
              <w:t>We held in-person and virtual meetings, conducted calls and otherwise engaged with investors on topics including, but not limited to, our business strategy and executive compensation as well as governance and ESG matters.</w:t>
            </w:r>
          </w:p>
        </w:tc>
      </w:tr>
    </w:tbl>
    <w:p>
      <w:pPr>
        <w:pStyle w:val="TextBody"/>
        <w:spacing w:before="240" w:after="283"/>
        <w:jc w:val="left"/>
        <w:rPr>
          <w:rFonts w:ascii="Arial" w:hAnsi="Arial"/>
          <w:sz w:val="20"/>
        </w:rPr>
      </w:pPr>
      <w:r>
        <w:rPr>
          <w:rFonts w:ascii="Arial" w:hAnsi="Arial"/>
          <w:sz w:val="20"/>
        </w:rPr>
        <w:t>Following the 2022 annual meeting, the Company:</w:t>
      </w:r>
    </w:p>
    <w:tbl>
      <w:tblPr>
        <w:tblW w:w="7140" w:type="dxa"/>
        <w:jc w:val="left"/>
        <w:tblInd w:w="0" w:type="dxa"/>
        <w:tblCellMar>
          <w:top w:w="0" w:type="dxa"/>
          <w:left w:w="0" w:type="dxa"/>
          <w:bottom w:w="0" w:type="dxa"/>
          <w:right w:w="0" w:type="dxa"/>
        </w:tblCellMar>
      </w:tblPr>
      <w:tblGrid>
        <w:gridCol w:w="180"/>
        <w:gridCol w:w="2105"/>
        <w:gridCol w:w="2105"/>
        <w:gridCol w:w="2570"/>
        <w:gridCol w:w="180"/>
      </w:tblGrid>
      <w:tr>
        <w:trPr/>
        <w:tc>
          <w:tcPr>
            <w:tcW w:w="180" w:type="dxa"/>
            <w:tcBorders/>
            <w:shd w:fill="auto" w:val="clear"/>
            <w:vAlign w:val="center"/>
          </w:tcPr>
          <w:p>
            <w:pPr>
              <w:pStyle w:val="TableContents"/>
              <w:spacing w:before="0" w:after="283"/>
              <w:jc w:val="left"/>
              <w:rPr/>
            </w:pPr>
            <w:r>
              <w:rPr/>
              <w:t>   </w:t>
            </w:r>
          </w:p>
        </w:tc>
        <w:tc>
          <w:tcPr>
            <w:tcW w:w="2105" w:type="dxa"/>
            <w:tcBorders>
              <w:top w:val="single" w:sz="32" w:space="0" w:color="8EAD3C"/>
              <w:left w:val="single" w:sz="32" w:space="0" w:color="8EAD3C"/>
            </w:tcBorders>
            <w:shd w:fill="auto" w:val="clear"/>
            <w:tcMar>
              <w:top w:w="28" w:type="dxa"/>
              <w:left w:w="28" w:type="dxa"/>
            </w:tcMar>
            <w:vAlign w:val="center"/>
          </w:tcPr>
          <w:p>
            <w:pPr>
              <w:pStyle w:val="TableContents"/>
              <w:spacing w:before="0" w:after="283"/>
              <w:jc w:val="left"/>
              <w:rPr/>
            </w:pPr>
            <w:r>
              <w:rPr/>
              <w:t> </w:t>
            </w:r>
          </w:p>
        </w:tc>
        <w:tc>
          <w:tcPr>
            <w:tcW w:w="2105" w:type="dxa"/>
            <w:tcBorders>
              <w:top w:val="single" w:sz="32" w:space="0" w:color="8EAD3C"/>
            </w:tcBorders>
            <w:shd w:fill="auto" w:val="clear"/>
            <w:tcMar>
              <w:top w:w="28" w:type="dxa"/>
            </w:tcMar>
            <w:vAlign w:val="center"/>
          </w:tcPr>
          <w:p>
            <w:pPr>
              <w:pStyle w:val="TableContents"/>
              <w:spacing w:before="0" w:after="283"/>
              <w:rPr>
                <w:sz w:val="4"/>
                <w:szCs w:val="4"/>
              </w:rPr>
            </w:pPr>
            <w:r>
              <w:rPr>
                <w:sz w:val="4"/>
                <w:szCs w:val="4"/>
              </w:rPr>
            </w:r>
          </w:p>
        </w:tc>
        <w:tc>
          <w:tcPr>
            <w:tcW w:w="2570" w:type="dxa"/>
            <w:tcBorders>
              <w:top w:val="single" w:sz="32" w:space="0" w:color="8EAD3C"/>
            </w:tcBorders>
            <w:shd w:fill="auto" w:val="clear"/>
            <w:tcMar>
              <w:top w:w="28" w:type="dxa"/>
            </w:tcMar>
            <w:vAlign w:val="center"/>
          </w:tcPr>
          <w:p>
            <w:pPr>
              <w:pStyle w:val="TableContents"/>
              <w:spacing w:before="0" w:after="283"/>
              <w:rPr>
                <w:sz w:val="4"/>
                <w:szCs w:val="4"/>
              </w:rPr>
            </w:pPr>
            <w:r>
              <w:rPr>
                <w:sz w:val="4"/>
                <w:szCs w:val="4"/>
              </w:rPr>
            </w:r>
          </w:p>
        </w:tc>
        <w:tc>
          <w:tcPr>
            <w:tcW w:w="180" w:type="dxa"/>
            <w:tcBorders>
              <w:top w:val="single" w:sz="32" w:space="0" w:color="8EAD3C"/>
              <w:right w:val="single" w:sz="32" w:space="0" w:color="8EAD3C"/>
            </w:tcBorders>
            <w:shd w:fill="auto" w:val="clear"/>
            <w:tcMar>
              <w:top w:w="28" w:type="dxa"/>
              <w:right w:w="28" w:type="dxa"/>
            </w:tcMar>
            <w:vAlign w:val="center"/>
          </w:tcPr>
          <w:p>
            <w:pPr>
              <w:pStyle w:val="TableContents"/>
              <w:spacing w:before="0" w:after="283"/>
              <w:jc w:val="left"/>
              <w:rPr/>
            </w:pPr>
            <w:r>
              <w:rPr/>
              <w:t>   </w:t>
            </w:r>
          </w:p>
        </w:tc>
      </w:tr>
      <w:tr>
        <w:trPr/>
        <w:tc>
          <w:tcPr>
            <w:tcW w:w="180" w:type="dxa"/>
            <w:tcBorders/>
            <w:shd w:fill="EBE9EE" w:val="clear"/>
            <w:vAlign w:val="center"/>
          </w:tcPr>
          <w:p>
            <w:pPr>
              <w:pStyle w:val="TableContents"/>
              <w:spacing w:before="0" w:after="283"/>
              <w:jc w:val="left"/>
              <w:rPr/>
            </w:pPr>
            <w:r>
              <w:rPr/>
              <w:t> </w:t>
            </w:r>
          </w:p>
        </w:tc>
        <w:tc>
          <w:tcPr>
            <w:tcW w:w="2105" w:type="dxa"/>
            <w:tcBorders/>
            <w:shd w:fill="EBE9EE" w:val="clear"/>
            <w:vAlign w:val="center"/>
          </w:tcPr>
          <w:p>
            <w:pPr>
              <w:pStyle w:val="TableContents"/>
              <w:spacing w:before="0" w:after="283"/>
              <w:jc w:val="left"/>
              <w:rPr/>
            </w:pPr>
            <w:r>
              <w:rPr/>
              <w:t> </w:t>
            </w:r>
          </w:p>
        </w:tc>
        <w:tc>
          <w:tcPr>
            <w:tcW w:w="2105" w:type="dxa"/>
            <w:tcBorders/>
            <w:shd w:fill="EBE9EE" w:val="clear"/>
            <w:vAlign w:val="center"/>
          </w:tcPr>
          <w:p>
            <w:pPr>
              <w:pStyle w:val="TableContents"/>
              <w:spacing w:before="0" w:after="283"/>
              <w:jc w:val="left"/>
              <w:rPr/>
            </w:pPr>
            <w:r>
              <w:rPr/>
              <w:t> </w:t>
            </w:r>
          </w:p>
        </w:tc>
        <w:tc>
          <w:tcPr>
            <w:tcW w:w="2570" w:type="dxa"/>
            <w:tcBorders/>
            <w:shd w:fill="EBE9EE" w:val="clear"/>
            <w:vAlign w:val="center"/>
          </w:tcPr>
          <w:p>
            <w:pPr>
              <w:pStyle w:val="TableContents"/>
              <w:spacing w:before="0" w:after="283"/>
              <w:jc w:val="left"/>
              <w:rPr/>
            </w:pPr>
            <w:r>
              <w:rPr/>
              <w:t> </w:t>
            </w:r>
          </w:p>
        </w:tc>
        <w:tc>
          <w:tcPr>
            <w:tcW w:w="180" w:type="dxa"/>
            <w:tcBorders>
              <w:right w:val="single" w:sz="32" w:space="0" w:color="8EAD3C"/>
            </w:tcBorders>
            <w:shd w:fill="auto" w:val="clear"/>
            <w:tcMar>
              <w:right w:w="28" w:type="dxa"/>
            </w:tcMar>
            <w:vAlign w:val="center"/>
          </w:tcPr>
          <w:p>
            <w:pPr>
              <w:pStyle w:val="TableContents"/>
              <w:spacing w:before="0" w:after="283"/>
              <w:jc w:val="left"/>
              <w:rPr/>
            </w:pPr>
            <w:r>
              <w:rPr/>
              <w:t> </w:t>
            </w:r>
          </w:p>
        </w:tc>
      </w:tr>
      <w:tr>
        <w:trPr/>
        <w:tc>
          <w:tcPr>
            <w:tcW w:w="180" w:type="dxa"/>
            <w:tcBorders/>
            <w:shd w:fill="EBE9EE" w:val="clear"/>
            <w:vAlign w:val="center"/>
          </w:tcPr>
          <w:p>
            <w:pPr>
              <w:pStyle w:val="TableContents"/>
              <w:spacing w:before="0" w:after="283"/>
              <w:rPr>
                <w:sz w:val="4"/>
                <w:szCs w:val="4"/>
              </w:rPr>
            </w:pPr>
            <w:r>
              <w:rPr>
                <w:sz w:val="4"/>
                <w:szCs w:val="4"/>
              </w:rPr>
            </w:r>
          </w:p>
        </w:tc>
        <w:tc>
          <w:tcPr>
            <w:tcW w:w="2105" w:type="dxa"/>
            <w:tcBorders>
              <w:right w:val="single" w:sz="8" w:space="0" w:color="1A2343"/>
            </w:tcBorders>
            <w:shd w:fill="EBE9EE" w:val="clear"/>
            <w:tcMar>
              <w:right w:w="160" w:type="dxa"/>
            </w:tcMar>
            <w:vAlign w:val="center"/>
          </w:tcPr>
          <w:p>
            <w:pPr>
              <w:pStyle w:val="TableContents"/>
              <w:spacing w:before="0" w:after="283"/>
              <w:jc w:val="left"/>
              <w:rPr/>
            </w:pPr>
            <w:r>
              <w:rPr>
                <w:rStyle w:val="StrongEmphasis"/>
                <w:rFonts w:ascii="Arial" w:hAnsi="Arial"/>
                <w:color w:val="1A2343"/>
                <w:sz w:val="20"/>
              </w:rPr>
              <w:t>Offered</w:t>
              <w:br/>
              <w:t>Engagement with</w:t>
              <w:br/>
              <w:t>approximately</w:t>
            </w:r>
          </w:p>
        </w:tc>
        <w:tc>
          <w:tcPr>
            <w:tcW w:w="2105" w:type="dxa"/>
            <w:tcBorders>
              <w:right w:val="single" w:sz="8" w:space="0" w:color="1A2343"/>
            </w:tcBorders>
            <w:shd w:fill="EBE9EE" w:val="clear"/>
            <w:tcMar>
              <w:right w:w="160" w:type="dxa"/>
            </w:tcMar>
            <w:vAlign w:val="center"/>
          </w:tcPr>
          <w:p>
            <w:pPr>
              <w:pStyle w:val="TableContents"/>
              <w:spacing w:before="0" w:after="283"/>
              <w:jc w:val="left"/>
              <w:rPr/>
            </w:pPr>
            <w:r>
              <w:rPr>
                <w:rStyle w:val="StrongEmphasis"/>
                <w:rFonts w:ascii="Arial" w:hAnsi="Arial"/>
                <w:color w:val="1A2343"/>
                <w:sz w:val="20"/>
              </w:rPr>
              <w:t>Had Direct one-on-</w:t>
              <w:br/>
              <w:t>one discussions</w:t>
              <w:br/>
              <w:t xml:space="preserve">with approximately </w:t>
            </w:r>
          </w:p>
        </w:tc>
        <w:tc>
          <w:tcPr>
            <w:tcW w:w="2570" w:type="dxa"/>
            <w:tcBorders/>
            <w:shd w:fill="EBE9EE" w:val="clear"/>
            <w:vAlign w:val="center"/>
          </w:tcPr>
          <w:p>
            <w:pPr>
              <w:pStyle w:val="TableContents"/>
              <w:spacing w:before="0" w:after="283"/>
              <w:jc w:val="left"/>
              <w:rPr/>
            </w:pPr>
            <w:r>
              <w:rPr>
                <w:rStyle w:val="StrongEmphasis"/>
                <w:rFonts w:ascii="Arial" w:hAnsi="Arial"/>
                <w:color w:val="1A2343"/>
                <w:sz w:val="20"/>
              </w:rPr>
              <w:t>Directors participated in</w:t>
              <w:br/>
              <w:t>calls with stockholders</w:t>
              <w:br/>
              <w:t>representing approximately</w:t>
            </w:r>
          </w:p>
        </w:tc>
        <w:tc>
          <w:tcPr>
            <w:tcW w:w="180" w:type="dxa"/>
            <w:tcBorders>
              <w:right w:val="single" w:sz="32" w:space="0" w:color="8EAD3C"/>
            </w:tcBorders>
            <w:shd w:fill="auto" w:val="clear"/>
            <w:tcMar>
              <w:right w:w="28" w:type="dxa"/>
            </w:tcMar>
            <w:vAlign w:val="center"/>
          </w:tcPr>
          <w:p>
            <w:pPr>
              <w:pStyle w:val="TableContents"/>
              <w:spacing w:before="0" w:after="283"/>
              <w:rPr>
                <w:sz w:val="4"/>
                <w:szCs w:val="4"/>
              </w:rPr>
            </w:pPr>
            <w:r>
              <w:rPr>
                <w:sz w:val="4"/>
                <w:szCs w:val="4"/>
              </w:rPr>
            </w:r>
          </w:p>
        </w:tc>
      </w:tr>
      <w:tr>
        <w:trPr/>
        <w:tc>
          <w:tcPr>
            <w:tcW w:w="180" w:type="dxa"/>
            <w:tcBorders/>
            <w:shd w:fill="EBE9EE" w:val="clear"/>
            <w:vAlign w:val="center"/>
          </w:tcPr>
          <w:p>
            <w:pPr>
              <w:pStyle w:val="TableContents"/>
              <w:spacing w:before="0" w:after="283"/>
              <w:rPr>
                <w:sz w:val="4"/>
                <w:szCs w:val="4"/>
              </w:rPr>
            </w:pPr>
            <w:r>
              <w:rPr>
                <w:sz w:val="4"/>
                <w:szCs w:val="4"/>
              </w:rPr>
            </w:r>
          </w:p>
        </w:tc>
        <w:tc>
          <w:tcPr>
            <w:tcW w:w="2105" w:type="dxa"/>
            <w:tcBorders>
              <w:right w:val="single" w:sz="8" w:space="0" w:color="1A2343"/>
            </w:tcBorders>
            <w:shd w:fill="EBE9EE" w:val="clear"/>
            <w:tcMar>
              <w:right w:w="160" w:type="dxa"/>
            </w:tcMar>
            <w:vAlign w:val="center"/>
          </w:tcPr>
          <w:p>
            <w:pPr>
              <w:pStyle w:val="TableContents"/>
              <w:spacing w:before="0" w:after="283"/>
              <w:jc w:val="left"/>
              <w:rPr/>
            </w:pPr>
            <w:r>
              <w:rPr>
                <w:rFonts w:ascii="Arial" w:hAnsi="Arial"/>
                <w:color w:val="1A2343"/>
                <w:sz w:val="36"/>
              </w:rPr>
              <w:t>66%</w:t>
              <w:br/>
            </w:r>
            <w:r>
              <w:rPr>
                <w:rStyle w:val="StrongEmphasis"/>
                <w:rFonts w:ascii="Arial" w:hAnsi="Arial"/>
                <w:color w:val="1A2343"/>
                <w:sz w:val="20"/>
              </w:rPr>
              <w:t>of Outstanding Shares</w:t>
            </w:r>
          </w:p>
        </w:tc>
        <w:tc>
          <w:tcPr>
            <w:tcW w:w="2105" w:type="dxa"/>
            <w:tcBorders>
              <w:right w:val="single" w:sz="8" w:space="0" w:color="1A2343"/>
            </w:tcBorders>
            <w:shd w:fill="EBE9EE" w:val="clear"/>
            <w:tcMar>
              <w:right w:w="160" w:type="dxa"/>
            </w:tcMar>
            <w:vAlign w:val="center"/>
          </w:tcPr>
          <w:p>
            <w:pPr>
              <w:pStyle w:val="TableContents"/>
              <w:spacing w:before="0" w:after="283"/>
              <w:jc w:val="left"/>
              <w:rPr/>
            </w:pPr>
            <w:r>
              <w:rPr>
                <w:rFonts w:ascii="Arial" w:hAnsi="Arial"/>
                <w:color w:val="1A2343"/>
                <w:sz w:val="36"/>
              </w:rPr>
              <w:t>30%</w:t>
              <w:br/>
            </w:r>
            <w:r>
              <w:rPr>
                <w:rStyle w:val="StrongEmphasis"/>
                <w:rFonts w:ascii="Arial" w:hAnsi="Arial"/>
                <w:color w:val="1A2343"/>
                <w:sz w:val="20"/>
              </w:rPr>
              <w:t>of Outstanding Shares</w:t>
            </w:r>
          </w:p>
        </w:tc>
        <w:tc>
          <w:tcPr>
            <w:tcW w:w="2570" w:type="dxa"/>
            <w:tcBorders/>
            <w:shd w:fill="EBE9EE" w:val="clear"/>
            <w:vAlign w:val="center"/>
          </w:tcPr>
          <w:p>
            <w:pPr>
              <w:pStyle w:val="TableContents"/>
              <w:spacing w:before="0" w:after="283"/>
              <w:jc w:val="left"/>
              <w:rPr/>
            </w:pPr>
            <w:r>
              <w:rPr>
                <w:rFonts w:ascii="Arial" w:hAnsi="Arial"/>
                <w:color w:val="1A2343"/>
                <w:sz w:val="36"/>
              </w:rPr>
              <w:t>29%</w:t>
              <w:br/>
            </w:r>
            <w:r>
              <w:rPr>
                <w:rStyle w:val="StrongEmphasis"/>
                <w:rFonts w:ascii="Arial" w:hAnsi="Arial"/>
                <w:color w:val="1A2343"/>
                <w:sz w:val="20"/>
              </w:rPr>
              <w:t>of Outstanding Shares</w:t>
            </w:r>
          </w:p>
        </w:tc>
        <w:tc>
          <w:tcPr>
            <w:tcW w:w="180" w:type="dxa"/>
            <w:tcBorders>
              <w:right w:val="single" w:sz="32" w:space="0" w:color="8EAD3C"/>
            </w:tcBorders>
            <w:shd w:fill="auto" w:val="clear"/>
            <w:tcMar>
              <w:right w:w="28" w:type="dxa"/>
            </w:tcMar>
            <w:vAlign w:val="center"/>
          </w:tcPr>
          <w:p>
            <w:pPr>
              <w:pStyle w:val="TableContents"/>
              <w:spacing w:before="0" w:after="283"/>
              <w:rPr>
                <w:sz w:val="4"/>
                <w:szCs w:val="4"/>
              </w:rPr>
            </w:pPr>
            <w:r>
              <w:rPr>
                <w:sz w:val="4"/>
                <w:szCs w:val="4"/>
              </w:rPr>
            </w:r>
          </w:p>
        </w:tc>
      </w:tr>
      <w:tr>
        <w:trPr/>
        <w:tc>
          <w:tcPr>
            <w:tcW w:w="180" w:type="dxa"/>
            <w:tcBorders/>
            <w:shd w:fill="EBE9EE" w:val="clear"/>
            <w:vAlign w:val="center"/>
          </w:tcPr>
          <w:p>
            <w:pPr>
              <w:pStyle w:val="TableContents"/>
              <w:spacing w:before="0" w:after="283"/>
              <w:jc w:val="left"/>
              <w:rPr/>
            </w:pPr>
            <w:r>
              <w:rPr/>
              <w:t> </w:t>
            </w:r>
          </w:p>
        </w:tc>
        <w:tc>
          <w:tcPr>
            <w:tcW w:w="2105" w:type="dxa"/>
            <w:tcBorders/>
            <w:shd w:fill="EBE9EE" w:val="clear"/>
            <w:vAlign w:val="center"/>
          </w:tcPr>
          <w:p>
            <w:pPr>
              <w:pStyle w:val="TableContents"/>
              <w:spacing w:before="0" w:after="283"/>
              <w:jc w:val="left"/>
              <w:rPr/>
            </w:pPr>
            <w:r>
              <w:rPr/>
              <w:t> </w:t>
            </w:r>
          </w:p>
        </w:tc>
        <w:tc>
          <w:tcPr>
            <w:tcW w:w="2105" w:type="dxa"/>
            <w:tcBorders/>
            <w:shd w:fill="EBE9EE" w:val="clear"/>
            <w:vAlign w:val="center"/>
          </w:tcPr>
          <w:p>
            <w:pPr>
              <w:pStyle w:val="TableContents"/>
              <w:spacing w:before="0" w:after="283"/>
              <w:jc w:val="left"/>
              <w:rPr/>
            </w:pPr>
            <w:r>
              <w:rPr/>
              <w:t> </w:t>
            </w:r>
          </w:p>
        </w:tc>
        <w:tc>
          <w:tcPr>
            <w:tcW w:w="2570" w:type="dxa"/>
            <w:tcBorders/>
            <w:shd w:fill="EBE9EE" w:val="clear"/>
            <w:vAlign w:val="center"/>
          </w:tcPr>
          <w:p>
            <w:pPr>
              <w:pStyle w:val="TableContents"/>
              <w:spacing w:before="0" w:after="283"/>
              <w:jc w:val="left"/>
              <w:rPr/>
            </w:pPr>
            <w:r>
              <w:rPr/>
              <w:t> </w:t>
            </w:r>
          </w:p>
        </w:tc>
        <w:tc>
          <w:tcPr>
            <w:tcW w:w="180" w:type="dxa"/>
            <w:tcBorders>
              <w:right w:val="single" w:sz="32" w:space="0" w:color="8EAD3C"/>
            </w:tcBorders>
            <w:shd w:fill="auto" w:val="clear"/>
            <w:tcMar>
              <w:right w:w="28" w:type="dxa"/>
            </w:tcMar>
            <w:vAlign w:val="center"/>
          </w:tcPr>
          <w:p>
            <w:pPr>
              <w:pStyle w:val="TableContents"/>
              <w:spacing w:before="0" w:after="283"/>
              <w:jc w:val="left"/>
              <w:rPr/>
            </w:pPr>
            <w:r>
              <w:rPr/>
              <w:t> </w:t>
            </w:r>
          </w:p>
        </w:tc>
      </w:tr>
      <w:tr>
        <w:trPr/>
        <w:tc>
          <w:tcPr>
            <w:tcW w:w="180" w:type="dxa"/>
            <w:tcBorders/>
            <w:shd w:fill="auto" w:val="clear"/>
            <w:vAlign w:val="center"/>
          </w:tcPr>
          <w:p>
            <w:pPr>
              <w:pStyle w:val="TableContents"/>
              <w:spacing w:before="0" w:after="283"/>
              <w:rPr>
                <w:sz w:val="4"/>
                <w:szCs w:val="4"/>
              </w:rPr>
            </w:pPr>
            <w:r>
              <w:rPr>
                <w:sz w:val="4"/>
                <w:szCs w:val="4"/>
              </w:rPr>
            </w:r>
          </w:p>
        </w:tc>
        <w:tc>
          <w:tcPr>
            <w:tcW w:w="2105" w:type="dxa"/>
            <w:tcBorders>
              <w:left w:val="single" w:sz="32" w:space="0" w:color="8EAD3C"/>
              <w:bottom w:val="single" w:sz="32" w:space="0" w:color="8EAD3C"/>
            </w:tcBorders>
            <w:shd w:fill="auto" w:val="clear"/>
            <w:tcMar>
              <w:left w:w="28" w:type="dxa"/>
              <w:bottom w:w="28" w:type="dxa"/>
            </w:tcMar>
            <w:vAlign w:val="center"/>
          </w:tcPr>
          <w:p>
            <w:pPr>
              <w:pStyle w:val="TableContents"/>
              <w:spacing w:before="0" w:after="283"/>
              <w:jc w:val="left"/>
              <w:rPr/>
            </w:pPr>
            <w:r>
              <w:rPr/>
              <w:t> </w:t>
            </w:r>
          </w:p>
        </w:tc>
        <w:tc>
          <w:tcPr>
            <w:tcW w:w="2105" w:type="dxa"/>
            <w:tcBorders>
              <w:bottom w:val="single" w:sz="32" w:space="0" w:color="8EAD3C"/>
            </w:tcBorders>
            <w:shd w:fill="auto" w:val="clear"/>
            <w:tcMar>
              <w:bottom w:w="28" w:type="dxa"/>
            </w:tcMar>
            <w:vAlign w:val="center"/>
          </w:tcPr>
          <w:p>
            <w:pPr>
              <w:pStyle w:val="TableContents"/>
              <w:spacing w:before="0" w:after="283"/>
              <w:rPr>
                <w:sz w:val="4"/>
                <w:szCs w:val="4"/>
              </w:rPr>
            </w:pPr>
            <w:r>
              <w:rPr>
                <w:sz w:val="4"/>
                <w:szCs w:val="4"/>
              </w:rPr>
            </w:r>
          </w:p>
        </w:tc>
        <w:tc>
          <w:tcPr>
            <w:tcW w:w="2570" w:type="dxa"/>
            <w:tcBorders>
              <w:bottom w:val="single" w:sz="32" w:space="0" w:color="8EAD3C"/>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32" w:space="0" w:color="8EAD3C"/>
              <w:right w:val="single" w:sz="32" w:space="0" w:color="8EAD3C"/>
            </w:tcBorders>
            <w:shd w:fill="auto" w:val="clear"/>
            <w:tcMar>
              <w:bottom w:w="28" w:type="dxa"/>
              <w:right w:w="28" w:type="dxa"/>
            </w:tcMar>
            <w:vAlign w:val="center"/>
          </w:tcPr>
          <w:p>
            <w:pPr>
              <w:pStyle w:val="TableContents"/>
              <w:spacing w:before="0" w:after="283"/>
              <w:rPr>
                <w:sz w:val="4"/>
                <w:szCs w:val="4"/>
              </w:rPr>
            </w:pPr>
            <w:r>
              <w:rPr>
                <w:sz w:val="4"/>
                <w:szCs w:val="4"/>
              </w:rPr>
            </w:r>
          </w:p>
        </w:tc>
      </w:tr>
    </w:tbl>
    <w:p>
      <w:pPr>
        <w:pStyle w:val="TextBody"/>
        <w:rPr/>
      </w:pPr>
      <w:r>
        <w:rPr/>
      </w:r>
    </w:p>
    <w:p>
      <w:pPr>
        <w:pStyle w:val="HorizontalLine"/>
        <w:rPr/>
      </w:pPr>
      <w:r>
        <w:rPr/>
      </w:r>
    </w:p>
    <w:p>
      <w:pPr>
        <w:pStyle w:val="TextBody"/>
        <w:spacing w:before="0" w:after="80"/>
        <w:jc w:val="left"/>
        <w:rPr/>
      </w:pPr>
      <w:hyperlink w:anchor="toc">
        <w:r>
          <w:rPr>
            <w:rStyle w:val="InternetLink"/>
            <w:rFonts w:ascii="Arial" w:hAnsi="Arial"/>
            <w:b/>
            <w:sz w:val="20"/>
          </w:rPr>
          <w:t>Table of Contents</w:t>
        </w:r>
      </w:hyperlink>
    </w:p>
    <w:tbl>
      <w:tblPr>
        <w:tblW w:w="4945" w:type="dxa"/>
        <w:jc w:val="left"/>
        <w:tblInd w:w="0" w:type="dxa"/>
        <w:tblCellMar>
          <w:top w:w="0" w:type="dxa"/>
          <w:left w:w="0" w:type="dxa"/>
          <w:bottom w:w="0" w:type="dxa"/>
          <w:right w:w="0" w:type="dxa"/>
        </w:tblCellMar>
      </w:tblPr>
      <w:tblGrid>
        <w:gridCol w:w="4655"/>
        <w:gridCol w:w="290"/>
      </w:tblGrid>
      <w:tr>
        <w:trPr/>
        <w:tc>
          <w:tcPr>
            <w:tcW w:w="4655" w:type="dxa"/>
            <w:tcBorders/>
            <w:shd w:fill="auto" w:val="clear"/>
            <w:vAlign w:val="center"/>
          </w:tcPr>
          <w:p>
            <w:pPr>
              <w:pStyle w:val="TableContents"/>
              <w:spacing w:before="0" w:after="283"/>
              <w:jc w:val="left"/>
              <w:rPr>
                <w:rFonts w:ascii="Arial" w:hAnsi="Arial"/>
                <w:sz w:val="15"/>
              </w:rPr>
            </w:pPr>
            <w:r>
              <w:rPr>
                <w:rFonts w:ascii="Arial" w:hAnsi="Arial"/>
                <w:b/>
                <w:sz w:val="15"/>
              </w:rPr>
              <w:t>OUR BOARD OF DIRECTORS AND CORPORATE GOVERNANCE</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33</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F3F5E9" w:val="clear"/>
            <w:vAlign w:val="center"/>
          </w:tcPr>
          <w:p>
            <w:pPr>
              <w:pStyle w:val="TableContents"/>
              <w:jc w:val="left"/>
              <w:rPr/>
            </w:pPr>
            <w:r>
              <w:rPr>
                <w:rStyle w:val="StrongEmphasis"/>
                <w:rFonts w:ascii="Arial" w:hAnsi="Arial"/>
                <w:color w:val="8EAD3C"/>
                <w:sz w:val="20"/>
              </w:rPr>
              <w:t>Our Track Record of Responsiveness</w:t>
            </w:r>
          </w:p>
          <w:p>
            <w:pPr>
              <w:pStyle w:val="TableContents"/>
              <w:spacing w:before="0" w:after="283"/>
              <w:jc w:val="left"/>
              <w:rPr>
                <w:rFonts w:ascii="Arial" w:hAnsi="Arial"/>
                <w:sz w:val="20"/>
              </w:rPr>
            </w:pPr>
            <w:r>
              <w:rPr>
                <w:rFonts w:ascii="Arial" w:hAnsi="Arial"/>
                <w:sz w:val="20"/>
              </w:rPr>
              <w:t>Our Board has always valued stockholder feedback and has over the last few years embarked on a robust stockholder outreach program. That feedback has served as a key input to Board composition, corporate governance, and executive compensation, as well as environmental and social discussions and decisions at the Board and committee levels. The Board is proud of our track record of responsiveness to stockholder feedback as outlined below.</w:t>
            </w:r>
          </w:p>
        </w:tc>
      </w:tr>
    </w:tbl>
    <w:p>
      <w:pPr>
        <w:pStyle w:val="TextBody"/>
        <w:spacing w:before="0" w:after="0"/>
        <w:rPr/>
      </w:pPr>
      <w:r>
        <w:rPr/>
      </w:r>
    </w:p>
    <w:tbl>
      <w:tblPr>
        <w:tblW w:w="10205" w:type="dxa"/>
        <w:jc w:val="left"/>
        <w:tblInd w:w="0" w:type="dxa"/>
        <w:tblCellMar>
          <w:top w:w="0" w:type="dxa"/>
          <w:left w:w="0" w:type="dxa"/>
          <w:bottom w:w="40" w:type="dxa"/>
          <w:right w:w="0" w:type="dxa"/>
        </w:tblCellMar>
      </w:tblPr>
      <w:tblGrid>
        <w:gridCol w:w="180"/>
        <w:gridCol w:w="300"/>
        <w:gridCol w:w="3118"/>
        <w:gridCol w:w="300"/>
        <w:gridCol w:w="3491"/>
        <w:gridCol w:w="300"/>
        <w:gridCol w:w="2516"/>
      </w:tblGrid>
      <w:tr>
        <w:trPr/>
        <w:tc>
          <w:tcPr>
            <w:tcW w:w="180"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300" w:type="dxa"/>
            <w:tcBorders>
              <w:bottom w:val="single" w:sz="12" w:space="0" w:color="1A2343"/>
            </w:tcBorders>
            <w:shd w:fill="auto" w:val="clear"/>
            <w:vAlign w:val="center"/>
          </w:tcPr>
          <w:p>
            <w:pPr>
              <w:pStyle w:val="TableContents"/>
              <w:spacing w:before="0" w:after="283"/>
              <w:jc w:val="left"/>
              <w:rPr/>
            </w:pPr>
            <w:r>
              <w:rPr/>
              <w:t>     </w:t>
            </w:r>
          </w:p>
        </w:tc>
        <w:tc>
          <w:tcPr>
            <w:tcW w:w="3118" w:type="dxa"/>
            <w:tcBorders>
              <w:bottom w:val="single" w:sz="12" w:space="0" w:color="1A2343"/>
            </w:tcBorders>
            <w:shd w:fill="auto" w:val="clear"/>
            <w:vAlign w:val="center"/>
          </w:tcPr>
          <w:p>
            <w:pPr>
              <w:pStyle w:val="TableContents"/>
              <w:spacing w:before="0" w:after="283"/>
              <w:jc w:val="left"/>
              <w:rPr>
                <w:rFonts w:ascii="Arial" w:hAnsi="Arial"/>
                <w:color w:val="15163A"/>
                <w:sz w:val="15"/>
              </w:rPr>
            </w:pPr>
            <w:r>
              <w:rPr>
                <w:rFonts w:ascii="Arial" w:hAnsi="Arial"/>
                <w:color w:val="15163A"/>
                <w:sz w:val="15"/>
              </w:rPr>
              <w:t>Board Composition &amp;</w:t>
              <w:br/>
              <w:t>Corporate Governance</w:t>
            </w:r>
          </w:p>
        </w:tc>
        <w:tc>
          <w:tcPr>
            <w:tcW w:w="300" w:type="dxa"/>
            <w:tcBorders>
              <w:bottom w:val="single" w:sz="12" w:space="0" w:color="1A2343"/>
            </w:tcBorders>
            <w:shd w:fill="auto" w:val="clear"/>
            <w:vAlign w:val="center"/>
          </w:tcPr>
          <w:p>
            <w:pPr>
              <w:pStyle w:val="TableContents"/>
              <w:spacing w:before="0" w:after="283"/>
              <w:jc w:val="left"/>
              <w:rPr/>
            </w:pPr>
            <w:r>
              <w:rPr/>
              <w:t>     </w:t>
            </w:r>
          </w:p>
        </w:tc>
        <w:tc>
          <w:tcPr>
            <w:tcW w:w="3491" w:type="dxa"/>
            <w:tcBorders>
              <w:bottom w:val="single" w:sz="12" w:space="0" w:color="1A2343"/>
            </w:tcBorders>
            <w:shd w:fill="auto" w:val="clear"/>
            <w:vAlign w:val="center"/>
          </w:tcPr>
          <w:p>
            <w:pPr>
              <w:pStyle w:val="TableContents"/>
              <w:spacing w:before="0" w:after="283"/>
              <w:jc w:val="left"/>
              <w:rPr>
                <w:rFonts w:ascii="Arial" w:hAnsi="Arial"/>
                <w:color w:val="15163A"/>
                <w:sz w:val="15"/>
              </w:rPr>
            </w:pPr>
            <w:r>
              <w:rPr>
                <w:rFonts w:ascii="Arial" w:hAnsi="Arial"/>
                <w:color w:val="15163A"/>
                <w:sz w:val="15"/>
              </w:rPr>
              <w:t>Executive Compensation</w:t>
            </w:r>
          </w:p>
        </w:tc>
        <w:tc>
          <w:tcPr>
            <w:tcW w:w="300" w:type="dxa"/>
            <w:tcBorders>
              <w:bottom w:val="single" w:sz="12" w:space="0" w:color="1A2343"/>
            </w:tcBorders>
            <w:shd w:fill="auto" w:val="clear"/>
            <w:vAlign w:val="center"/>
          </w:tcPr>
          <w:p>
            <w:pPr>
              <w:pStyle w:val="TableContents"/>
              <w:spacing w:before="0" w:after="283"/>
              <w:jc w:val="left"/>
              <w:rPr/>
            </w:pPr>
            <w:r>
              <w:rPr/>
              <w:t>     </w:t>
            </w:r>
          </w:p>
        </w:tc>
        <w:tc>
          <w:tcPr>
            <w:tcW w:w="2516" w:type="dxa"/>
            <w:tcBorders>
              <w:bottom w:val="single" w:sz="12" w:space="0" w:color="1A2343"/>
            </w:tcBorders>
            <w:shd w:fill="auto" w:val="clear"/>
            <w:vAlign w:val="center"/>
          </w:tcPr>
          <w:p>
            <w:pPr>
              <w:pStyle w:val="TableContents"/>
              <w:spacing w:before="0" w:after="283"/>
              <w:jc w:val="left"/>
              <w:rPr>
                <w:rFonts w:ascii="Arial" w:hAnsi="Arial"/>
                <w:color w:val="15163A"/>
                <w:sz w:val="15"/>
              </w:rPr>
            </w:pPr>
            <w:r>
              <w:rPr>
                <w:rFonts w:ascii="Arial" w:hAnsi="Arial"/>
                <w:color w:val="15163A"/>
                <w:sz w:val="15"/>
              </w:rPr>
              <w:t>Environmental &amp; Social</w:t>
            </w:r>
          </w:p>
        </w:tc>
      </w:tr>
      <w:tr>
        <w:trPr/>
        <w:tc>
          <w:tcPr>
            <w:tcW w:w="180" w:type="dxa"/>
            <w:tcBorders>
              <w:bottom w:val="single" w:sz="8" w:space="0" w:color="1A2343"/>
            </w:tcBorders>
            <w:shd w:fill="auto" w:val="clear"/>
            <w:vAlign w:val="center"/>
          </w:tcPr>
          <w:p>
            <w:pPr>
              <w:pStyle w:val="TableContents"/>
              <w:spacing w:before="0" w:after="283"/>
              <w:jc w:val="center"/>
              <w:rPr/>
            </w:pPr>
            <w:r>
              <w:rPr/>
              <w:drawing>
                <wp:inline distT="0" distB="0" distL="0" distR="0">
                  <wp:extent cx="114300" cy="255905"/>
                  <wp:effectExtent l="0" t="0" r="0" b="0"/>
                  <wp:docPr id="402"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69" descr=""/>
                          <pic:cNvPicPr>
                            <a:picLocks noChangeAspect="1" noChangeArrowheads="1"/>
                          </pic:cNvPicPr>
                        </pic:nvPicPr>
                        <pic:blipFill>
                          <a:blip r:embed="rId270"/>
                          <a:srcRect l="-11023" t="-3938" r="-11023" b="-3938"/>
                          <a:stretch>
                            <a:fillRect/>
                          </a:stretch>
                        </pic:blipFill>
                        <pic:spPr bwMode="auto">
                          <a:xfrm>
                            <a:off x="0" y="0"/>
                            <a:ext cx="114300" cy="255905"/>
                          </a:xfrm>
                          <a:prstGeom prst="rect">
                            <a:avLst/>
                          </a:prstGeom>
                          <a:ln w="635">
                            <a:solidFill>
                              <a:srgbClr val="000000"/>
                            </a:solidFill>
                          </a:ln>
                        </pic:spPr>
                      </pic:pic>
                    </a:graphicData>
                  </a:graphic>
                </wp:inline>
              </w:drawing>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3118"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Amended bylaws to permit stockholders to amend bylaws by a majority vote </w:t>
            </w:r>
          </w:p>
          <w:p>
            <w:pPr>
              <w:pStyle w:val="TableContents"/>
              <w:spacing w:before="0" w:after="0"/>
              <w:ind w:left="0" w:right="0" w:hanging="290"/>
              <w:jc w:val="left"/>
              <w:rPr/>
            </w:pPr>
            <w:r>
              <w:rPr>
                <w:color w:val="8BA73B"/>
              </w:rPr>
              <w:t>✓</w:t>
            </w:r>
            <w:r>
              <w:rPr>
                <w:rFonts w:ascii="Arial" w:hAnsi="Arial"/>
                <w:sz w:val="20"/>
              </w:rPr>
              <w:t xml:space="preserve">Lauren Dillard appointed Compensation Committee Chair </w:t>
            </w:r>
          </w:p>
          <w:p>
            <w:pPr>
              <w:pStyle w:val="TableContents"/>
              <w:spacing w:before="0" w:after="0"/>
              <w:ind w:left="0" w:right="0" w:hanging="290"/>
              <w:jc w:val="left"/>
              <w:rPr/>
            </w:pPr>
            <w:r>
              <w:rPr>
                <w:color w:val="8BA73B"/>
              </w:rPr>
              <w:t>✓</w:t>
            </w:r>
            <w:r>
              <w:rPr>
                <w:rFonts w:ascii="Arial" w:hAnsi="Arial"/>
                <w:sz w:val="20"/>
              </w:rPr>
              <w:t>Craig Hatkoff appointed chair of Nominating and Governance Committee</w:t>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3491"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Retroactively reduced CEO base salary </w:t>
            </w:r>
          </w:p>
          <w:p>
            <w:pPr>
              <w:pStyle w:val="TableContents"/>
              <w:spacing w:before="0" w:after="0"/>
              <w:ind w:left="0" w:right="0" w:hanging="290"/>
              <w:jc w:val="left"/>
              <w:rPr/>
            </w:pPr>
            <w:r>
              <w:rPr>
                <w:color w:val="8BA73B"/>
              </w:rPr>
              <w:t>✓</w:t>
            </w:r>
            <w:r>
              <w:rPr>
                <w:rFonts w:ascii="Arial" w:hAnsi="Arial"/>
                <w:sz w:val="20"/>
              </w:rPr>
              <w:t>Announced reduction of Director Compensation effective 2019</w:t>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2516"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Committed to reduce GHG emission intensity 30% by 2025 </w:t>
            </w:r>
          </w:p>
          <w:p>
            <w:pPr>
              <w:pStyle w:val="TableContents"/>
              <w:spacing w:before="0" w:after="0"/>
              <w:ind w:left="0" w:right="0" w:hanging="290"/>
              <w:jc w:val="left"/>
              <w:rPr/>
            </w:pPr>
            <w:r>
              <w:rPr>
                <w:color w:val="8BA73B"/>
              </w:rPr>
              <w:t>✓</w:t>
            </w:r>
            <w:r>
              <w:rPr>
                <w:rFonts w:ascii="Arial" w:hAnsi="Arial"/>
                <w:sz w:val="20"/>
              </w:rPr>
              <w:t xml:space="preserve">Achieved a “B” CDP score as first-time reporter </w:t>
            </w:r>
          </w:p>
          <w:p>
            <w:pPr>
              <w:pStyle w:val="TableContents"/>
              <w:spacing w:before="0" w:after="0"/>
              <w:ind w:left="0" w:right="0" w:hanging="290"/>
              <w:jc w:val="left"/>
              <w:rPr/>
            </w:pPr>
            <w:r>
              <w:rPr>
                <w:color w:val="8BA73B"/>
              </w:rPr>
              <w:t>✓</w:t>
            </w:r>
            <w:r>
              <w:rPr>
                <w:rFonts w:ascii="Arial" w:hAnsi="Arial"/>
                <w:sz w:val="20"/>
              </w:rPr>
              <w:t>Awarded NYC’s “Changemaker Award” for volunteerism &amp; philanthropy</w:t>
            </w:r>
          </w:p>
        </w:tc>
      </w:tr>
      <w:tr>
        <w:trPr/>
        <w:tc>
          <w:tcPr>
            <w:tcW w:w="180" w:type="dxa"/>
            <w:tcBorders>
              <w:bottom w:val="single" w:sz="8" w:space="0" w:color="1A2343"/>
            </w:tcBorders>
            <w:shd w:fill="auto" w:val="clear"/>
            <w:vAlign w:val="center"/>
          </w:tcPr>
          <w:p>
            <w:pPr>
              <w:pStyle w:val="TableContents"/>
              <w:spacing w:before="0" w:after="283"/>
              <w:jc w:val="center"/>
              <w:rPr/>
            </w:pPr>
            <w:r>
              <w:rPr/>
              <w:drawing>
                <wp:inline distT="0" distB="0" distL="0" distR="0">
                  <wp:extent cx="114300" cy="255905"/>
                  <wp:effectExtent l="0" t="0" r="0" b="0"/>
                  <wp:docPr id="403"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270" descr=""/>
                          <pic:cNvPicPr>
                            <a:picLocks noChangeAspect="1" noChangeArrowheads="1"/>
                          </pic:cNvPicPr>
                        </pic:nvPicPr>
                        <pic:blipFill>
                          <a:blip r:embed="rId271"/>
                          <a:srcRect l="-11382" t="-3938" r="-11382" b="-3938"/>
                          <a:stretch>
                            <a:fillRect/>
                          </a:stretch>
                        </pic:blipFill>
                        <pic:spPr bwMode="auto">
                          <a:xfrm>
                            <a:off x="0" y="0"/>
                            <a:ext cx="114300" cy="255905"/>
                          </a:xfrm>
                          <a:prstGeom prst="rect">
                            <a:avLst/>
                          </a:prstGeom>
                          <a:ln w="635">
                            <a:solidFill>
                              <a:srgbClr val="000000"/>
                            </a:solidFill>
                          </a:ln>
                        </pic:spPr>
                      </pic:pic>
                    </a:graphicData>
                  </a:graphic>
                </wp:inline>
              </w:drawing>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3118"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Transition of Stephen L. Green from Chairman to “Chairman Emeritus”</w:t>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3491"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Simplified pay plan by reducing elements from seven to four </w:t>
            </w:r>
          </w:p>
          <w:p>
            <w:pPr>
              <w:pStyle w:val="TableContents"/>
              <w:spacing w:before="0" w:after="0"/>
              <w:ind w:left="0" w:right="0" w:hanging="290"/>
              <w:jc w:val="left"/>
              <w:rPr/>
            </w:pPr>
            <w:r>
              <w:rPr>
                <w:color w:val="8BA73B"/>
              </w:rPr>
              <w:t>✓</w:t>
            </w:r>
            <w:r>
              <w:rPr>
                <w:rFonts w:ascii="Arial" w:hAnsi="Arial"/>
                <w:sz w:val="20"/>
              </w:rPr>
              <w:t xml:space="preserve">Eliminated retesting, guaranteed equity grants and discretionary components and replaced with performance driven incentives </w:t>
            </w:r>
          </w:p>
          <w:p>
            <w:pPr>
              <w:pStyle w:val="TableContents"/>
              <w:spacing w:before="0" w:after="0"/>
              <w:ind w:left="0" w:right="0" w:hanging="290"/>
              <w:jc w:val="left"/>
              <w:rPr/>
            </w:pPr>
            <w:r>
              <w:rPr>
                <w:color w:val="8BA73B"/>
              </w:rPr>
              <w:t>✓</w:t>
            </w:r>
            <w:r>
              <w:rPr>
                <w:rFonts w:ascii="Arial" w:hAnsi="Arial"/>
                <w:sz w:val="20"/>
              </w:rPr>
              <w:t>Added three-year absolute and relative TSR modifier to extend performance period</w:t>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2516"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Committed to &gt;$2M in annual donations to NYC charities </w:t>
            </w:r>
          </w:p>
          <w:p>
            <w:pPr>
              <w:pStyle w:val="TableContents"/>
              <w:spacing w:before="0" w:after="0"/>
              <w:ind w:left="0" w:right="0" w:hanging="290"/>
              <w:jc w:val="left"/>
              <w:rPr/>
            </w:pPr>
            <w:r>
              <w:rPr>
                <w:color w:val="8BA73B"/>
              </w:rPr>
              <w:t>✓</w:t>
            </w:r>
            <w:r>
              <w:rPr>
                <w:rFonts w:ascii="Arial" w:hAnsi="Arial"/>
                <w:sz w:val="20"/>
              </w:rPr>
              <w:t xml:space="preserve">#1 scoring REIT for ESG Disclosures on Bloomberg World Index </w:t>
            </w:r>
          </w:p>
          <w:p>
            <w:pPr>
              <w:pStyle w:val="TableContents"/>
              <w:spacing w:before="0" w:after="0"/>
              <w:ind w:left="0" w:right="0" w:hanging="290"/>
              <w:jc w:val="left"/>
              <w:rPr/>
            </w:pPr>
            <w:r>
              <w:rPr>
                <w:color w:val="8BA73B"/>
              </w:rPr>
              <w:t>✓</w:t>
            </w:r>
            <w:r>
              <w:rPr>
                <w:rFonts w:ascii="Arial" w:hAnsi="Arial"/>
                <w:sz w:val="20"/>
              </w:rPr>
              <w:t>Achieved GRESB Green Star designation as a first-time responder and an “A” rating on GRESB’s Public Disclosure Report</w:t>
            </w:r>
          </w:p>
        </w:tc>
      </w:tr>
      <w:tr>
        <w:trPr/>
        <w:tc>
          <w:tcPr>
            <w:tcW w:w="180" w:type="dxa"/>
            <w:tcBorders>
              <w:bottom w:val="single" w:sz="8" w:space="0" w:color="1A2343"/>
            </w:tcBorders>
            <w:shd w:fill="auto" w:val="clear"/>
            <w:vAlign w:val="center"/>
          </w:tcPr>
          <w:p>
            <w:pPr>
              <w:pStyle w:val="TableContents"/>
              <w:spacing w:before="0" w:after="283"/>
              <w:jc w:val="center"/>
              <w:rPr/>
            </w:pPr>
            <w:r>
              <w:rPr/>
              <w:drawing>
                <wp:inline distT="0" distB="0" distL="0" distR="0">
                  <wp:extent cx="114300" cy="259080"/>
                  <wp:effectExtent l="0" t="0" r="0" b="0"/>
                  <wp:docPr id="404"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271" descr=""/>
                          <pic:cNvPicPr>
                            <a:picLocks noChangeAspect="1" noChangeArrowheads="1"/>
                          </pic:cNvPicPr>
                        </pic:nvPicPr>
                        <pic:blipFill>
                          <a:blip r:embed="rId272"/>
                          <a:srcRect l="-11382" t="-3888" r="-11382" b="-3888"/>
                          <a:stretch>
                            <a:fillRect/>
                          </a:stretch>
                        </pic:blipFill>
                        <pic:spPr bwMode="auto">
                          <a:xfrm>
                            <a:off x="0" y="0"/>
                            <a:ext cx="114300" cy="259080"/>
                          </a:xfrm>
                          <a:prstGeom prst="rect">
                            <a:avLst/>
                          </a:prstGeom>
                          <a:ln w="635">
                            <a:solidFill>
                              <a:srgbClr val="000000"/>
                            </a:solidFill>
                          </a:ln>
                        </pic:spPr>
                      </pic:pic>
                    </a:graphicData>
                  </a:graphic>
                </wp:inline>
              </w:drawing>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3118"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Completed declassification of the Board with all directors elected for one-year terms for the first time </w:t>
            </w:r>
          </w:p>
          <w:p>
            <w:pPr>
              <w:pStyle w:val="TableContents"/>
              <w:spacing w:before="0" w:after="0"/>
              <w:ind w:left="0" w:right="0" w:hanging="290"/>
              <w:jc w:val="left"/>
              <w:rPr/>
            </w:pPr>
            <w:r>
              <w:rPr>
                <w:color w:val="8BA73B"/>
              </w:rPr>
              <w:t>✓</w:t>
            </w:r>
            <w:r>
              <w:rPr>
                <w:rFonts w:ascii="Arial" w:hAnsi="Arial"/>
                <w:sz w:val="20"/>
              </w:rPr>
              <w:t>Activated existing Pandemic Response Plan to ensure buildings remained accessible to essential workers during the onset of the COVID-19 pandemic</w:t>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3491"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Compensation Committee determined to make no adjustments to preset 2020 performance goals despite Company providing pandemic-related revised guidance </w:t>
            </w:r>
          </w:p>
          <w:p>
            <w:pPr>
              <w:pStyle w:val="TableContents"/>
              <w:spacing w:before="0" w:after="0"/>
              <w:ind w:left="0" w:right="0" w:hanging="290"/>
              <w:jc w:val="left"/>
              <w:rPr/>
            </w:pPr>
            <w:r>
              <w:rPr>
                <w:color w:val="8BA73B"/>
              </w:rPr>
              <w:t>✓</w:t>
            </w:r>
            <w:r>
              <w:rPr>
                <w:rFonts w:ascii="Arial" w:hAnsi="Arial"/>
                <w:sz w:val="20"/>
              </w:rPr>
              <w:t>Compensation Committee utilized discretion to align pay to reflect management’s performance during the pandemic</w:t>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2516"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Launched not-for-profit Food 1</w:t>
            </w:r>
            <w:r>
              <w:rPr>
                <w:rFonts w:ascii="Arial" w:hAnsi="Arial"/>
                <w:position w:val="7"/>
                <w:sz w:val="16"/>
                <w:sz w:val="20"/>
              </w:rPr>
              <w:t>st</w:t>
            </w:r>
            <w:r>
              <w:rPr>
                <w:rFonts w:ascii="Arial" w:hAnsi="Arial"/>
                <w:sz w:val="20"/>
              </w:rPr>
              <w:t xml:space="preserve"> to serve first responders and food-insecure New Yorkers, while revitalizing NYC’s restaurants </w:t>
            </w:r>
          </w:p>
          <w:p>
            <w:pPr>
              <w:pStyle w:val="TableContents"/>
              <w:spacing w:before="0" w:after="0"/>
              <w:ind w:left="0" w:right="0" w:hanging="290"/>
              <w:jc w:val="left"/>
              <w:rPr/>
            </w:pPr>
            <w:r>
              <w:rPr>
                <w:color w:val="8BA73B"/>
              </w:rPr>
              <w:t>✓</w:t>
            </w:r>
            <w:r>
              <w:rPr>
                <w:rFonts w:ascii="Arial" w:hAnsi="Arial"/>
                <w:sz w:val="20"/>
              </w:rPr>
              <w:t xml:space="preserve">Invested $220M in public transit improvements in and around Grand Central Terminal </w:t>
            </w:r>
          </w:p>
          <w:p>
            <w:pPr>
              <w:pStyle w:val="TableContents"/>
              <w:spacing w:before="0" w:after="0"/>
              <w:ind w:left="0" w:right="0" w:hanging="290"/>
              <w:jc w:val="left"/>
              <w:rPr/>
            </w:pPr>
            <w:r>
              <w:rPr>
                <w:color w:val="8BA73B"/>
              </w:rPr>
              <w:t>✓</w:t>
            </w:r>
            <w:r>
              <w:rPr>
                <w:rFonts w:ascii="Arial" w:hAnsi="Arial"/>
                <w:sz w:val="20"/>
              </w:rPr>
              <w:t>Released first formal SASB disclosures</w:t>
            </w:r>
          </w:p>
        </w:tc>
      </w:tr>
      <w:tr>
        <w:trPr/>
        <w:tc>
          <w:tcPr>
            <w:tcW w:w="180" w:type="dxa"/>
            <w:tcBorders>
              <w:bottom w:val="single" w:sz="8" w:space="0" w:color="1A2343"/>
            </w:tcBorders>
            <w:shd w:fill="auto" w:val="clear"/>
            <w:vAlign w:val="center"/>
          </w:tcPr>
          <w:p>
            <w:pPr>
              <w:pStyle w:val="TableContents"/>
              <w:spacing w:before="0" w:after="283"/>
              <w:jc w:val="center"/>
              <w:rPr/>
            </w:pPr>
            <w:r>
              <w:rPr/>
              <w:drawing>
                <wp:inline distT="0" distB="0" distL="0" distR="0">
                  <wp:extent cx="114300" cy="240665"/>
                  <wp:effectExtent l="0" t="0" r="0" b="0"/>
                  <wp:docPr id="405"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272" descr=""/>
                          <pic:cNvPicPr>
                            <a:picLocks noChangeAspect="1" noChangeArrowheads="1"/>
                          </pic:cNvPicPr>
                        </pic:nvPicPr>
                        <pic:blipFill>
                          <a:blip r:embed="rId273"/>
                          <a:srcRect l="-11382" t="-4185" r="-11382" b="-4185"/>
                          <a:stretch>
                            <a:fillRect/>
                          </a:stretch>
                        </pic:blipFill>
                        <pic:spPr bwMode="auto">
                          <a:xfrm>
                            <a:off x="0" y="0"/>
                            <a:ext cx="114300" cy="240665"/>
                          </a:xfrm>
                          <a:prstGeom prst="rect">
                            <a:avLst/>
                          </a:prstGeom>
                          <a:ln w="635">
                            <a:solidFill>
                              <a:srgbClr val="000000"/>
                            </a:solidFill>
                          </a:ln>
                        </pic:spPr>
                      </pic:pic>
                    </a:graphicData>
                  </a:graphic>
                </wp:inline>
              </w:drawing>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3118"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Committed to enhancing board diversity by 2022 annual meeting</w:t>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3491"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CEO performance incentives realigned with pre-pandemic structure </w:t>
            </w:r>
          </w:p>
          <w:p>
            <w:pPr>
              <w:pStyle w:val="TableContents"/>
              <w:spacing w:before="0" w:after="0"/>
              <w:ind w:left="0" w:right="0" w:hanging="290"/>
              <w:jc w:val="left"/>
              <w:rPr/>
            </w:pPr>
            <w:r>
              <w:rPr>
                <w:color w:val="8BA73B"/>
              </w:rPr>
              <w:t>✓</w:t>
            </w:r>
            <w:r>
              <w:rPr>
                <w:rFonts w:ascii="Arial" w:hAnsi="Arial"/>
                <w:sz w:val="20"/>
              </w:rPr>
              <w:t>Committed to not make discretionary, one-time awards absent extraordinary circumstances with appropriate transparency</w:t>
            </w:r>
          </w:p>
        </w:tc>
        <w:tc>
          <w:tcPr>
            <w:tcW w:w="300" w:type="dxa"/>
            <w:tcBorders>
              <w:bottom w:val="single" w:sz="8" w:space="0" w:color="1A2343"/>
            </w:tcBorders>
            <w:shd w:fill="auto" w:val="clear"/>
            <w:vAlign w:val="center"/>
          </w:tcPr>
          <w:p>
            <w:pPr>
              <w:pStyle w:val="TableContents"/>
              <w:spacing w:before="0" w:after="283"/>
              <w:rPr>
                <w:sz w:val="4"/>
                <w:szCs w:val="4"/>
              </w:rPr>
            </w:pPr>
            <w:r>
              <w:rPr>
                <w:sz w:val="4"/>
                <w:szCs w:val="4"/>
              </w:rPr>
            </w:r>
          </w:p>
        </w:tc>
        <w:tc>
          <w:tcPr>
            <w:tcW w:w="2516" w:type="dxa"/>
            <w:tcBorders>
              <w:bottom w:val="single" w:sz="8" w:space="0" w:color="1A2343"/>
            </w:tcBorders>
            <w:shd w:fill="auto" w:val="clear"/>
            <w:vAlign w:val="center"/>
          </w:tcPr>
          <w:p>
            <w:pPr>
              <w:pStyle w:val="TableContents"/>
              <w:spacing w:before="0" w:after="0"/>
              <w:ind w:left="0" w:right="0" w:hanging="290"/>
              <w:jc w:val="left"/>
              <w:rPr/>
            </w:pPr>
            <w:r>
              <w:rPr>
                <w:color w:val="8BA73B"/>
              </w:rPr>
              <w:t>✓</w:t>
            </w:r>
            <w:r>
              <w:rPr>
                <w:rFonts w:ascii="Arial" w:hAnsi="Arial"/>
                <w:sz w:val="20"/>
              </w:rPr>
              <w:t xml:space="preserve">Signatory to TCFD and published first formal TCFD report </w:t>
            </w:r>
          </w:p>
          <w:p>
            <w:pPr>
              <w:pStyle w:val="TableContents"/>
              <w:spacing w:before="0" w:after="0"/>
              <w:ind w:left="0" w:right="0" w:hanging="290"/>
              <w:jc w:val="left"/>
              <w:rPr/>
            </w:pPr>
            <w:r>
              <w:rPr>
                <w:color w:val="8BA73B"/>
              </w:rPr>
              <w:t>✓</w:t>
            </w:r>
            <w:r>
              <w:rPr>
                <w:rFonts w:ascii="Arial" w:hAnsi="Arial"/>
                <w:sz w:val="20"/>
              </w:rPr>
              <w:t>Donated $6M to more than 70 not-for-profit organizations</w:t>
            </w:r>
          </w:p>
        </w:tc>
      </w:tr>
      <w:tr>
        <w:trPr/>
        <w:tc>
          <w:tcPr>
            <w:tcW w:w="180" w:type="dxa"/>
            <w:tcBorders>
              <w:bottom w:val="single" w:sz="12" w:space="0" w:color="1A2343"/>
            </w:tcBorders>
            <w:shd w:fill="F3F5E9" w:val="clear"/>
            <w:vAlign w:val="center"/>
          </w:tcPr>
          <w:p>
            <w:pPr>
              <w:pStyle w:val="TableContents"/>
              <w:spacing w:before="0" w:after="283"/>
              <w:jc w:val="center"/>
              <w:rPr/>
            </w:pPr>
            <w:r>
              <w:rPr/>
              <w:drawing>
                <wp:inline distT="0" distB="0" distL="0" distR="0">
                  <wp:extent cx="114300" cy="619125"/>
                  <wp:effectExtent l="0" t="0" r="0" b="0"/>
                  <wp:docPr id="406"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73" descr=""/>
                          <pic:cNvPicPr>
                            <a:picLocks noChangeAspect="1" noChangeArrowheads="1"/>
                          </pic:cNvPicPr>
                        </pic:nvPicPr>
                        <pic:blipFill>
                          <a:blip r:embed="rId274"/>
                          <a:srcRect l="-10687" t="-1628" r="-10687" b="-1628"/>
                          <a:stretch>
                            <a:fillRect/>
                          </a:stretch>
                        </pic:blipFill>
                        <pic:spPr bwMode="auto">
                          <a:xfrm>
                            <a:off x="0" y="0"/>
                            <a:ext cx="114300" cy="619125"/>
                          </a:xfrm>
                          <a:prstGeom prst="rect">
                            <a:avLst/>
                          </a:prstGeom>
                          <a:ln w="635">
                            <a:solidFill>
                              <a:srgbClr val="000000"/>
                            </a:solidFill>
                          </a:ln>
                        </pic:spPr>
                      </pic:pic>
                    </a:graphicData>
                  </a:graphic>
                </wp:inline>
              </w:drawing>
            </w:r>
          </w:p>
        </w:tc>
        <w:tc>
          <w:tcPr>
            <w:tcW w:w="300" w:type="dxa"/>
            <w:tcBorders>
              <w:bottom w:val="single" w:sz="12" w:space="0" w:color="1A2343"/>
            </w:tcBorders>
            <w:shd w:fill="F3F5E9" w:val="clear"/>
            <w:vAlign w:val="center"/>
          </w:tcPr>
          <w:p>
            <w:pPr>
              <w:pStyle w:val="TableContents"/>
              <w:spacing w:before="0" w:after="283"/>
              <w:rPr>
                <w:sz w:val="4"/>
                <w:szCs w:val="4"/>
              </w:rPr>
            </w:pPr>
            <w:r>
              <w:rPr>
                <w:sz w:val="4"/>
                <w:szCs w:val="4"/>
              </w:rPr>
            </w:r>
          </w:p>
        </w:tc>
        <w:tc>
          <w:tcPr>
            <w:tcW w:w="3118" w:type="dxa"/>
            <w:tcBorders>
              <w:bottom w:val="single" w:sz="12" w:space="0" w:color="1A2343"/>
            </w:tcBorders>
            <w:shd w:fill="F3F5E9" w:val="clear"/>
            <w:vAlign w:val="center"/>
          </w:tcPr>
          <w:p>
            <w:pPr>
              <w:pStyle w:val="TableContents"/>
              <w:spacing w:before="0" w:after="0"/>
              <w:ind w:left="0" w:right="0" w:hanging="290"/>
              <w:jc w:val="left"/>
              <w:rPr/>
            </w:pPr>
            <w:r>
              <w:rPr>
                <w:color w:val="8BA73B"/>
              </w:rPr>
              <w:t>✓</w:t>
            </w:r>
            <w:r>
              <w:rPr>
                <w:rFonts w:ascii="Arial" w:hAnsi="Arial"/>
                <w:sz w:val="20"/>
              </w:rPr>
              <w:t>Appointed Carol Brown enhancing Board diversity</w:t>
            </w:r>
          </w:p>
          <w:p>
            <w:pPr>
              <w:pStyle w:val="TableContents"/>
              <w:spacing w:before="0" w:after="0"/>
              <w:ind w:left="0" w:right="0" w:hanging="290"/>
              <w:jc w:val="left"/>
              <w:rPr/>
            </w:pPr>
            <w:r>
              <w:rPr>
                <w:color w:val="8BA73B"/>
              </w:rPr>
              <w:t>✓</w:t>
            </w:r>
            <w:r>
              <w:rPr>
                <w:rFonts w:ascii="Arial" w:hAnsi="Arial"/>
                <w:sz w:val="20"/>
              </w:rPr>
              <w:t>Disclosed board succession planning related to John Levy’s retirement and termination of Chairman Emeritus’ retainer</w:t>
            </w:r>
          </w:p>
          <w:p>
            <w:pPr>
              <w:pStyle w:val="TableContents"/>
              <w:spacing w:before="0" w:after="0"/>
              <w:ind w:left="0" w:right="0" w:hanging="290"/>
              <w:jc w:val="left"/>
              <w:rPr/>
            </w:pPr>
            <w:r>
              <w:rPr>
                <w:color w:val="8BA73B"/>
              </w:rPr>
              <w:t>✓</w:t>
            </w:r>
            <w:r>
              <w:rPr>
                <w:rFonts w:ascii="Arial" w:hAnsi="Arial"/>
                <w:sz w:val="20"/>
              </w:rPr>
              <w:t>Disclosed director-by-director skills matrix</w:t>
            </w:r>
          </w:p>
        </w:tc>
        <w:tc>
          <w:tcPr>
            <w:tcW w:w="300" w:type="dxa"/>
            <w:tcBorders>
              <w:bottom w:val="single" w:sz="12" w:space="0" w:color="1A2343"/>
            </w:tcBorders>
            <w:shd w:fill="F3F5E9" w:val="clear"/>
            <w:vAlign w:val="center"/>
          </w:tcPr>
          <w:p>
            <w:pPr>
              <w:pStyle w:val="TableContents"/>
              <w:spacing w:before="0" w:after="283"/>
              <w:rPr>
                <w:sz w:val="4"/>
                <w:szCs w:val="4"/>
              </w:rPr>
            </w:pPr>
            <w:r>
              <w:rPr>
                <w:sz w:val="4"/>
                <w:szCs w:val="4"/>
              </w:rPr>
            </w:r>
          </w:p>
        </w:tc>
        <w:tc>
          <w:tcPr>
            <w:tcW w:w="3491" w:type="dxa"/>
            <w:tcBorders>
              <w:bottom w:val="single" w:sz="12" w:space="0" w:color="1A2343"/>
            </w:tcBorders>
            <w:shd w:fill="F3F5E9" w:val="clear"/>
            <w:vAlign w:val="center"/>
          </w:tcPr>
          <w:p>
            <w:pPr>
              <w:pStyle w:val="TableContents"/>
              <w:spacing w:before="0" w:after="0"/>
              <w:ind w:left="0" w:right="0" w:hanging="290"/>
              <w:jc w:val="left"/>
              <w:rPr/>
            </w:pPr>
            <w:r>
              <w:rPr>
                <w:color w:val="8BA73B"/>
              </w:rPr>
              <w:t>✓</w:t>
            </w:r>
            <w:r>
              <w:rPr>
                <w:rFonts w:ascii="Arial" w:hAnsi="Arial"/>
                <w:sz w:val="20"/>
              </w:rPr>
              <w:t>Regarding 2023 pay, committed to reduce discretion in bonuses for all NEOs</w:t>
            </w:r>
          </w:p>
          <w:p>
            <w:pPr>
              <w:pStyle w:val="TableContents"/>
              <w:spacing w:before="0" w:after="0"/>
              <w:ind w:left="0" w:right="0" w:hanging="290"/>
              <w:jc w:val="left"/>
              <w:rPr/>
            </w:pPr>
            <w:r>
              <w:rPr>
                <w:color w:val="8BA73B"/>
              </w:rPr>
              <w:t>✓</w:t>
            </w:r>
            <w:r>
              <w:rPr>
                <w:rFonts w:ascii="Arial" w:hAnsi="Arial"/>
                <w:sz w:val="20"/>
              </w:rPr>
              <w:t>Include a vesting cap for performance-based equity awards (in the event of negative multi-year TSR)</w:t>
            </w:r>
          </w:p>
          <w:p>
            <w:pPr>
              <w:pStyle w:val="TableContents"/>
              <w:spacing w:before="0" w:after="0"/>
              <w:ind w:left="0" w:right="0" w:hanging="290"/>
              <w:jc w:val="left"/>
              <w:rPr/>
            </w:pPr>
            <w:r>
              <w:rPr>
                <w:color w:val="8BA73B"/>
              </w:rPr>
              <w:t>✓</w:t>
            </w:r>
            <w:r>
              <w:rPr>
                <w:rFonts w:ascii="Arial" w:hAnsi="Arial"/>
                <w:sz w:val="20"/>
              </w:rPr>
              <w:t>Eliminate automobile allowances</w:t>
            </w:r>
          </w:p>
          <w:p>
            <w:pPr>
              <w:pStyle w:val="TableContents"/>
              <w:spacing w:before="0" w:after="0"/>
              <w:ind w:left="0" w:right="0" w:hanging="290"/>
              <w:jc w:val="left"/>
              <w:rPr/>
            </w:pPr>
            <w:r>
              <w:rPr>
                <w:color w:val="8BA73B"/>
              </w:rPr>
              <w:t>✓</w:t>
            </w:r>
            <w:r>
              <w:rPr>
                <w:rFonts w:ascii="Arial" w:hAnsi="Arial"/>
                <w:sz w:val="20"/>
              </w:rPr>
              <w:t>Intend to eliminate short-term measurement periods from long-term performance-based equity awards, in future employment agreements with the Company’s CEO and President</w:t>
            </w:r>
          </w:p>
        </w:tc>
        <w:tc>
          <w:tcPr>
            <w:tcW w:w="300" w:type="dxa"/>
            <w:tcBorders>
              <w:bottom w:val="single" w:sz="12" w:space="0" w:color="1A2343"/>
            </w:tcBorders>
            <w:shd w:fill="F3F5E9" w:val="clear"/>
            <w:vAlign w:val="center"/>
          </w:tcPr>
          <w:p>
            <w:pPr>
              <w:pStyle w:val="TableContents"/>
              <w:spacing w:before="0" w:after="283"/>
              <w:rPr>
                <w:sz w:val="4"/>
                <w:szCs w:val="4"/>
              </w:rPr>
            </w:pPr>
            <w:r>
              <w:rPr>
                <w:sz w:val="4"/>
                <w:szCs w:val="4"/>
              </w:rPr>
            </w:r>
          </w:p>
        </w:tc>
        <w:tc>
          <w:tcPr>
            <w:tcW w:w="2516" w:type="dxa"/>
            <w:tcBorders>
              <w:bottom w:val="single" w:sz="12" w:space="0" w:color="1A2343"/>
            </w:tcBorders>
            <w:shd w:fill="F3F5E9" w:val="clear"/>
            <w:vAlign w:val="center"/>
          </w:tcPr>
          <w:p>
            <w:pPr>
              <w:pStyle w:val="TableContents"/>
              <w:spacing w:before="0" w:after="0"/>
              <w:ind w:left="0" w:right="0" w:hanging="290"/>
              <w:jc w:val="left"/>
              <w:rPr/>
            </w:pPr>
            <w:r>
              <w:rPr>
                <w:color w:val="8BA73B"/>
              </w:rPr>
              <w:t>✓</w:t>
            </w:r>
            <w:r>
              <w:rPr>
                <w:rFonts w:ascii="Arial" w:hAnsi="Arial"/>
                <w:sz w:val="20"/>
              </w:rPr>
              <w:t>Developed and validated science-based emission reduction for scope 1 and 2 targets in line with 1.5°C pathway</w:t>
            </w:r>
          </w:p>
          <w:p>
            <w:pPr>
              <w:pStyle w:val="TableContents"/>
              <w:spacing w:before="0" w:after="0"/>
              <w:ind w:left="0" w:right="0" w:hanging="290"/>
              <w:jc w:val="left"/>
              <w:rPr/>
            </w:pPr>
            <w:r>
              <w:rPr>
                <w:color w:val="8BA73B"/>
              </w:rPr>
              <w:t>✓</w:t>
            </w:r>
            <w:r>
              <w:rPr>
                <w:rFonts w:ascii="Arial" w:hAnsi="Arial"/>
                <w:sz w:val="20"/>
              </w:rPr>
              <w:t>Expanded scope 3 disclosures and committed to reduction through SBTi</w:t>
            </w:r>
          </w:p>
          <w:p>
            <w:pPr>
              <w:pStyle w:val="TableContents"/>
              <w:spacing w:before="0" w:after="0"/>
              <w:ind w:left="0" w:right="0" w:hanging="290"/>
              <w:jc w:val="left"/>
              <w:rPr/>
            </w:pPr>
            <w:r>
              <w:rPr>
                <w:color w:val="8BA73B"/>
              </w:rPr>
              <w:t>✓</w:t>
            </w:r>
            <w:r>
              <w:rPr>
                <w:rFonts w:ascii="Arial" w:hAnsi="Arial"/>
                <w:sz w:val="20"/>
              </w:rPr>
              <w:t xml:space="preserve">Increased ethnic/racial diversity of all newly hired employees in 2022 to 76% </w:t>
            </w:r>
          </w:p>
          <w:p>
            <w:pPr>
              <w:pStyle w:val="TableContents"/>
              <w:spacing w:before="0" w:after="0"/>
              <w:ind w:left="0" w:right="0" w:hanging="290"/>
              <w:jc w:val="left"/>
              <w:rPr/>
            </w:pPr>
            <w:r>
              <w:rPr>
                <w:color w:val="8BA73B"/>
              </w:rPr>
              <w:t>✓</w:t>
            </w:r>
            <w:r>
              <w:rPr>
                <w:rFonts w:ascii="Arial" w:hAnsi="Arial"/>
                <w:sz w:val="20"/>
              </w:rPr>
              <w:t>Committed to implementing diversity focused recruitment platform</w:t>
            </w:r>
          </w:p>
        </w:tc>
      </w:tr>
    </w:tbl>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34</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pPr>
      <w:r>
        <w:rPr>
          <w:rStyle w:val="StrongEmphasis"/>
          <w:rFonts w:ascii="Arial" w:hAnsi="Arial"/>
          <w:color w:val="1A2343"/>
          <w:sz w:val="26"/>
        </w:rPr>
        <w:t>Stockholder Amendments to Bylaws</w:t>
      </w:r>
    </w:p>
    <w:p>
      <w:pPr>
        <w:pStyle w:val="TextBody"/>
        <w:jc w:val="left"/>
        <w:rPr>
          <w:rFonts w:ascii="Arial" w:hAnsi="Arial"/>
          <w:sz w:val="20"/>
        </w:rPr>
      </w:pPr>
      <w:r>
        <w:rPr>
          <w:rFonts w:ascii="Arial" w:hAnsi="Arial"/>
          <w:sz w:val="20"/>
        </w:rPr>
        <w:t>Our bylaws provide our stockholders the right to amend our bylaws by the affirmative vote of a majority of all the votes entitled to be cast on the matter. As amended, our bylaws do not place any limitations on stockholder proposals to amend our bylaws beyond the advance notice provisions that apply to all stockholder proposals. Accordingly, all of our stockholders now have the right to propose any amendments to our bylaws that are permitted by applicable law and, if any such amendment is approved by the affirmative vote of a majority of the votes entitled to be cast on the matter, it will become effective.</w:t>
      </w:r>
    </w:p>
    <w:p>
      <w:pPr>
        <w:pStyle w:val="TextBody"/>
        <w:jc w:val="left"/>
        <w:rPr/>
      </w:pPr>
      <w:r>
        <w:rPr>
          <w:rStyle w:val="StrongEmphasis"/>
          <w:rFonts w:ascii="Arial" w:hAnsi="Arial"/>
          <w:color w:val="1A2343"/>
          <w:sz w:val="26"/>
        </w:rPr>
        <w:t>Declassified Board</w:t>
      </w:r>
    </w:p>
    <w:p>
      <w:pPr>
        <w:pStyle w:val="TextBody"/>
        <w:jc w:val="left"/>
        <w:rPr>
          <w:rFonts w:ascii="Arial" w:hAnsi="Arial"/>
          <w:sz w:val="20"/>
        </w:rPr>
      </w:pPr>
      <w:r>
        <w:rPr>
          <w:rFonts w:ascii="Arial" w:hAnsi="Arial"/>
          <w:sz w:val="20"/>
        </w:rPr>
        <w:t>Our Board is fully declassified, and our directors are elected for one-year terms as of our 2020 annual meeting, following stockholder approval of our proposal to declassify our Board submitted to stockholders at the 2017 annual meeting of stockholders.</w:t>
      </w:r>
    </w:p>
    <w:p>
      <w:pPr>
        <w:pStyle w:val="TextBody"/>
        <w:jc w:val="left"/>
        <w:rPr/>
      </w:pPr>
      <w:r>
        <w:rPr>
          <w:rStyle w:val="StrongEmphasis"/>
          <w:rFonts w:ascii="Arial" w:hAnsi="Arial"/>
          <w:color w:val="1A2343"/>
          <w:sz w:val="26"/>
        </w:rPr>
        <w:t>Proxy Access</w:t>
      </w:r>
    </w:p>
    <w:p>
      <w:pPr>
        <w:pStyle w:val="TextBody"/>
        <w:jc w:val="left"/>
        <w:rPr>
          <w:rFonts w:ascii="Arial" w:hAnsi="Arial"/>
          <w:sz w:val="20"/>
        </w:rPr>
      </w:pPr>
      <w:r>
        <w:rPr>
          <w:rFonts w:ascii="Arial" w:hAnsi="Arial"/>
          <w:sz w:val="20"/>
        </w:rPr>
        <w:t>We have adopted a proxy access bylaw provision, enabling our stockholders to include their own director nominees in our proxy materials along with candidates nominated by the Board, so long as stockholder-nominees meet certain requirements, as set forth in our bylaws. For more information on our proxy access bylaw, see the section entitled “Other Information—Other Matters—Stockholder Proposals and Nominations.”</w:t>
      </w:r>
    </w:p>
    <w:p>
      <w:pPr>
        <w:pStyle w:val="TextBody"/>
        <w:jc w:val="left"/>
        <w:rPr/>
      </w:pPr>
      <w:r>
        <w:rPr>
          <w:rStyle w:val="StrongEmphasis"/>
          <w:rFonts w:ascii="Arial" w:hAnsi="Arial"/>
          <w:color w:val="1A2343"/>
          <w:sz w:val="26"/>
        </w:rPr>
        <w:t>Majority Voting Standard and Director Resignation Policy</w:t>
      </w:r>
    </w:p>
    <w:p>
      <w:pPr>
        <w:pStyle w:val="TextBody"/>
        <w:jc w:val="left"/>
        <w:rPr>
          <w:rFonts w:ascii="Arial" w:hAnsi="Arial"/>
          <w:sz w:val="20"/>
        </w:rPr>
      </w:pPr>
      <w:r>
        <w:rPr>
          <w:rFonts w:ascii="Arial" w:hAnsi="Arial"/>
          <w:sz w:val="20"/>
        </w:rPr>
        <w:t>We have a majority voting standard for director elections. In an uncontested election (as is the case for this annual meeting), our bylaws provide that 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With respect to a contested election, a plurality of all of the votes cast is sufficient for the election of directors. For this purpose, a contested election is deemed to occur at any meeting of stockholders for which the Secretary determines that the number of nominees or proposed nominees exceeds the number of directors to be elected at such meeting as of the seventh day preceding the date the Company files its definitive proxy statement for such meeting with the SEC (regardless of whether or not thereafter revised or supplemented).</w:t>
      </w:r>
    </w:p>
    <w:p>
      <w:pPr>
        <w:pStyle w:val="TextBody"/>
        <w:jc w:val="left"/>
        <w:rPr>
          <w:rFonts w:ascii="Arial" w:hAnsi="Arial"/>
          <w:sz w:val="20"/>
        </w:rPr>
      </w:pPr>
      <w:r>
        <w:rPr>
          <w:rFonts w:ascii="Arial" w:hAnsi="Arial"/>
          <w:sz w:val="20"/>
        </w:rPr>
        <w:t>If a nominee who currently is serving as a director receives a greater number of votes “against” his or her election than votes “for” such election in an uncontested election, Maryland law provides that the director would continue to serve on the Board as a “holdover director.” However, under our Governance Principles, any nominee for election as a director in an uncontested election who receives a greater number of votes “against” his or her election than votes “for” such election must,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p>
    <w:p>
      <w:pPr>
        <w:pStyle w:val="TextBody"/>
        <w:jc w:val="left"/>
        <w:rPr>
          <w:rFonts w:ascii="Arial" w:hAnsi="Arial"/>
          <w:sz w:val="20"/>
        </w:rPr>
      </w:pPr>
      <w:r>
        <w:rPr>
          <w:rFonts w:ascii="Arial" w:hAnsi="Arial"/>
          <w:sz w:val="20"/>
        </w:rPr>
        <w:t>The Board will then take formal action on the recommendation no later than 90 days following the date of the stockholders’ meeting at which the election occurred.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945" w:type="dxa"/>
        <w:jc w:val="left"/>
        <w:tblInd w:w="0" w:type="dxa"/>
        <w:tblCellMar>
          <w:top w:w="0" w:type="dxa"/>
          <w:left w:w="0" w:type="dxa"/>
          <w:bottom w:w="0" w:type="dxa"/>
          <w:right w:w="0" w:type="dxa"/>
        </w:tblCellMar>
      </w:tblPr>
      <w:tblGrid>
        <w:gridCol w:w="4655"/>
        <w:gridCol w:w="290"/>
      </w:tblGrid>
      <w:tr>
        <w:trPr/>
        <w:tc>
          <w:tcPr>
            <w:tcW w:w="4655" w:type="dxa"/>
            <w:tcBorders/>
            <w:shd w:fill="auto" w:val="clear"/>
            <w:vAlign w:val="center"/>
          </w:tcPr>
          <w:p>
            <w:pPr>
              <w:pStyle w:val="TableContents"/>
              <w:spacing w:before="0" w:after="283"/>
              <w:jc w:val="left"/>
              <w:rPr>
                <w:rFonts w:ascii="Arial" w:hAnsi="Arial"/>
                <w:sz w:val="15"/>
              </w:rPr>
            </w:pPr>
            <w:r>
              <w:rPr>
                <w:rFonts w:ascii="Arial" w:hAnsi="Arial"/>
                <w:b/>
                <w:sz w:val="15"/>
              </w:rPr>
              <w:t>OUR BOARD OF DIRECTORS AND CORPORATE GOVERNANCE</w:t>
            </w:r>
            <w:r>
              <w:rPr>
                <w:rFonts w:ascii="Arial" w:hAnsi="Arial"/>
                <w:sz w:val="15"/>
              </w:rPr>
              <w:t xml:space="preserve"> </w:t>
            </w:r>
          </w:p>
        </w:tc>
        <w:tc>
          <w:tcPr>
            <w:tcW w:w="290" w:type="dxa"/>
            <w:tcBorders/>
            <w:shd w:fill="auto" w:val="clear"/>
            <w:vAlign w:val="center"/>
          </w:tcPr>
          <w:p>
            <w:pPr>
              <w:pStyle w:val="TableContents"/>
              <w:spacing w:before="0" w:after="283"/>
              <w:jc w:val="right"/>
              <w:rPr>
                <w:rFonts w:ascii="Arial" w:hAnsi="Arial"/>
                <w:b/>
                <w:color w:val="1A2343"/>
                <w:sz w:val="24"/>
              </w:rPr>
            </w:pPr>
            <w:r>
              <w:rPr>
                <w:rFonts w:ascii="Arial" w:hAnsi="Arial"/>
                <w:b/>
                <w:color w:val="1A2343"/>
                <w:sz w:val="24"/>
              </w:rPr>
              <w:t>35</w:t>
            </w:r>
          </w:p>
        </w:tc>
      </w:tr>
    </w:tbl>
    <w:p>
      <w:pPr>
        <w:pStyle w:val="TextBody"/>
        <w:spacing w:before="240" w:after="283"/>
        <w:jc w:val="left"/>
        <w:rPr/>
      </w:pPr>
      <w:r>
        <w:rPr>
          <w:rStyle w:val="StrongEmphasis"/>
          <w:rFonts w:ascii="Arial" w:hAnsi="Arial"/>
          <w:color w:val="1A2343"/>
          <w:sz w:val="26"/>
        </w:rPr>
        <w:t>Environmental Social &amp; Governance (ESG)</w:t>
      </w:r>
    </w:p>
    <w:p>
      <w:pPr>
        <w:pStyle w:val="TextBody"/>
        <w:jc w:val="left"/>
        <w:rPr>
          <w:rFonts w:ascii="Arial" w:hAnsi="Arial"/>
          <w:sz w:val="20"/>
        </w:rPr>
      </w:pPr>
      <w:r>
        <w:rPr>
          <w:rFonts w:ascii="Arial" w:hAnsi="Arial"/>
          <w:sz w:val="20"/>
        </w:rPr>
        <w:t>Our mission as the largest owner of commercial office space in New York City is to contribute to its brighter future – this includes reducing greenhouse gas emissions and mitigating climate change risks. We believe continued advancement of the sustainability of our portfolio will serve to build long-term value that benefits all of our stakeholders. Essential to our progress is the ability to attract, develop and retain extraordinary talent by maintaining a healthy and inclusive workplace environment, where we provide our employees with the tools and resources necessary to thrive.</w:t>
      </w:r>
    </w:p>
    <w:p>
      <w:pPr>
        <w:pStyle w:val="TextBody"/>
        <w:jc w:val="left"/>
        <w:rPr/>
      </w:pPr>
      <w:r>
        <w:rPr>
          <w:rStyle w:val="StrongEmphasis"/>
          <w:rFonts w:ascii="Arial" w:hAnsi="Arial"/>
          <w:color w:val="8EAD3C"/>
          <w:sz w:val="22"/>
        </w:rPr>
        <w:t>Delivering Value for All Our Stakeholders</w:t>
      </w:r>
    </w:p>
    <w:tbl>
      <w:tblPr>
        <w:tblW w:w="10205" w:type="dxa"/>
        <w:jc w:val="left"/>
        <w:tblInd w:w="0" w:type="dxa"/>
        <w:tblCellMar>
          <w:top w:w="28" w:type="dxa"/>
          <w:left w:w="0" w:type="dxa"/>
          <w:bottom w:w="0" w:type="dxa"/>
          <w:right w:w="0" w:type="dxa"/>
        </w:tblCellMar>
      </w:tblPr>
      <w:tblGrid>
        <w:gridCol w:w="2430"/>
        <w:gridCol w:w="2671"/>
        <w:gridCol w:w="2546"/>
        <w:gridCol w:w="2558"/>
      </w:tblGrid>
      <w:tr>
        <w:trPr/>
        <w:tc>
          <w:tcPr>
            <w:tcW w:w="2430" w:type="dxa"/>
            <w:tcBorders>
              <w:top w:val="single" w:sz="8" w:space="0" w:color="8EAD3C"/>
            </w:tcBorders>
            <w:shd w:fill="auto" w:val="clear"/>
            <w:vAlign w:val="center"/>
          </w:tcPr>
          <w:p>
            <w:pPr>
              <w:pStyle w:val="TableContents"/>
              <w:spacing w:before="0" w:after="283"/>
              <w:jc w:val="left"/>
              <w:rPr/>
            </w:pPr>
            <w:r>
              <w:rPr/>
              <w:t> </w:t>
            </w:r>
          </w:p>
        </w:tc>
        <w:tc>
          <w:tcPr>
            <w:tcW w:w="2671" w:type="dxa"/>
            <w:tcBorders>
              <w:top w:val="single" w:sz="8" w:space="0" w:color="8EAD3C"/>
            </w:tcBorders>
            <w:shd w:fill="auto" w:val="clear"/>
            <w:vAlign w:val="center"/>
          </w:tcPr>
          <w:p>
            <w:pPr>
              <w:pStyle w:val="TableContents"/>
              <w:spacing w:before="0" w:after="283"/>
              <w:rPr>
                <w:sz w:val="4"/>
                <w:szCs w:val="4"/>
              </w:rPr>
            </w:pPr>
            <w:r>
              <w:rPr>
                <w:sz w:val="4"/>
                <w:szCs w:val="4"/>
              </w:rPr>
            </w:r>
          </w:p>
        </w:tc>
        <w:tc>
          <w:tcPr>
            <w:tcW w:w="2546" w:type="dxa"/>
            <w:tcBorders>
              <w:top w:val="single" w:sz="8" w:space="0" w:color="8EAD3C"/>
            </w:tcBorders>
            <w:shd w:fill="auto" w:val="clear"/>
            <w:vAlign w:val="center"/>
          </w:tcPr>
          <w:p>
            <w:pPr>
              <w:pStyle w:val="TableContents"/>
              <w:spacing w:before="0" w:after="283"/>
              <w:rPr>
                <w:sz w:val="4"/>
                <w:szCs w:val="4"/>
              </w:rPr>
            </w:pPr>
            <w:r>
              <w:rPr>
                <w:sz w:val="4"/>
                <w:szCs w:val="4"/>
              </w:rPr>
            </w:r>
          </w:p>
        </w:tc>
        <w:tc>
          <w:tcPr>
            <w:tcW w:w="2558" w:type="dxa"/>
            <w:tcBorders>
              <w:top w:val="single" w:sz="8" w:space="0" w:color="8EAD3C"/>
            </w:tcBorders>
            <w:shd w:fill="auto" w:val="clear"/>
            <w:vAlign w:val="center"/>
          </w:tcPr>
          <w:p>
            <w:pPr>
              <w:pStyle w:val="TableContents"/>
              <w:spacing w:before="0" w:after="283"/>
              <w:rPr>
                <w:sz w:val="4"/>
                <w:szCs w:val="4"/>
              </w:rPr>
            </w:pPr>
            <w:r>
              <w:rPr>
                <w:sz w:val="4"/>
                <w:szCs w:val="4"/>
              </w:rPr>
            </w:r>
          </w:p>
        </w:tc>
      </w:tr>
      <w:tr>
        <w:trPr/>
        <w:tc>
          <w:tcPr>
            <w:tcW w:w="2430" w:type="dxa"/>
            <w:tcBorders>
              <w:right w:val="single" w:sz="8" w:space="0" w:color="8EAD3C"/>
            </w:tcBorders>
            <w:shd w:fill="auto" w:val="clear"/>
            <w:tcMar>
              <w:top w:w="0" w:type="dxa"/>
              <w:right w:w="160" w:type="dxa"/>
            </w:tcMar>
            <w:vAlign w:val="center"/>
          </w:tcPr>
          <w:p>
            <w:pPr>
              <w:pStyle w:val="TableContents"/>
              <w:spacing w:before="0" w:after="283"/>
              <w:jc w:val="left"/>
              <w:rPr/>
            </w:pPr>
            <w:r>
              <w:rPr>
                <w:rStyle w:val="StrongEmphasis"/>
                <w:rFonts w:ascii="Arial" w:hAnsi="Arial"/>
                <w:color w:val="1A2343"/>
                <w:sz w:val="20"/>
              </w:rPr>
              <w:t>Employees</w:t>
            </w:r>
          </w:p>
        </w:tc>
        <w:tc>
          <w:tcPr>
            <w:tcW w:w="2671" w:type="dxa"/>
            <w:tcBorders>
              <w:right w:val="single" w:sz="8" w:space="0" w:color="8EAD3C"/>
            </w:tcBorders>
            <w:shd w:fill="auto" w:val="clear"/>
            <w:tcMar>
              <w:top w:w="0" w:type="dxa"/>
              <w:right w:w="160" w:type="dxa"/>
            </w:tcMar>
            <w:vAlign w:val="center"/>
          </w:tcPr>
          <w:p>
            <w:pPr>
              <w:pStyle w:val="TableContents"/>
              <w:spacing w:before="0" w:after="283"/>
              <w:jc w:val="left"/>
              <w:rPr/>
            </w:pPr>
            <w:r>
              <w:rPr>
                <w:rStyle w:val="StrongEmphasis"/>
                <w:rFonts w:ascii="Arial" w:hAnsi="Arial"/>
                <w:color w:val="1A2343"/>
                <w:sz w:val="20"/>
              </w:rPr>
              <w:t>Tenants</w:t>
            </w:r>
          </w:p>
        </w:tc>
        <w:tc>
          <w:tcPr>
            <w:tcW w:w="2546" w:type="dxa"/>
            <w:tcBorders>
              <w:right w:val="single" w:sz="8" w:space="0" w:color="8EAD3C"/>
            </w:tcBorders>
            <w:shd w:fill="auto" w:val="clear"/>
            <w:tcMar>
              <w:top w:w="0" w:type="dxa"/>
              <w:right w:w="160" w:type="dxa"/>
            </w:tcMar>
            <w:vAlign w:val="center"/>
          </w:tcPr>
          <w:p>
            <w:pPr>
              <w:pStyle w:val="TableContents"/>
              <w:spacing w:before="0" w:after="283"/>
              <w:jc w:val="left"/>
              <w:rPr/>
            </w:pPr>
            <w:r>
              <w:rPr>
                <w:rStyle w:val="StrongEmphasis"/>
                <w:rFonts w:ascii="Arial" w:hAnsi="Arial"/>
                <w:color w:val="1A2343"/>
                <w:sz w:val="20"/>
              </w:rPr>
              <w:t>Community</w:t>
            </w:r>
          </w:p>
        </w:tc>
        <w:tc>
          <w:tcPr>
            <w:tcW w:w="2558" w:type="dxa"/>
            <w:tcBorders/>
            <w:shd w:fill="auto" w:val="clear"/>
            <w:tcMar>
              <w:top w:w="0" w:type="dxa"/>
            </w:tcMar>
            <w:vAlign w:val="center"/>
          </w:tcPr>
          <w:p>
            <w:pPr>
              <w:pStyle w:val="TableContents"/>
              <w:spacing w:before="0" w:after="283"/>
              <w:jc w:val="left"/>
              <w:rPr/>
            </w:pPr>
            <w:r>
              <w:rPr>
                <w:rStyle w:val="StrongEmphasis"/>
                <w:rFonts w:ascii="Arial" w:hAnsi="Arial"/>
                <w:color w:val="1A2343"/>
                <w:sz w:val="20"/>
              </w:rPr>
              <w:t>Stockholders</w:t>
            </w:r>
          </w:p>
        </w:tc>
      </w:tr>
      <w:tr>
        <w:trPr/>
        <w:tc>
          <w:tcPr>
            <w:tcW w:w="2430" w:type="dxa"/>
            <w:tcBorders>
              <w:right w:val="single" w:sz="8" w:space="0" w:color="8EAD3C"/>
            </w:tcBorders>
            <w:shd w:fill="auto" w:val="clear"/>
            <w:tcMar>
              <w:top w:w="0" w:type="dxa"/>
              <w:right w:w="160" w:type="dxa"/>
            </w:tcMar>
            <w:vAlign w:val="center"/>
          </w:tcPr>
          <w:p>
            <w:pPr>
              <w:pStyle w:val="TableContents"/>
              <w:spacing w:before="0" w:after="283"/>
              <w:jc w:val="left"/>
              <w:rPr>
                <w:rFonts w:ascii="Arial" w:hAnsi="Arial"/>
                <w:sz w:val="20"/>
              </w:rPr>
            </w:pPr>
            <w:r>
              <w:rPr>
                <w:rFonts w:ascii="Arial" w:hAnsi="Arial"/>
                <w:sz w:val="20"/>
              </w:rPr>
              <w:t>We are committed to workplace diversity and to fostering a corporate culture that enables our employees to meet their full potential, while actively contributing to our ESG evolution.</w:t>
            </w:r>
          </w:p>
        </w:tc>
        <w:tc>
          <w:tcPr>
            <w:tcW w:w="2671" w:type="dxa"/>
            <w:tcBorders>
              <w:right w:val="single" w:sz="8" w:space="0" w:color="8EAD3C"/>
            </w:tcBorders>
            <w:shd w:fill="auto" w:val="clear"/>
            <w:tcMar>
              <w:top w:w="0" w:type="dxa"/>
              <w:right w:w="160" w:type="dxa"/>
            </w:tcMar>
            <w:vAlign w:val="center"/>
          </w:tcPr>
          <w:p>
            <w:pPr>
              <w:pStyle w:val="TableContents"/>
              <w:spacing w:before="0" w:after="283"/>
              <w:jc w:val="left"/>
              <w:rPr>
                <w:rFonts w:ascii="Arial" w:hAnsi="Arial"/>
                <w:sz w:val="20"/>
              </w:rPr>
            </w:pPr>
            <w:r>
              <w:rPr>
                <w:rFonts w:ascii="Arial" w:hAnsi="Arial"/>
                <w:sz w:val="20"/>
              </w:rPr>
              <w:t>Our long-standing relationships and continued collaboration with our tenants are essential to long-term improvement of our portfolio’s ESG performance, while providing our tenants with unique offerings to track and foster sustainability.</w:t>
            </w:r>
          </w:p>
        </w:tc>
        <w:tc>
          <w:tcPr>
            <w:tcW w:w="2546" w:type="dxa"/>
            <w:tcBorders>
              <w:right w:val="single" w:sz="8" w:space="0" w:color="8EAD3C"/>
            </w:tcBorders>
            <w:shd w:fill="auto" w:val="clear"/>
            <w:tcMar>
              <w:top w:w="0" w:type="dxa"/>
              <w:right w:w="160" w:type="dxa"/>
            </w:tcMar>
            <w:vAlign w:val="center"/>
          </w:tcPr>
          <w:p>
            <w:pPr>
              <w:pStyle w:val="TableContents"/>
              <w:spacing w:before="0" w:after="283"/>
              <w:jc w:val="left"/>
              <w:rPr>
                <w:rFonts w:ascii="Arial" w:hAnsi="Arial"/>
                <w:sz w:val="20"/>
              </w:rPr>
            </w:pPr>
            <w:r>
              <w:rPr>
                <w:rFonts w:ascii="Arial" w:hAnsi="Arial"/>
                <w:sz w:val="20"/>
              </w:rPr>
              <w:t>SL Green’s success is linked to a thriving New York City. We support a variety of causes that address the physical, mental, and emotional needs of our community. We also create thousands of jobs and positive community impact.</w:t>
            </w:r>
          </w:p>
        </w:tc>
        <w:tc>
          <w:tcPr>
            <w:tcW w:w="2558" w:type="dxa"/>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Our ongoing ESG efforts help attract and retain diverse, high-performing talent, maximize our portfolio and give back to our NYC community, elements which are essential to delivering long-term stockholder value.</w:t>
            </w:r>
          </w:p>
        </w:tc>
      </w:tr>
      <w:tr>
        <w:trPr/>
        <w:tc>
          <w:tcPr>
            <w:tcW w:w="2430" w:type="dxa"/>
            <w:tcBorders>
              <w:bottom w:val="single" w:sz="8" w:space="0" w:color="8EAD3C"/>
            </w:tcBorders>
            <w:shd w:fill="auto" w:val="clear"/>
            <w:tcMar>
              <w:top w:w="0" w:type="dxa"/>
              <w:bottom w:w="28" w:type="dxa"/>
            </w:tcMar>
            <w:vAlign w:val="center"/>
          </w:tcPr>
          <w:p>
            <w:pPr>
              <w:pStyle w:val="TableContents"/>
              <w:spacing w:before="0" w:after="283"/>
              <w:jc w:val="left"/>
              <w:rPr/>
            </w:pPr>
            <w:r>
              <w:rPr/>
              <w:t> </w:t>
            </w:r>
          </w:p>
        </w:tc>
        <w:tc>
          <w:tcPr>
            <w:tcW w:w="2671" w:type="dxa"/>
            <w:tcBorders>
              <w:bottom w:val="single" w:sz="8" w:space="0" w:color="8EAD3C"/>
            </w:tcBorders>
            <w:shd w:fill="auto" w:val="clear"/>
            <w:tcMar>
              <w:top w:w="0" w:type="dxa"/>
              <w:bottom w:w="28" w:type="dxa"/>
            </w:tcMar>
            <w:vAlign w:val="center"/>
          </w:tcPr>
          <w:p>
            <w:pPr>
              <w:pStyle w:val="TableContents"/>
              <w:spacing w:before="0" w:after="283"/>
              <w:jc w:val="left"/>
              <w:rPr/>
            </w:pPr>
            <w:r>
              <w:rPr/>
              <w:t> </w:t>
            </w:r>
          </w:p>
        </w:tc>
        <w:tc>
          <w:tcPr>
            <w:tcW w:w="2546" w:type="dxa"/>
            <w:tcBorders>
              <w:bottom w:val="single" w:sz="8" w:space="0" w:color="8EAD3C"/>
            </w:tcBorders>
            <w:shd w:fill="auto" w:val="clear"/>
            <w:tcMar>
              <w:top w:w="0" w:type="dxa"/>
              <w:bottom w:w="28" w:type="dxa"/>
            </w:tcMar>
            <w:vAlign w:val="center"/>
          </w:tcPr>
          <w:p>
            <w:pPr>
              <w:pStyle w:val="TableContents"/>
              <w:spacing w:before="0" w:after="283"/>
              <w:jc w:val="left"/>
              <w:rPr/>
            </w:pPr>
            <w:r>
              <w:rPr/>
              <w:t> </w:t>
            </w:r>
          </w:p>
        </w:tc>
        <w:tc>
          <w:tcPr>
            <w:tcW w:w="2558" w:type="dxa"/>
            <w:tcBorders>
              <w:bottom w:val="single" w:sz="8" w:space="0" w:color="8EAD3C"/>
            </w:tcBorders>
            <w:shd w:fill="auto" w:val="clear"/>
            <w:tcMar>
              <w:top w:w="0" w:type="dxa"/>
              <w:bottom w:w="28" w:type="dxa"/>
            </w:tcMar>
            <w:vAlign w:val="center"/>
          </w:tcPr>
          <w:p>
            <w:pPr>
              <w:pStyle w:val="TableContents"/>
              <w:spacing w:before="0" w:after="283"/>
              <w:jc w:val="left"/>
              <w:rPr/>
            </w:pPr>
            <w:r>
              <w:rPr/>
              <w:t> </w:t>
            </w:r>
          </w:p>
        </w:tc>
      </w:tr>
    </w:tbl>
    <w:tbl>
      <w:tblPr>
        <w:tblW w:w="10205" w:type="dxa"/>
        <w:jc w:val="left"/>
        <w:tblInd w:w="0" w:type="dxa"/>
        <w:tblCellMar>
          <w:top w:w="0" w:type="dxa"/>
          <w:left w:w="0" w:type="dxa"/>
          <w:bottom w:w="160" w:type="dxa"/>
          <w:right w:w="0" w:type="dxa"/>
        </w:tblCellMar>
      </w:tblPr>
      <w:tblGrid>
        <w:gridCol w:w="1575"/>
        <w:gridCol w:w="240"/>
        <w:gridCol w:w="8390"/>
      </w:tblGrid>
      <w:tr>
        <w:trPr/>
        <w:tc>
          <w:tcPr>
            <w:tcW w:w="1575" w:type="dxa"/>
            <w:tcBorders>
              <w:bottom w:val="single" w:sz="8" w:space="0" w:color="8EAD3C"/>
            </w:tcBorders>
            <w:shd w:fill="auto" w:val="clear"/>
            <w:vAlign w:val="center"/>
          </w:tcPr>
          <w:p>
            <w:pPr>
              <w:pStyle w:val="TableContents"/>
              <w:spacing w:before="0" w:after="283"/>
              <w:jc w:val="left"/>
              <w:rPr/>
            </w:pPr>
            <w:r>
              <w:rPr/>
              <w:drawing>
                <wp:inline distT="0" distB="0" distL="0" distR="0">
                  <wp:extent cx="1000125" cy="1000125"/>
                  <wp:effectExtent l="0" t="0" r="0" b="0"/>
                  <wp:docPr id="407"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274" descr=""/>
                          <pic:cNvPicPr>
                            <a:picLocks noChangeAspect="1" noChangeArrowheads="1"/>
                          </pic:cNvPicPr>
                        </pic:nvPicPr>
                        <pic:blipFill>
                          <a:blip r:embed="rId275"/>
                          <a:srcRect l="-1007" t="-1007" r="-1007" b="-1007"/>
                          <a:stretch>
                            <a:fillRect/>
                          </a:stretch>
                        </pic:blipFill>
                        <pic:spPr bwMode="auto">
                          <a:xfrm>
                            <a:off x="0" y="0"/>
                            <a:ext cx="1000125" cy="1000125"/>
                          </a:xfrm>
                          <a:prstGeom prst="rect">
                            <a:avLst/>
                          </a:prstGeom>
                          <a:ln w="635">
                            <a:solidFill>
                              <a:srgbClr val="000000"/>
                            </a:solidFill>
                          </a:ln>
                        </pic:spPr>
                      </pic:pic>
                    </a:graphicData>
                  </a:graphic>
                </wp:inline>
              </w:drawing>
            </w:r>
          </w:p>
        </w:tc>
        <w:tc>
          <w:tcPr>
            <w:tcW w:w="240" w:type="dxa"/>
            <w:tcBorders>
              <w:bottom w:val="single" w:sz="8" w:space="0" w:color="8EAD3C"/>
            </w:tcBorders>
            <w:shd w:fill="auto" w:val="clear"/>
            <w:vAlign w:val="center"/>
          </w:tcPr>
          <w:p>
            <w:pPr>
              <w:pStyle w:val="TableContents"/>
              <w:spacing w:before="0" w:after="283"/>
              <w:jc w:val="left"/>
              <w:rPr/>
            </w:pPr>
            <w:r>
              <w:rPr/>
              <w:t>    </w:t>
            </w:r>
          </w:p>
        </w:tc>
        <w:tc>
          <w:tcPr>
            <w:tcW w:w="8390" w:type="dxa"/>
            <w:tcBorders>
              <w:bottom w:val="single" w:sz="8" w:space="0" w:color="8EAD3C"/>
            </w:tcBorders>
            <w:shd w:fill="auto" w:val="clear"/>
            <w:vAlign w:val="center"/>
          </w:tcPr>
          <w:p>
            <w:pPr>
              <w:pStyle w:val="TableContents"/>
              <w:spacing w:before="0" w:after="160"/>
              <w:jc w:val="left"/>
              <w:rPr/>
            </w:pPr>
            <w:r>
              <w:rPr>
                <w:rStyle w:val="StrongEmphasis"/>
                <w:rFonts w:ascii="Arial" w:hAnsi="Arial"/>
                <w:color w:val="8EAD3C"/>
                <w:sz w:val="22"/>
              </w:rPr>
              <w:t>ESG Oversight</w:t>
            </w:r>
          </w:p>
          <w:p>
            <w:pPr>
              <w:pStyle w:val="TableContents"/>
              <w:spacing w:before="0" w:after="0"/>
              <w:ind w:left="0" w:right="0" w:hanging="290"/>
              <w:jc w:val="left"/>
              <w:rPr/>
            </w:pPr>
            <w:r>
              <w:rPr>
                <w:color w:val="000000"/>
              </w:rPr>
              <w:t>●</w:t>
            </w:r>
            <w:r>
              <w:rPr>
                <w:rFonts w:ascii="arial" w:hAnsi="arial"/>
                <w:color w:val="000000"/>
                <w:sz w:val="20"/>
              </w:rPr>
              <w:t>ESG program oversight by the full Board, reflective of the program’s cross-departmental integration and importance to the Company’s long-term strategic plan, with additional discussion at the Nominating and Corporate Governance Committee level</w:t>
            </w:r>
          </w:p>
          <w:p>
            <w:pPr>
              <w:pStyle w:val="TableContents"/>
              <w:spacing w:before="0" w:after="0"/>
              <w:ind w:left="0" w:right="0" w:hanging="290"/>
              <w:jc w:val="left"/>
              <w:rPr/>
            </w:pPr>
            <w:r>
              <w:rPr>
                <w:color w:val="000000"/>
              </w:rPr>
              <w:t>●</w:t>
            </w:r>
            <w:r>
              <w:rPr>
                <w:rFonts w:ascii="arial" w:hAnsi="arial"/>
                <w:color w:val="000000"/>
                <w:sz w:val="20"/>
              </w:rPr>
              <w:t xml:space="preserve">Cross-functional and executive-level participation in oversight and execution of ESG program, including SLG’s Chief Operating Officer, SVP, Hospitality &amp; Sustainability, VP, Director of Sustainability, and AVP of People Experience </w:t>
            </w:r>
          </w:p>
          <w:p>
            <w:pPr>
              <w:pStyle w:val="TableContents"/>
              <w:spacing w:before="0" w:after="0"/>
              <w:ind w:left="0" w:right="0" w:hanging="290"/>
              <w:jc w:val="left"/>
              <w:rPr/>
            </w:pPr>
            <w:r>
              <w:rPr>
                <w:color w:val="000000"/>
              </w:rPr>
              <w:t>●</w:t>
            </w:r>
            <w:r>
              <w:rPr>
                <w:rFonts w:ascii="arial" w:hAnsi="arial"/>
                <w:color w:val="000000"/>
                <w:sz w:val="20"/>
              </w:rPr>
              <w:t>Annual ESG reporting in accordance with GRI, CDP, GRESB, SASB and TCFD frameworks</w:t>
            </w:r>
          </w:p>
          <w:p>
            <w:pPr>
              <w:pStyle w:val="TableContents"/>
              <w:spacing w:before="0" w:after="0"/>
              <w:ind w:left="0" w:right="0" w:hanging="290"/>
              <w:jc w:val="left"/>
              <w:rPr/>
            </w:pPr>
            <w:r>
              <w:rPr>
                <w:color w:val="000000"/>
              </w:rPr>
              <w:t>●</w:t>
            </w:r>
            <w:r>
              <w:rPr>
                <w:rFonts w:ascii="arial" w:hAnsi="arial"/>
                <w:color w:val="000000"/>
                <w:sz w:val="20"/>
              </w:rPr>
              <w:t xml:space="preserve">ESG disclosures aligned with UN SDG guidelines </w:t>
            </w:r>
          </w:p>
          <w:p>
            <w:pPr>
              <w:pStyle w:val="TableContents"/>
              <w:spacing w:before="0" w:after="0"/>
              <w:ind w:left="0" w:right="0" w:hanging="290"/>
              <w:jc w:val="left"/>
              <w:rPr/>
            </w:pPr>
            <w:r>
              <w:rPr>
                <w:color w:val="000000"/>
              </w:rPr>
              <w:t>●</w:t>
            </w:r>
            <w:r>
              <w:rPr>
                <w:rFonts w:ascii="arial" w:hAnsi="arial"/>
                <w:color w:val="000000"/>
                <w:sz w:val="20"/>
              </w:rPr>
              <w:t>Third-party assurance of environmental performance data</w:t>
            </w:r>
          </w:p>
          <w:p>
            <w:pPr>
              <w:pStyle w:val="TableContents"/>
              <w:spacing w:before="0" w:after="0"/>
              <w:ind w:left="0" w:right="0" w:hanging="290"/>
              <w:jc w:val="left"/>
              <w:rPr/>
            </w:pPr>
            <w:r>
              <w:rPr>
                <w:color w:val="000000"/>
              </w:rPr>
              <w:t>●</w:t>
            </w:r>
            <w:r>
              <w:rPr>
                <w:rFonts w:ascii="arial" w:hAnsi="arial"/>
                <w:color w:val="000000"/>
                <w:sz w:val="20"/>
              </w:rPr>
              <w:t>Environmental legislation risk mitigated by long-term capital investments in energy efficiency and tenant programs focused on sustainability</w:t>
            </w:r>
          </w:p>
        </w:tc>
      </w:tr>
      <w:tr>
        <w:trPr/>
        <w:tc>
          <w:tcPr>
            <w:tcW w:w="1575" w:type="dxa"/>
            <w:tcBorders>
              <w:bottom w:val="single" w:sz="8" w:space="0" w:color="8EAD3C"/>
            </w:tcBorders>
            <w:shd w:fill="auto" w:val="clear"/>
            <w:tcMar>
              <w:bottom w:w="28" w:type="dxa"/>
            </w:tcMar>
            <w:vAlign w:val="center"/>
          </w:tcPr>
          <w:p>
            <w:pPr>
              <w:pStyle w:val="TableContents"/>
              <w:spacing w:before="0" w:after="283"/>
              <w:jc w:val="left"/>
              <w:rPr/>
            </w:pPr>
            <w:r>
              <w:rPr/>
              <w:drawing>
                <wp:inline distT="0" distB="0" distL="0" distR="0">
                  <wp:extent cx="704850" cy="942975"/>
                  <wp:effectExtent l="0" t="0" r="0" b="0"/>
                  <wp:docPr id="408"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75" descr=""/>
                          <pic:cNvPicPr>
                            <a:picLocks noChangeAspect="1" noChangeArrowheads="1"/>
                          </pic:cNvPicPr>
                        </pic:nvPicPr>
                        <pic:blipFill>
                          <a:blip r:embed="rId276"/>
                          <a:srcRect l="-1430" t="-1069" r="-1430" b="-1069"/>
                          <a:stretch>
                            <a:fillRect/>
                          </a:stretch>
                        </pic:blipFill>
                        <pic:spPr bwMode="auto">
                          <a:xfrm>
                            <a:off x="0" y="0"/>
                            <a:ext cx="704850" cy="942975"/>
                          </a:xfrm>
                          <a:prstGeom prst="rect">
                            <a:avLst/>
                          </a:prstGeom>
                          <a:ln w="635">
                            <a:solidFill>
                              <a:srgbClr val="000000"/>
                            </a:solidFill>
                          </a:ln>
                        </pic:spPr>
                      </pic:pic>
                    </a:graphicData>
                  </a:graphic>
                </wp:inline>
              </w:drawing>
            </w:r>
          </w:p>
        </w:tc>
        <w:tc>
          <w:tcPr>
            <w:tcW w:w="240" w:type="dxa"/>
            <w:tcBorders>
              <w:bottom w:val="single" w:sz="8" w:space="0" w:color="8EAD3C"/>
            </w:tcBorders>
            <w:shd w:fill="auto" w:val="clear"/>
            <w:tcMar>
              <w:bottom w:w="28" w:type="dxa"/>
            </w:tcMar>
            <w:vAlign w:val="center"/>
          </w:tcPr>
          <w:p>
            <w:pPr>
              <w:pStyle w:val="TableContents"/>
              <w:spacing w:before="0" w:after="283"/>
              <w:rPr>
                <w:sz w:val="4"/>
                <w:szCs w:val="4"/>
              </w:rPr>
            </w:pPr>
            <w:r>
              <w:rPr>
                <w:sz w:val="4"/>
                <w:szCs w:val="4"/>
              </w:rPr>
            </w:r>
          </w:p>
        </w:tc>
        <w:tc>
          <w:tcPr>
            <w:tcW w:w="8390" w:type="dxa"/>
            <w:tcBorders>
              <w:bottom w:val="single" w:sz="8" w:space="0" w:color="8EAD3C"/>
            </w:tcBorders>
            <w:shd w:fill="auto" w:val="clear"/>
            <w:vAlign w:val="center"/>
          </w:tcPr>
          <w:p>
            <w:pPr>
              <w:pStyle w:val="TableContents"/>
              <w:spacing w:before="0" w:after="160"/>
              <w:jc w:val="left"/>
              <w:rPr/>
            </w:pPr>
            <w:r>
              <w:rPr>
                <w:rStyle w:val="StrongEmphasis"/>
                <w:rFonts w:ascii="Arial" w:hAnsi="Arial"/>
                <w:color w:val="8EAD3C"/>
                <w:sz w:val="22"/>
              </w:rPr>
              <w:t>Environmental</w:t>
            </w:r>
          </w:p>
          <w:p>
            <w:pPr>
              <w:pStyle w:val="TableContents"/>
              <w:spacing w:before="0" w:after="0"/>
              <w:jc w:val="left"/>
              <w:rPr/>
            </w:pPr>
            <w:r>
              <w:rPr>
                <w:rStyle w:val="StrongEmphasis"/>
                <w:rFonts w:ascii="Arial" w:hAnsi="Arial"/>
                <w:sz w:val="20"/>
              </w:rPr>
              <w:t>Goals:</w:t>
            </w:r>
          </w:p>
          <w:p>
            <w:pPr>
              <w:pStyle w:val="TableContents"/>
              <w:spacing w:before="0" w:after="0"/>
              <w:ind w:left="0" w:right="0" w:hanging="290"/>
              <w:jc w:val="left"/>
              <w:rPr/>
            </w:pPr>
            <w:r>
              <w:rPr>
                <w:color w:val="000000"/>
              </w:rPr>
              <w:t>●</w:t>
            </w:r>
            <w:r>
              <w:rPr>
                <w:rFonts w:ascii="arial" w:hAnsi="arial"/>
                <w:color w:val="000000"/>
                <w:sz w:val="20"/>
              </w:rPr>
              <w:t>Achieve net zero carbon operations by 2050, in line with Urban Land Institute commitment</w:t>
            </w:r>
          </w:p>
          <w:p>
            <w:pPr>
              <w:pStyle w:val="TableContents"/>
              <w:spacing w:before="0" w:after="0"/>
              <w:ind w:left="0" w:right="0" w:hanging="290"/>
              <w:jc w:val="left"/>
              <w:rPr/>
            </w:pPr>
            <w:r>
              <w:rPr>
                <w:color w:val="000000"/>
              </w:rPr>
              <w:t>●</w:t>
            </w:r>
            <w:r>
              <w:rPr>
                <w:rFonts w:ascii="arial" w:hAnsi="arial"/>
                <w:color w:val="000000"/>
                <w:sz w:val="20"/>
              </w:rPr>
              <w:t>Reduce whole-building energy consumption by 20% during the period from 2015 to 2030</w:t>
            </w:r>
          </w:p>
          <w:p>
            <w:pPr>
              <w:pStyle w:val="TableContents"/>
              <w:spacing w:before="0" w:after="0"/>
              <w:ind w:left="0" w:right="0" w:hanging="290"/>
              <w:jc w:val="left"/>
              <w:rPr/>
            </w:pPr>
            <w:r>
              <w:rPr>
                <w:color w:val="000000"/>
              </w:rPr>
              <w:t>●</w:t>
            </w:r>
            <w:r>
              <w:rPr>
                <w:rFonts w:ascii="arial" w:hAnsi="arial"/>
                <w:color w:val="000000"/>
                <w:sz w:val="20"/>
              </w:rPr>
              <w:t xml:space="preserve">Reduce absolute scope 1 and 2 GHG emissions 50.4% </w:t>
            </w:r>
          </w:p>
          <w:p>
            <w:pPr>
              <w:pStyle w:val="TableContents"/>
              <w:spacing w:before="0" w:after="0"/>
              <w:ind w:left="0" w:right="0" w:hanging="290"/>
              <w:jc w:val="left"/>
              <w:rPr/>
            </w:pPr>
            <w:r>
              <w:rPr>
                <w:color w:val="000000"/>
              </w:rPr>
              <w:t>●</w:t>
            </w:r>
            <w:r>
              <w:rPr>
                <w:rFonts w:ascii="arial" w:hAnsi="arial"/>
                <w:color w:val="000000"/>
                <w:sz w:val="20"/>
              </w:rPr>
              <w:t>Reduce absolute scope 3 GHG emissions from capital goods 30.0%</w:t>
            </w:r>
          </w:p>
          <w:p>
            <w:pPr>
              <w:pStyle w:val="TableContents"/>
              <w:spacing w:before="0" w:after="0"/>
              <w:jc w:val="left"/>
              <w:rPr/>
            </w:pPr>
            <w:r>
              <w:rPr>
                <w:rStyle w:val="StrongEmphasis"/>
                <w:rFonts w:ascii="Arial" w:hAnsi="Arial"/>
                <w:sz w:val="20"/>
              </w:rPr>
              <w:t>Achievements:</w:t>
            </w:r>
          </w:p>
          <w:p>
            <w:pPr>
              <w:pStyle w:val="TableContents"/>
              <w:spacing w:before="0" w:after="0"/>
              <w:ind w:left="0" w:right="0" w:hanging="290"/>
              <w:jc w:val="left"/>
              <w:rPr/>
            </w:pPr>
            <w:r>
              <w:rPr>
                <w:color w:val="000000"/>
              </w:rPr>
              <w:t>●</w:t>
            </w:r>
            <w:r>
              <w:rPr>
                <w:rFonts w:ascii="arial" w:hAnsi="arial"/>
                <w:color w:val="000000"/>
                <w:sz w:val="20"/>
              </w:rPr>
              <w:t>Our Targets were validated by the SBTi for absolute scope 1 and 2, science-based emissions reduction targets in line with the 1.5°C pathway</w:t>
            </w:r>
          </w:p>
          <w:p>
            <w:pPr>
              <w:pStyle w:val="TableContents"/>
              <w:spacing w:before="0" w:after="0"/>
              <w:ind w:left="0" w:right="0" w:hanging="290"/>
              <w:jc w:val="left"/>
              <w:rPr/>
            </w:pPr>
            <w:r>
              <w:rPr>
                <w:color w:val="000000"/>
              </w:rPr>
              <w:t>●</w:t>
            </w:r>
            <w:r>
              <w:rPr>
                <w:rFonts w:ascii="arial" w:hAnsi="arial"/>
                <w:color w:val="000000"/>
                <w:sz w:val="20"/>
              </w:rPr>
              <w:t>Achieved our commitment to reduce the intensity of portfolio-wide greenhouse gas emissions by 30%, as compared to 2018, ahead of original 2025 deadline</w:t>
            </w:r>
          </w:p>
          <w:p>
            <w:pPr>
              <w:pStyle w:val="TableContents"/>
              <w:spacing w:before="0" w:after="0"/>
              <w:ind w:left="0" w:right="0" w:hanging="290"/>
              <w:jc w:val="left"/>
              <w:rPr/>
            </w:pPr>
            <w:r>
              <w:rPr>
                <w:color w:val="000000"/>
              </w:rPr>
              <w:t>●</w:t>
            </w:r>
            <w:r>
              <w:rPr>
                <w:rFonts w:ascii="arial" w:hAnsi="arial"/>
                <w:color w:val="000000"/>
                <w:sz w:val="20"/>
              </w:rPr>
              <w:t>Achieved green building certifications across 96% of Manhattan Operating Properties</w:t>
            </w:r>
            <w:r>
              <w:rPr>
                <w:rFonts w:ascii="arial" w:hAnsi="arial"/>
                <w:color w:val="000000"/>
                <w:position w:val="7"/>
                <w:sz w:val="16"/>
                <w:sz w:val="20"/>
              </w:rPr>
              <w:t xml:space="preserve">(1) </w:t>
            </w:r>
          </w:p>
          <w:p>
            <w:pPr>
              <w:pStyle w:val="TableContents"/>
              <w:spacing w:before="0" w:after="0"/>
              <w:ind w:left="0" w:right="0" w:hanging="290"/>
              <w:jc w:val="left"/>
              <w:rPr/>
            </w:pPr>
            <w:r>
              <w:rPr>
                <w:color w:val="000000"/>
              </w:rPr>
              <w:t>●</w:t>
            </w:r>
            <w:r>
              <w:rPr>
                <w:rFonts w:ascii="arial" w:hAnsi="arial"/>
                <w:color w:val="000000"/>
                <w:sz w:val="20"/>
              </w:rPr>
              <w:t>WELL Health-Safety Rating across 23 million square feet</w:t>
            </w:r>
          </w:p>
          <w:p>
            <w:pPr>
              <w:pStyle w:val="TableContents"/>
              <w:spacing w:before="0" w:after="0"/>
              <w:ind w:left="0" w:right="0" w:hanging="290"/>
              <w:jc w:val="left"/>
              <w:rPr/>
            </w:pPr>
            <w:r>
              <w:rPr>
                <w:color w:val="000000"/>
              </w:rPr>
              <w:t>●</w:t>
            </w:r>
            <w:r>
              <w:rPr>
                <w:rFonts w:ascii="arial" w:hAnsi="arial"/>
                <w:color w:val="000000"/>
                <w:sz w:val="20"/>
              </w:rPr>
              <w:t>One Vanderbilt represents the first WELL Core Certified Platinum project in NYC and one of the first such projects in the United States</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36</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0" w:after="0"/>
        <w:rPr/>
      </w:pPr>
      <w:r>
        <w:rPr/>
      </w:r>
    </w:p>
    <w:tbl>
      <w:tblPr>
        <w:tblW w:w="10205" w:type="dxa"/>
        <w:jc w:val="left"/>
        <w:tblInd w:w="0" w:type="dxa"/>
        <w:tblCellMar>
          <w:top w:w="0" w:type="dxa"/>
          <w:left w:w="0" w:type="dxa"/>
          <w:bottom w:w="240" w:type="dxa"/>
          <w:right w:w="0" w:type="dxa"/>
        </w:tblCellMar>
      </w:tblPr>
      <w:tblGrid>
        <w:gridCol w:w="1590"/>
        <w:gridCol w:w="300"/>
        <w:gridCol w:w="8315"/>
      </w:tblGrid>
      <w:tr>
        <w:trPr/>
        <w:tc>
          <w:tcPr>
            <w:tcW w:w="1590" w:type="dxa"/>
            <w:tcBorders>
              <w:bottom w:val="single" w:sz="8" w:space="0" w:color="8EAD3C"/>
            </w:tcBorders>
            <w:shd w:fill="auto" w:val="clear"/>
            <w:vAlign w:val="center"/>
          </w:tcPr>
          <w:p>
            <w:pPr>
              <w:pStyle w:val="TableContents"/>
              <w:spacing w:before="0" w:after="283"/>
              <w:jc w:val="left"/>
              <w:rPr/>
            </w:pPr>
            <w:r>
              <w:rPr/>
              <w:drawing>
                <wp:inline distT="0" distB="0" distL="0" distR="0">
                  <wp:extent cx="1009650" cy="923925"/>
                  <wp:effectExtent l="0" t="0" r="0" b="0"/>
                  <wp:docPr id="409"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276" descr=""/>
                          <pic:cNvPicPr>
                            <a:picLocks noChangeAspect="1" noChangeArrowheads="1"/>
                          </pic:cNvPicPr>
                        </pic:nvPicPr>
                        <pic:blipFill>
                          <a:blip r:embed="rId277"/>
                          <a:srcRect l="-998" t="-1091" r="-998" b="-1091"/>
                          <a:stretch>
                            <a:fillRect/>
                          </a:stretch>
                        </pic:blipFill>
                        <pic:spPr bwMode="auto">
                          <a:xfrm>
                            <a:off x="0" y="0"/>
                            <a:ext cx="1009650" cy="923925"/>
                          </a:xfrm>
                          <a:prstGeom prst="rect">
                            <a:avLst/>
                          </a:prstGeom>
                          <a:ln w="635">
                            <a:solidFill>
                              <a:srgbClr val="000000"/>
                            </a:solidFill>
                          </a:ln>
                        </pic:spPr>
                      </pic:pic>
                    </a:graphicData>
                  </a:graphic>
                </wp:inline>
              </w:drawing>
            </w:r>
          </w:p>
        </w:tc>
        <w:tc>
          <w:tcPr>
            <w:tcW w:w="300" w:type="dxa"/>
            <w:tcBorders>
              <w:bottom w:val="single" w:sz="8" w:space="0" w:color="8EAD3C"/>
            </w:tcBorders>
            <w:shd w:fill="auto" w:val="clear"/>
            <w:vAlign w:val="center"/>
          </w:tcPr>
          <w:p>
            <w:pPr>
              <w:pStyle w:val="TableContents"/>
              <w:spacing w:before="0" w:after="283"/>
              <w:jc w:val="left"/>
              <w:rPr/>
            </w:pPr>
            <w:r>
              <w:rPr/>
              <w:t>     </w:t>
            </w:r>
          </w:p>
        </w:tc>
        <w:tc>
          <w:tcPr>
            <w:tcW w:w="8315" w:type="dxa"/>
            <w:tcBorders>
              <w:bottom w:val="single" w:sz="8" w:space="0" w:color="8EAD3C"/>
            </w:tcBorders>
            <w:shd w:fill="auto" w:val="clear"/>
            <w:vAlign w:val="center"/>
          </w:tcPr>
          <w:p>
            <w:pPr>
              <w:pStyle w:val="TableContents"/>
              <w:spacing w:before="0" w:after="160"/>
              <w:jc w:val="left"/>
              <w:rPr/>
            </w:pPr>
            <w:r>
              <w:rPr>
                <w:rStyle w:val="StrongEmphasis"/>
                <w:rFonts w:ascii="Arial" w:hAnsi="Arial"/>
                <w:color w:val="8EAD3C"/>
                <w:sz w:val="22"/>
              </w:rPr>
              <w:t>Human Capital Management</w:t>
            </w:r>
            <w:r>
              <w:rPr>
                <w:rFonts w:ascii="Arial" w:hAnsi="Arial"/>
                <w:color w:val="8EAD3C"/>
                <w:sz w:val="22"/>
              </w:rPr>
              <w:t xml:space="preserve"> </w:t>
            </w:r>
          </w:p>
          <w:p>
            <w:pPr>
              <w:pStyle w:val="TableContents"/>
              <w:spacing w:before="0" w:after="0"/>
              <w:ind w:left="0" w:right="0" w:hanging="290"/>
              <w:jc w:val="left"/>
              <w:rPr/>
            </w:pPr>
            <w:r>
              <w:rPr>
                <w:color w:val="000000"/>
              </w:rPr>
              <w:t>●</w:t>
            </w:r>
            <w:r>
              <w:rPr>
                <w:rFonts w:ascii="arial" w:hAnsi="arial"/>
                <w:color w:val="000000"/>
                <w:sz w:val="20"/>
              </w:rPr>
              <w:t xml:space="preserve">Certified as a Great Place to Work with 92% of SL Green employees indicating they are proud to work for SL Green in a 2023 employee engagement survey </w:t>
            </w:r>
          </w:p>
          <w:p>
            <w:pPr>
              <w:pStyle w:val="TableContents"/>
              <w:spacing w:before="0" w:after="0"/>
              <w:ind w:left="0" w:right="0" w:hanging="290"/>
              <w:jc w:val="left"/>
              <w:rPr/>
            </w:pPr>
            <w:r>
              <w:rPr>
                <w:color w:val="000000"/>
              </w:rPr>
              <w:t>●</w:t>
            </w:r>
            <w:r>
              <w:rPr>
                <w:rFonts w:ascii="arial" w:hAnsi="arial"/>
                <w:color w:val="000000"/>
                <w:sz w:val="20"/>
              </w:rPr>
              <w:t>Market-leading benefits program spanning healthcare, 401(k) match, employee stock purchase plan, disability and advanced fertility coverage, wellness and life insurance</w:t>
            </w:r>
          </w:p>
          <w:p>
            <w:pPr>
              <w:pStyle w:val="TableContents"/>
              <w:spacing w:before="0" w:after="0"/>
              <w:ind w:left="0" w:right="0" w:hanging="290"/>
              <w:jc w:val="left"/>
              <w:rPr/>
            </w:pPr>
            <w:r>
              <w:rPr>
                <w:color w:val="000000"/>
              </w:rPr>
              <w:t>●</w:t>
            </w:r>
            <w:r>
              <w:rPr>
                <w:rFonts w:ascii="arial" w:hAnsi="arial"/>
                <w:color w:val="000000"/>
                <w:sz w:val="20"/>
              </w:rPr>
              <w:t>Investments in human capital development through training programs, tuition reimbursement and ongoing education</w:t>
            </w:r>
          </w:p>
          <w:p>
            <w:pPr>
              <w:pStyle w:val="TableContents"/>
              <w:spacing w:before="0" w:after="0"/>
              <w:ind w:left="0" w:right="0" w:hanging="290"/>
              <w:jc w:val="left"/>
              <w:rPr/>
            </w:pPr>
            <w:r>
              <w:rPr>
                <w:color w:val="000000"/>
              </w:rPr>
              <w:t>●</w:t>
            </w:r>
            <w:r>
              <w:rPr>
                <w:rFonts w:ascii="arial" w:hAnsi="arial"/>
                <w:color w:val="000000"/>
                <w:sz w:val="20"/>
              </w:rPr>
              <w:t>Zero tolerance, anti-discrimination and anti-harassment policies and training</w:t>
            </w:r>
          </w:p>
          <w:p>
            <w:pPr>
              <w:pStyle w:val="TableContents"/>
              <w:spacing w:before="0" w:after="0"/>
              <w:ind w:left="0" w:right="0" w:hanging="290"/>
              <w:jc w:val="left"/>
              <w:rPr/>
            </w:pPr>
            <w:r>
              <w:rPr>
                <w:color w:val="000000"/>
              </w:rPr>
              <w:t>●</w:t>
            </w:r>
            <w:r>
              <w:rPr>
                <w:rFonts w:ascii="arial" w:hAnsi="arial"/>
                <w:color w:val="000000"/>
                <w:sz w:val="20"/>
              </w:rPr>
              <w:t>Ethnic minorities represent 54% and women represent 40% of all SL Green employees in 2022</w:t>
            </w:r>
          </w:p>
          <w:p>
            <w:pPr>
              <w:pStyle w:val="TableContents"/>
              <w:spacing w:before="0" w:after="0"/>
              <w:ind w:left="0" w:right="0" w:hanging="290"/>
              <w:jc w:val="left"/>
              <w:rPr/>
            </w:pPr>
            <w:r>
              <w:rPr>
                <w:color w:val="000000"/>
              </w:rPr>
              <w:t>●</w:t>
            </w:r>
            <w:r>
              <w:rPr>
                <w:rFonts w:ascii="arial" w:hAnsi="arial"/>
                <w:color w:val="000000"/>
                <w:sz w:val="20"/>
              </w:rPr>
              <w:t>Partnership with women’s leadership development organization, Luminary, to cultivate high potential female employees</w:t>
            </w:r>
          </w:p>
          <w:p>
            <w:pPr>
              <w:pStyle w:val="TableContents"/>
              <w:spacing w:before="0" w:after="0"/>
              <w:ind w:left="0" w:right="0" w:hanging="290"/>
              <w:jc w:val="left"/>
              <w:rPr/>
            </w:pPr>
            <w:r>
              <w:rPr>
                <w:color w:val="000000"/>
              </w:rPr>
              <w:t>●</w:t>
            </w:r>
            <w:r>
              <w:rPr>
                <w:rFonts w:ascii="arial" w:hAnsi="arial"/>
                <w:color w:val="000000"/>
                <w:sz w:val="20"/>
              </w:rPr>
              <w:t>20% of contractors for One Madison Avenue are Women-owned Business Enterprises (M/WBE), exceeding the goal of 15%</w:t>
            </w:r>
          </w:p>
          <w:p>
            <w:pPr>
              <w:pStyle w:val="TableContents"/>
              <w:spacing w:before="0" w:after="0"/>
              <w:ind w:left="0" w:right="0" w:hanging="290"/>
              <w:jc w:val="left"/>
              <w:rPr/>
            </w:pPr>
            <w:r>
              <w:rPr>
                <w:color w:val="000000"/>
              </w:rPr>
              <w:t>●</w:t>
            </w:r>
            <w:r>
              <w:rPr>
                <w:rFonts w:ascii="arial" w:hAnsi="arial"/>
                <w:color w:val="000000"/>
                <w:sz w:val="20"/>
              </w:rPr>
              <w:t>Implemented a diversity focused recruitment platform in 2023</w:t>
            </w:r>
          </w:p>
        </w:tc>
      </w:tr>
      <w:tr>
        <w:trPr/>
        <w:tc>
          <w:tcPr>
            <w:tcW w:w="1590" w:type="dxa"/>
            <w:tcBorders>
              <w:bottom w:val="single" w:sz="8" w:space="0" w:color="8EAD3C"/>
            </w:tcBorders>
            <w:shd w:fill="auto" w:val="clear"/>
            <w:vAlign w:val="center"/>
          </w:tcPr>
          <w:p>
            <w:pPr>
              <w:pStyle w:val="TableContents"/>
              <w:spacing w:before="0" w:after="283"/>
              <w:jc w:val="left"/>
              <w:rPr/>
            </w:pPr>
            <w:r>
              <w:rPr/>
              <w:drawing>
                <wp:inline distT="0" distB="0" distL="0" distR="0">
                  <wp:extent cx="1000125" cy="1019175"/>
                  <wp:effectExtent l="0" t="0" r="0" b="0"/>
                  <wp:docPr id="410"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77" descr=""/>
                          <pic:cNvPicPr>
                            <a:picLocks noChangeAspect="1" noChangeArrowheads="1"/>
                          </pic:cNvPicPr>
                        </pic:nvPicPr>
                        <pic:blipFill>
                          <a:blip r:embed="rId278"/>
                          <a:srcRect l="-1007" t="-989" r="-1007" b="-989"/>
                          <a:stretch>
                            <a:fillRect/>
                          </a:stretch>
                        </pic:blipFill>
                        <pic:spPr bwMode="auto">
                          <a:xfrm>
                            <a:off x="0" y="0"/>
                            <a:ext cx="1000125" cy="1019175"/>
                          </a:xfrm>
                          <a:prstGeom prst="rect">
                            <a:avLst/>
                          </a:prstGeom>
                          <a:ln w="635">
                            <a:solidFill>
                              <a:srgbClr val="000000"/>
                            </a:solidFill>
                          </a:ln>
                        </pic:spPr>
                      </pic:pic>
                    </a:graphicData>
                  </a:graphic>
                </wp:inline>
              </w:drawing>
            </w:r>
          </w:p>
        </w:tc>
        <w:tc>
          <w:tcPr>
            <w:tcW w:w="300" w:type="dxa"/>
            <w:tcBorders>
              <w:bottom w:val="single" w:sz="8" w:space="0" w:color="8EAD3C"/>
            </w:tcBorders>
            <w:shd w:fill="auto" w:val="clear"/>
            <w:vAlign w:val="center"/>
          </w:tcPr>
          <w:p>
            <w:pPr>
              <w:pStyle w:val="TableContents"/>
              <w:spacing w:before="0" w:after="283"/>
              <w:rPr>
                <w:sz w:val="4"/>
                <w:szCs w:val="4"/>
              </w:rPr>
            </w:pPr>
            <w:r>
              <w:rPr>
                <w:sz w:val="4"/>
                <w:szCs w:val="4"/>
              </w:rPr>
            </w:r>
          </w:p>
        </w:tc>
        <w:tc>
          <w:tcPr>
            <w:tcW w:w="8315" w:type="dxa"/>
            <w:tcBorders>
              <w:bottom w:val="single" w:sz="8" w:space="0" w:color="8EAD3C"/>
            </w:tcBorders>
            <w:shd w:fill="auto" w:val="clear"/>
            <w:vAlign w:val="center"/>
          </w:tcPr>
          <w:p>
            <w:pPr>
              <w:pStyle w:val="TableContents"/>
              <w:spacing w:before="0" w:after="160"/>
              <w:jc w:val="left"/>
              <w:rPr/>
            </w:pPr>
            <w:r>
              <w:rPr>
                <w:rStyle w:val="StrongEmphasis"/>
                <w:rFonts w:ascii="Arial" w:hAnsi="Arial"/>
                <w:color w:val="8EAD3C"/>
                <w:sz w:val="22"/>
              </w:rPr>
              <w:t>Corporate Philanthropy</w:t>
            </w:r>
          </w:p>
          <w:p>
            <w:pPr>
              <w:pStyle w:val="TableContents"/>
              <w:spacing w:before="0" w:after="0"/>
              <w:ind w:left="0" w:right="0" w:hanging="290"/>
              <w:jc w:val="left"/>
              <w:rPr/>
            </w:pPr>
            <w:r>
              <w:rPr>
                <w:color w:val="000000"/>
              </w:rPr>
              <w:t>●</w:t>
            </w:r>
            <w:r>
              <w:rPr>
                <w:rFonts w:ascii="arial" w:hAnsi="arial"/>
                <w:color w:val="000000"/>
                <w:sz w:val="20"/>
              </w:rPr>
              <w:t>Corporate and employee contributions totaling $20 million over the last ten years to over 200 charitable organizations primarily focused on providing New Yorkers with access to essential resources</w:t>
            </w:r>
          </w:p>
          <w:p>
            <w:pPr>
              <w:pStyle w:val="TableContents"/>
              <w:spacing w:before="0" w:after="0"/>
              <w:ind w:left="0" w:right="0" w:hanging="290"/>
              <w:jc w:val="left"/>
              <w:rPr/>
            </w:pPr>
            <w:r>
              <w:rPr>
                <w:color w:val="000000"/>
              </w:rPr>
              <w:t>●</w:t>
            </w:r>
            <w:r>
              <w:rPr>
                <w:rFonts w:ascii="arial" w:hAnsi="arial"/>
                <w:color w:val="000000"/>
                <w:sz w:val="20"/>
              </w:rPr>
              <w:t>Awarded “2022 Employer Of The Year” by the NYC’s Mayor’s Fund To Advance New York City in recognition of SL Green’s partnership with NYC’s Summer Youth Employment Program</w:t>
            </w:r>
          </w:p>
          <w:p>
            <w:pPr>
              <w:pStyle w:val="TableContents"/>
              <w:spacing w:before="0" w:after="0"/>
              <w:ind w:left="0" w:right="0" w:hanging="290"/>
              <w:jc w:val="left"/>
              <w:rPr/>
            </w:pPr>
            <w:r>
              <w:rPr>
                <w:color w:val="000000"/>
              </w:rPr>
              <w:t>●</w:t>
            </w:r>
            <w:r>
              <w:rPr>
                <w:rFonts w:ascii="arial" w:hAnsi="arial"/>
                <w:color w:val="000000"/>
                <w:sz w:val="20"/>
              </w:rPr>
              <w:t xml:space="preserve">Co-founded FOOD1st to address NYC food insecurity; delivered over 1,000,000 meals since April 2020 </w:t>
            </w:r>
          </w:p>
          <w:p>
            <w:pPr>
              <w:pStyle w:val="TableContents"/>
              <w:spacing w:before="0" w:after="0"/>
              <w:ind w:left="0" w:right="0" w:hanging="290"/>
              <w:jc w:val="left"/>
              <w:rPr/>
            </w:pPr>
            <w:r>
              <w:rPr>
                <w:color w:val="000000"/>
              </w:rPr>
              <w:t>●</w:t>
            </w:r>
            <w:r>
              <w:rPr>
                <w:rFonts w:ascii="arial" w:hAnsi="arial"/>
                <w:color w:val="000000"/>
                <w:sz w:val="20"/>
              </w:rPr>
              <w:t>Participation in Governor’s Committee on Scholastic Achievement, a non-for-profit that connects high school students from underperforming New York communities with corporate mentors</w:t>
            </w:r>
          </w:p>
          <w:p>
            <w:pPr>
              <w:pStyle w:val="TableContents"/>
              <w:spacing w:before="0" w:after="0"/>
              <w:ind w:left="0" w:right="0" w:hanging="290"/>
              <w:jc w:val="left"/>
              <w:rPr/>
            </w:pPr>
            <w:r>
              <w:rPr>
                <w:color w:val="000000"/>
              </w:rPr>
              <w:t>●</w:t>
            </w:r>
            <w:r>
              <w:rPr>
                <w:rFonts w:ascii="arial" w:hAnsi="arial"/>
                <w:color w:val="000000"/>
                <w:sz w:val="20"/>
              </w:rPr>
              <w:t>Employer-sponsored volunteer days, with civic opportunities chosen and coordinated by employee Community Outreach Ambassadors</w:t>
            </w:r>
          </w:p>
          <w:p>
            <w:pPr>
              <w:pStyle w:val="TableContents"/>
              <w:spacing w:before="0" w:after="0"/>
              <w:ind w:left="0" w:right="0" w:hanging="290"/>
              <w:jc w:val="left"/>
              <w:rPr/>
            </w:pPr>
            <w:r>
              <w:rPr>
                <w:color w:val="000000"/>
              </w:rPr>
              <w:t>●</w:t>
            </w:r>
            <w:r>
              <w:rPr>
                <w:rFonts w:ascii="arial" w:hAnsi="arial"/>
                <w:color w:val="000000"/>
                <w:sz w:val="20"/>
              </w:rPr>
              <w:t>Ongoing donation of one percent of gross ticket sales at SUMMIT, One Vanderbilt’s observatory experience, to New York focused charities through the SUMMIT Foundation</w:t>
            </w:r>
          </w:p>
        </w:tc>
      </w:tr>
    </w:tbl>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jc w:val="right"/>
              <w:rPr>
                <w:rFonts w:ascii="Arial" w:hAnsi="Arial"/>
                <w:sz w:val="15"/>
              </w:rPr>
            </w:pPr>
            <w:r>
              <w:rPr>
                <w:rFonts w:ascii="Arial" w:hAnsi="Arial"/>
                <w:sz w:val="15"/>
              </w:rPr>
              <w:t xml:space="preserve">(1) </w:t>
            </w:r>
          </w:p>
        </w:tc>
        <w:tc>
          <w:tcPr>
            <w:tcW w:w="10020" w:type="dxa"/>
            <w:tcBorders/>
            <w:shd w:fill="auto" w:val="clear"/>
            <w:vAlign w:val="center"/>
          </w:tcPr>
          <w:p>
            <w:pPr>
              <w:pStyle w:val="TableContents"/>
              <w:spacing w:before="0" w:after="283"/>
              <w:jc w:val="left"/>
              <w:rPr>
                <w:rFonts w:ascii="Arial" w:hAnsi="Arial"/>
                <w:sz w:val="15"/>
              </w:rPr>
            </w:pPr>
            <w:r>
              <w:rPr>
                <w:rFonts w:ascii="Arial" w:hAnsi="Arial"/>
                <w:sz w:val="15"/>
              </w:rPr>
              <w:t>For additional information, please see SL Green’s 2022 ESG Report found under the “Sustainability—Reports and Resources” section of our corporate website at www.slgreen.com. The information found on our website or in our 2022 ESG Report is not incorporated into, and does not form a part of, this proxy statement or any other report or document we file with, or furnish to, the SEC.</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945" w:type="dxa"/>
        <w:jc w:val="left"/>
        <w:tblInd w:w="0" w:type="dxa"/>
        <w:tblCellMar>
          <w:top w:w="0" w:type="dxa"/>
          <w:left w:w="0" w:type="dxa"/>
          <w:bottom w:w="0" w:type="dxa"/>
          <w:right w:w="0" w:type="dxa"/>
        </w:tblCellMar>
      </w:tblPr>
      <w:tblGrid>
        <w:gridCol w:w="4655"/>
        <w:gridCol w:w="290"/>
      </w:tblGrid>
      <w:tr>
        <w:trPr/>
        <w:tc>
          <w:tcPr>
            <w:tcW w:w="4655" w:type="dxa"/>
            <w:tcBorders/>
            <w:shd w:fill="auto" w:val="clear"/>
            <w:vAlign w:val="center"/>
          </w:tcPr>
          <w:p>
            <w:pPr>
              <w:pStyle w:val="TableContents"/>
              <w:spacing w:before="0" w:after="283"/>
              <w:jc w:val="left"/>
              <w:rPr>
                <w:rFonts w:ascii="Arial" w:hAnsi="Arial"/>
                <w:sz w:val="15"/>
              </w:rPr>
            </w:pPr>
            <w:r>
              <w:rPr>
                <w:rFonts w:ascii="Arial" w:hAnsi="Arial"/>
                <w:b/>
                <w:sz w:val="15"/>
              </w:rPr>
              <w:t>OUR BOARD OF DIRECTORS AND CORPORATE GOVERNANCE</w:t>
            </w:r>
            <w:r>
              <w:rPr>
                <w:rFonts w:ascii="Arial" w:hAnsi="Arial"/>
                <w:sz w:val="15"/>
              </w:rPr>
              <w:t xml:space="preserve"> </w:t>
            </w:r>
          </w:p>
        </w:tc>
        <w:tc>
          <w:tcPr>
            <w:tcW w:w="290" w:type="dxa"/>
            <w:tcBorders/>
            <w:shd w:fill="auto" w:val="clear"/>
            <w:vAlign w:val="center"/>
          </w:tcPr>
          <w:p>
            <w:pPr>
              <w:pStyle w:val="TableContents"/>
              <w:spacing w:before="0" w:after="283"/>
              <w:jc w:val="right"/>
              <w:rPr>
                <w:rFonts w:ascii="Arial" w:hAnsi="Arial"/>
                <w:b/>
                <w:color w:val="1A2343"/>
                <w:sz w:val="24"/>
              </w:rPr>
            </w:pPr>
            <w:r>
              <w:rPr>
                <w:rFonts w:ascii="Arial" w:hAnsi="Arial"/>
                <w:b/>
                <w:color w:val="1A2343"/>
                <w:sz w:val="24"/>
              </w:rPr>
              <w:t>37</w:t>
            </w:r>
          </w:p>
        </w:tc>
      </w:tr>
    </w:tbl>
    <w:p>
      <w:pPr>
        <w:pStyle w:val="TextBody"/>
        <w:spacing w:before="0" w:after="0"/>
        <w:jc w:val="left"/>
        <w:rPr>
          <w:rFonts w:ascii="Arial" w:hAnsi="Arial"/>
          <w:b/>
          <w:color w:val="1A2343"/>
          <w:sz w:val="26"/>
        </w:rPr>
      </w:pPr>
      <w:r>
        <w:rPr>
          <w:rFonts w:ascii="Arial" w:hAnsi="Arial"/>
          <w:b/>
          <w:color w:val="1A2343"/>
          <w:sz w:val="26"/>
        </w:rPr>
        <w:t>Governance Principles</w:t>
      </w:r>
    </w:p>
    <w:p>
      <w:pPr>
        <w:pStyle w:val="TextBody"/>
        <w:spacing w:before="0" w:after="0"/>
        <w:jc w:val="left"/>
        <w:rPr>
          <w:rFonts w:ascii="Arial" w:hAnsi="Arial"/>
          <w:sz w:val="20"/>
        </w:rPr>
      </w:pPr>
      <w:r>
        <w:rPr>
          <w:rFonts w:ascii="Arial" w:hAnsi="Arial"/>
          <w:sz w:val="20"/>
        </w:rPr>
        <w:t>The Board adopted Governance Principles that address significant issues of corporate governance and set forth procedures by which the Board carries out its responsibilities. Among the areas addressed by the Governance Principles are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for, among other things, assessing and periodically reviewing the adequacy of the Governance Principles and will recommend, as appropriate, proposed changes to the Board. Although there is no one-size-fits all approach to corporate governance, we believe that our Governance Principles are aligned with the expectations of our stockholders, including the Investor Stewardship Group (ISG) and the ISG Corporate Governance Principles.</w:t>
      </w:r>
    </w:p>
    <w:p>
      <w:pPr>
        <w:pStyle w:val="TextBody"/>
        <w:spacing w:before="0" w:after="0"/>
        <w:jc w:val="left"/>
        <w:rPr>
          <w:rFonts w:ascii="Arial" w:hAnsi="Arial"/>
          <w:b/>
          <w:color w:val="1A2343"/>
          <w:sz w:val="26"/>
        </w:rPr>
      </w:pPr>
      <w:r>
        <w:rPr>
          <w:rFonts w:ascii="Arial" w:hAnsi="Arial"/>
          <w:b/>
          <w:color w:val="1A2343"/>
          <w:sz w:val="26"/>
        </w:rPr>
        <w:t>Code of Ethics</w:t>
      </w:r>
    </w:p>
    <w:p>
      <w:pPr>
        <w:pStyle w:val="TextBody"/>
        <w:spacing w:before="0" w:after="0"/>
        <w:jc w:val="left"/>
        <w:rPr>
          <w:rFonts w:ascii="Arial" w:hAnsi="Arial"/>
          <w:sz w:val="20"/>
        </w:rPr>
      </w:pPr>
      <w:r>
        <w:rPr>
          <w:rFonts w:ascii="Arial" w:hAnsi="Arial"/>
          <w:sz w:val="20"/>
        </w:rPr>
        <w:t>The Board adopted a Code of Ethics that applies to our directors, executive officers and employees. The Code of Ethics is designed to assist our directors, executive officers and employees in complying with legal requirements and in resolving moral and ethical issues that may arise, and in complying with our policies and procedures. Among the areas addressed by the Code of Ethics are legal compliance, conflicts of interest, use and protection of the Company’s assets, confidentiality, communications with the public, accounting matters, records retention, fair dealing, discrimination, harassment and health and safety. We intend to disclose on our corporate website any amendment to, or waiver of, any provisions of this Code applicable to our directors and executive officers that would otherwise be required to be disclosed under the rules of the SEC or the NYSE.</w:t>
      </w:r>
    </w:p>
    <w:p>
      <w:pPr>
        <w:pStyle w:val="TextBody"/>
        <w:spacing w:before="0" w:after="0"/>
        <w:jc w:val="left"/>
        <w:rPr>
          <w:rFonts w:ascii="Arial" w:hAnsi="Arial"/>
          <w:b/>
          <w:color w:val="1A2343"/>
          <w:sz w:val="26"/>
        </w:rPr>
      </w:pPr>
      <w:r>
        <w:rPr>
          <w:rFonts w:ascii="Arial" w:hAnsi="Arial"/>
          <w:b/>
          <w:color w:val="1A2343"/>
          <w:sz w:val="26"/>
        </w:rPr>
        <w:t>Whistleblowing and Whistleblower Protection Policy</w:t>
      </w:r>
    </w:p>
    <w:p>
      <w:pPr>
        <w:pStyle w:val="TextBody"/>
        <w:spacing w:before="0" w:after="0"/>
        <w:jc w:val="left"/>
        <w:rPr>
          <w:rFonts w:ascii="Arial" w:hAnsi="Arial"/>
          <w:sz w:val="20"/>
        </w:rPr>
      </w:pPr>
      <w:r>
        <w:rPr>
          <w:rFonts w:ascii="Arial" w:hAnsi="Arial"/>
          <w:sz w:val="20"/>
        </w:rPr>
        <w:t>We have adopted a Whistleblowing and Whistleblower Protection Policy pursuant to which our employees must report if they observe, suspect or become aware of a violation of applicable laws, regulations, or business ethics standards, and pursuant to which the Audit Committee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 of our Audit Committee, c/o Andrew S. Levine, Secretary, SL Green Realty Corp., One Vanderbilt Avenue, New York, New York 10017-3852. Any such communications may be made anonymously.</w:t>
      </w:r>
    </w:p>
    <w:p>
      <w:pPr>
        <w:pStyle w:val="TextBody"/>
        <w:spacing w:before="0" w:after="0"/>
        <w:jc w:val="left"/>
        <w:rPr>
          <w:rFonts w:ascii="Arial" w:hAnsi="Arial"/>
          <w:b/>
          <w:color w:val="1A2343"/>
          <w:sz w:val="26"/>
        </w:rPr>
      </w:pPr>
      <w:r>
        <w:rPr>
          <w:rFonts w:ascii="Arial" w:hAnsi="Arial"/>
          <w:b/>
          <w:color w:val="1A2343"/>
          <w:sz w:val="26"/>
        </w:rPr>
        <w:t>Additional Information</w:t>
      </w:r>
    </w:p>
    <w:p>
      <w:pPr>
        <w:pStyle w:val="TextBody"/>
        <w:spacing w:before="0" w:after="0"/>
        <w:jc w:val="left"/>
        <w:rPr>
          <w:rFonts w:ascii="Arial" w:hAnsi="Arial"/>
          <w:sz w:val="20"/>
        </w:rPr>
      </w:pPr>
      <w:r>
        <w:rPr>
          <w:rFonts w:ascii="Arial" w:hAnsi="Arial"/>
          <w:sz w:val="20"/>
        </w:rPr>
        <w:t>You are encouraged to visit the “Investors—Corporate Governance” section of our corporate website at www.slgreen. com to view or obtain copies of our committee charters, Code of Ethics, Governance Principles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Governance Principles and director independence standards by directing your request in writing to SL Green Realty Corp., One Vanderbilt Avenue, New York, New York 10017-3852, Attention: Investor Relations.</w:t>
      </w:r>
    </w:p>
    <w:p>
      <w:pPr>
        <w:pStyle w:val="TextBody"/>
        <w:spacing w:before="0" w:after="0"/>
        <w:jc w:val="left"/>
        <w:rPr>
          <w:rFonts w:ascii="Arial" w:hAnsi="Arial"/>
          <w:b/>
          <w:color w:val="1A2343"/>
          <w:sz w:val="26"/>
        </w:rPr>
      </w:pPr>
      <w:r>
        <w:rPr>
          <w:rFonts w:ascii="Arial" w:hAnsi="Arial"/>
          <w:b/>
          <w:color w:val="1A2343"/>
          <w:sz w:val="26"/>
        </w:rPr>
        <w:t>Lobbying, Political Contributions and Trade Associations</w:t>
      </w:r>
    </w:p>
    <w:p>
      <w:pPr>
        <w:pStyle w:val="TextBody"/>
        <w:spacing w:before="0" w:after="0"/>
        <w:jc w:val="left"/>
        <w:rPr>
          <w:rFonts w:ascii="Arial" w:hAnsi="Arial"/>
          <w:sz w:val="20"/>
        </w:rPr>
      </w:pPr>
      <w:r>
        <w:rPr>
          <w:rFonts w:ascii="Arial" w:hAnsi="Arial"/>
          <w:sz w:val="20"/>
        </w:rPr>
        <w:t>The Company believes that participation in the public policy process is an important and essential means of enhancing stockholder value. Our efforts in this area are directly overseen by our chief executive officer and reviewed periodically by the full Board and on an ongoing basis by our legal department to ensure compliance with applicable laws.</w:t>
      </w:r>
    </w:p>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38</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rPr/>
      </w:pPr>
      <w:r>
        <w:rPr/>
      </w:r>
    </w:p>
    <w:p>
      <w:pPr>
        <w:pStyle w:val="TextBody"/>
        <w:spacing w:before="240" w:after="283"/>
        <w:jc w:val="left"/>
        <w:rPr>
          <w:rFonts w:ascii="Arial" w:hAnsi="Arial"/>
          <w:b/>
          <w:color w:val="8EAD3C"/>
          <w:sz w:val="32"/>
        </w:rPr>
      </w:pPr>
      <w:bookmarkStart w:id="15" w:name="pg_DirectorCompensation"/>
      <w:bookmarkEnd w:id="15"/>
      <w:r>
        <w:rPr>
          <w:rFonts w:ascii="Arial" w:hAnsi="Arial"/>
          <w:b/>
          <w:color w:val="8EAD3C"/>
          <w:sz w:val="32"/>
        </w:rPr>
        <w:t>DIRECTOR COMPENSATION</w:t>
      </w:r>
    </w:p>
    <w:p>
      <w:pPr>
        <w:pStyle w:val="TextBody"/>
        <w:spacing w:before="0" w:after="0"/>
        <w:jc w:val="left"/>
        <w:rPr>
          <w:rFonts w:ascii="Arial" w:hAnsi="Arial"/>
          <w:b/>
          <w:color w:val="1A2343"/>
          <w:sz w:val="26"/>
        </w:rPr>
      </w:pPr>
      <w:r>
        <w:rPr>
          <w:rFonts w:ascii="Arial" w:hAnsi="Arial"/>
          <w:b/>
          <w:color w:val="1A2343"/>
          <w:sz w:val="26"/>
        </w:rPr>
        <w:t>Director Compensation Process</w:t>
      </w:r>
    </w:p>
    <w:p>
      <w:pPr>
        <w:pStyle w:val="TextBody"/>
        <w:jc w:val="left"/>
        <w:rPr>
          <w:rFonts w:ascii="Arial" w:hAnsi="Arial"/>
          <w:sz w:val="20"/>
        </w:rPr>
      </w:pPr>
      <w:r>
        <w:rPr>
          <w:rFonts w:ascii="Arial" w:hAnsi="Arial"/>
          <w:sz w:val="20"/>
        </w:rPr>
        <w:t>We review our director compensation annually, including engagement of FTI Consulting to evaluate the structure and competitiveness of our non-employee director compensation and recommend changes as appropriate. Based on these reviews, since 2019, we have reduced the value of the annual stock grant to directors by $65,000, or 21.7%, from $300,000 to $235,000, and reduced the cash retainer paid for serving as our Lead Independent Director by $15,000, or 17.6%, from $85,000 to $70,000.</w:t>
      </w:r>
    </w:p>
    <w:p>
      <w:pPr>
        <w:pStyle w:val="TextBody"/>
        <w:jc w:val="left"/>
        <w:rPr>
          <w:rFonts w:ascii="Arial" w:hAnsi="Arial"/>
          <w:sz w:val="20"/>
        </w:rPr>
      </w:pPr>
      <w:r>
        <w:rPr>
          <w:rFonts w:ascii="Arial" w:hAnsi="Arial"/>
          <w:sz w:val="20"/>
        </w:rPr>
        <w:t>Most recently, in December 2022, the Compensation Committee again conducted a full review of our director compensation in consultation with FTI Consulting. No changes were implemented as a result of that review.</w:t>
      </w:r>
    </w:p>
    <w:p>
      <w:pPr>
        <w:pStyle w:val="TextBody"/>
        <w:spacing w:before="0" w:after="0"/>
        <w:jc w:val="left"/>
        <w:rPr>
          <w:rFonts w:ascii="Arial" w:hAnsi="Arial"/>
          <w:b/>
          <w:color w:val="1A2343"/>
          <w:sz w:val="26"/>
        </w:rPr>
      </w:pPr>
      <w:r>
        <w:rPr>
          <w:rFonts w:ascii="Arial" w:hAnsi="Arial"/>
          <w:b/>
          <w:color w:val="1A2343"/>
          <w:sz w:val="26"/>
        </w:rPr>
        <w:t>Elements of Director Compensation</w:t>
      </w:r>
    </w:p>
    <w:p>
      <w:pPr>
        <w:pStyle w:val="TextBody"/>
        <w:spacing w:before="0" w:after="0"/>
        <w:jc w:val="left"/>
        <w:rPr>
          <w:rFonts w:ascii="Arial" w:hAnsi="Arial"/>
          <w:sz w:val="20"/>
        </w:rPr>
      </w:pPr>
      <w:r>
        <w:rPr>
          <w:rFonts w:ascii="Arial" w:hAnsi="Arial"/>
          <w:sz w:val="20"/>
        </w:rPr>
        <w:t>Only non-employee Directors are compensated for service on the Board. During the fiscal year ended December 31, 2022, the fees for non-employee Directors were:</w:t>
      </w:r>
    </w:p>
    <w:p>
      <w:pPr>
        <w:pStyle w:val="TextBody"/>
        <w:spacing w:before="0" w:after="0"/>
        <w:rPr/>
      </w:pPr>
      <w:r>
        <w:rPr/>
      </w:r>
    </w:p>
    <w:tbl>
      <w:tblPr>
        <w:tblW w:w="8805" w:type="dxa"/>
        <w:jc w:val="left"/>
        <w:tblInd w:w="0" w:type="dxa"/>
        <w:tblCellMar>
          <w:top w:w="0" w:type="dxa"/>
          <w:left w:w="0" w:type="dxa"/>
          <w:bottom w:w="40" w:type="dxa"/>
          <w:right w:w="0" w:type="dxa"/>
        </w:tblCellMar>
      </w:tblPr>
      <w:tblGrid>
        <w:gridCol w:w="7610"/>
        <w:gridCol w:w="180"/>
        <w:gridCol w:w="125"/>
        <w:gridCol w:w="890"/>
      </w:tblGrid>
      <w:tr>
        <w:trPr/>
        <w:tc>
          <w:tcPr>
            <w:tcW w:w="761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Annual cash retainers</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c>
          <w:tcPr>
            <w:tcW w:w="890"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r>
      <w:tr>
        <w:trPr/>
        <w:tc>
          <w:tcPr>
            <w:tcW w:w="761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Cash retainer</w:t>
            </w:r>
          </w:p>
        </w:tc>
        <w:tc>
          <w:tcPr>
            <w:tcW w:w="180" w:type="dxa"/>
            <w:tcBorders/>
            <w:shd w:fill="auto" w:val="clear"/>
            <w:tcMar>
              <w:bottom w:w="0" w:type="dxa"/>
            </w:tcMar>
            <w:vAlign w:val="center"/>
          </w:tcPr>
          <w:p>
            <w:pPr>
              <w:pStyle w:val="TableContents"/>
              <w:spacing w:before="0" w:after="283"/>
              <w:jc w:val="right"/>
              <w:rPr/>
            </w:pPr>
            <w:r>
              <w:rPr/>
              <w:t>   </w:t>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9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50,000</w:t>
            </w:r>
          </w:p>
        </w:tc>
      </w:tr>
      <w:tr>
        <w:trPr/>
        <w:tc>
          <w:tcPr>
            <w:tcW w:w="761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Additional cash retainer if serving as the Lead Independent Director</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9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70,000</w:t>
            </w:r>
          </w:p>
        </w:tc>
      </w:tr>
      <w:tr>
        <w:trPr/>
        <w:tc>
          <w:tcPr>
            <w:tcW w:w="761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Additional cash retainer if serving as a chair of the Audit Committee</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9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25,000</w:t>
            </w:r>
          </w:p>
        </w:tc>
      </w:tr>
      <w:tr>
        <w:trPr/>
        <w:tc>
          <w:tcPr>
            <w:tcW w:w="761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Additional cash retainer if serving as a chair of the Compensation Committee</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9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20,000</w:t>
            </w:r>
          </w:p>
        </w:tc>
      </w:tr>
      <w:tr>
        <w:trPr/>
        <w:tc>
          <w:tcPr>
            <w:tcW w:w="761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Additional cash retainer if serving as a chair of the Corporate Governance Committee</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9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5,000</w:t>
            </w:r>
          </w:p>
        </w:tc>
      </w:tr>
      <w:tr>
        <w:trPr/>
        <w:tc>
          <w:tcPr>
            <w:tcW w:w="7610"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Meeting fees</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890"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r>
      <w:tr>
        <w:trPr/>
        <w:tc>
          <w:tcPr>
            <w:tcW w:w="761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For each meeting of the Board or a committee of the Board</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9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1,500</w:t>
            </w:r>
          </w:p>
        </w:tc>
      </w:tr>
      <w:tr>
        <w:trPr/>
        <w:tc>
          <w:tcPr>
            <w:tcW w:w="761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For each special meeting of the Audit Committee held independently of Board meetings</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9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4,000</w:t>
            </w:r>
          </w:p>
        </w:tc>
      </w:tr>
      <w:tr>
        <w:trPr/>
        <w:tc>
          <w:tcPr>
            <w:tcW w:w="7610"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Stock grant</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890"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r>
      <w:tr>
        <w:trPr/>
        <w:tc>
          <w:tcPr>
            <w:tcW w:w="7610" w:type="dxa"/>
            <w:tcBorders>
              <w:bottom w:val="single" w:sz="12" w:space="0" w:color="1A2343"/>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Valued at the grant date with shares fully vested on such grant date.</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90" w:type="dxa"/>
            <w:tcBorders>
              <w:bottom w:val="single" w:sz="12" w:space="0" w:color="1A2343"/>
            </w:tcBorders>
            <w:shd w:fill="auto" w:val="clear"/>
            <w:tcMar>
              <w:bottom w:w="28" w:type="dxa"/>
            </w:tcMar>
            <w:vAlign w:val="center"/>
          </w:tcPr>
          <w:p>
            <w:pPr>
              <w:pStyle w:val="TableContents"/>
              <w:spacing w:before="0" w:after="283"/>
              <w:jc w:val="right"/>
              <w:rPr/>
            </w:pPr>
            <w:r>
              <w:rPr/>
              <w:t>   </w:t>
            </w:r>
            <w:r>
              <w:rPr>
                <w:rFonts w:ascii="Arial" w:hAnsi="Arial"/>
                <w:sz w:val="20"/>
              </w:rPr>
              <w:t>235,000</w:t>
            </w:r>
          </w:p>
        </w:tc>
      </w:tr>
    </w:tbl>
    <w:p>
      <w:pPr>
        <w:pStyle w:val="TextBody"/>
        <w:spacing w:before="240" w:after="283"/>
        <w:jc w:val="left"/>
        <w:rPr>
          <w:rFonts w:ascii="Arial" w:hAnsi="Arial"/>
          <w:sz w:val="20"/>
        </w:rPr>
      </w:pPr>
      <w:r>
        <w:rPr>
          <w:rFonts w:ascii="Arial" w:hAnsi="Arial"/>
          <w:sz w:val="20"/>
        </w:rPr>
        <w:t>The annual fees and meeting fees generally are payable quarterly in cash. Each director may elect to receive some or all of these fees in stock and, as noted below, may elect to defer some or all of these fees.</w:t>
      </w:r>
    </w:p>
    <w:p>
      <w:pPr>
        <w:pStyle w:val="TextBody"/>
        <w:jc w:val="left"/>
        <w:rPr>
          <w:rFonts w:ascii="Arial" w:hAnsi="Arial"/>
          <w:sz w:val="20"/>
        </w:rPr>
      </w:pPr>
      <w:r>
        <w:rPr>
          <w:rFonts w:ascii="Arial" w:hAnsi="Arial"/>
          <w:sz w:val="20"/>
        </w:rPr>
        <w:t>Under our Non-Employee Directors’ Deferral Program, our non-employee directors were entitled to elect to defer up to 100% of their annual fees, meeting fees and annual stock grant. At each director’s election, cash fees deferred under the program could be credited in the form of either phantom stock units, account credits that accrue earnings or losses based on a 30-day SOFR-based rate at the beginning of each month plus 2.10% (or based on such other rate or the performance of such investments as may be determined in advance by the Board) or measurement fund credits that track the performance of one or more open-ended mutual funds selected by the director. Stock grants deferred under the program are credited in the form of phantom stock units. Subject to limitations contained in the program, on a fixed date each quarter, a director may convert phantom stock units into account credits or measurement fund credits or vice versa or change the mutual funds that some or all of the director’s measurement fund credits track. All cash fees credited as, and conversions of or into, phantom stock units or measurement fund credits are based on the fair market value of our common stock or the applicable mutual fund on the date the cash fees otherwise would have been paid or the date of the conversion, as applicable. Unless otherwise elected by a director, a director’s phantom stock units, account credits and measurement fund credits are payable on the earlier of the January 1st coincident with or next following the director’s termination of service from the Board, or a change in control of the Company, as defined by the program. Phantom stock units are payable in an equal number of shares of our common stock; provided that we may elect to instead settle a director’s phantom stock units by paying the director cash in an amount equal to the value of such shares of common stock. Account credits and measurement fund credits are payable in cash. Under the program, each director is entitled to receive dividend equivalents that are paid currently on the director’s phantom stock units, unless the director elected to defer payment of such dividend equivalents and have them concurrently reinvested into additional phantom stock units.</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945" w:type="dxa"/>
        <w:jc w:val="left"/>
        <w:tblInd w:w="0" w:type="dxa"/>
        <w:tblCellMar>
          <w:top w:w="0" w:type="dxa"/>
          <w:left w:w="0" w:type="dxa"/>
          <w:bottom w:w="0" w:type="dxa"/>
          <w:right w:w="0" w:type="dxa"/>
        </w:tblCellMar>
      </w:tblPr>
      <w:tblGrid>
        <w:gridCol w:w="4655"/>
        <w:gridCol w:w="290"/>
      </w:tblGrid>
      <w:tr>
        <w:trPr/>
        <w:tc>
          <w:tcPr>
            <w:tcW w:w="4655" w:type="dxa"/>
            <w:tcBorders/>
            <w:shd w:fill="auto" w:val="clear"/>
            <w:vAlign w:val="center"/>
          </w:tcPr>
          <w:p>
            <w:pPr>
              <w:pStyle w:val="TableContents"/>
              <w:spacing w:before="0" w:after="283"/>
              <w:jc w:val="left"/>
              <w:rPr>
                <w:rFonts w:ascii="Arial" w:hAnsi="Arial"/>
                <w:sz w:val="15"/>
              </w:rPr>
            </w:pPr>
            <w:r>
              <w:rPr>
                <w:rFonts w:ascii="Arial" w:hAnsi="Arial"/>
                <w:b/>
                <w:sz w:val="15"/>
              </w:rPr>
              <w:t>OUR BOARD OF DIRECTORS AND CORPORATE GOVERNANCE</w:t>
            </w:r>
            <w:r>
              <w:rPr>
                <w:rFonts w:ascii="Arial" w:hAnsi="Arial"/>
                <w:sz w:val="15"/>
              </w:rPr>
              <w:t xml:space="preserve"> </w:t>
            </w:r>
          </w:p>
        </w:tc>
        <w:tc>
          <w:tcPr>
            <w:tcW w:w="290" w:type="dxa"/>
            <w:tcBorders/>
            <w:shd w:fill="auto" w:val="clear"/>
            <w:vAlign w:val="center"/>
          </w:tcPr>
          <w:p>
            <w:pPr>
              <w:pStyle w:val="TableContents"/>
              <w:spacing w:before="0" w:after="283"/>
              <w:jc w:val="right"/>
              <w:rPr>
                <w:rFonts w:ascii="Arial" w:hAnsi="Arial"/>
                <w:b/>
                <w:color w:val="1A2343"/>
                <w:sz w:val="24"/>
              </w:rPr>
            </w:pPr>
            <w:r>
              <w:rPr>
                <w:rFonts w:ascii="Arial" w:hAnsi="Arial"/>
                <w:b/>
                <w:color w:val="1A2343"/>
                <w:sz w:val="24"/>
              </w:rPr>
              <w:t>39</w:t>
            </w:r>
          </w:p>
        </w:tc>
      </w:tr>
    </w:tbl>
    <w:p>
      <w:pPr>
        <w:pStyle w:val="TextBody"/>
        <w:spacing w:before="0" w:after="0"/>
        <w:jc w:val="left"/>
        <w:rPr>
          <w:rFonts w:ascii="Arial" w:hAnsi="Arial"/>
          <w:b/>
          <w:color w:val="1A2343"/>
          <w:sz w:val="26"/>
        </w:rPr>
      </w:pPr>
      <w:r>
        <w:rPr>
          <w:rFonts w:ascii="Arial" w:hAnsi="Arial"/>
          <w:b/>
          <w:color w:val="1A2343"/>
          <w:sz w:val="26"/>
        </w:rPr>
        <w:t>2022 Director Compensation</w:t>
      </w:r>
    </w:p>
    <w:p>
      <w:pPr>
        <w:pStyle w:val="TextBody"/>
        <w:spacing w:before="0" w:after="0"/>
        <w:jc w:val="left"/>
        <w:rPr>
          <w:rFonts w:ascii="Arial" w:hAnsi="Arial"/>
          <w:sz w:val="20"/>
        </w:rPr>
      </w:pPr>
      <w:r>
        <w:rPr>
          <w:rFonts w:ascii="Arial" w:hAnsi="Arial"/>
          <w:sz w:val="20"/>
        </w:rPr>
        <w:t>Directors of the Company who are also employees receive no additional compensation for their services as directors. The following table sets forth information regarding the compensation paid to our non-employee directors for their service during the fiscal year ended December 31, 2022.</w:t>
      </w:r>
    </w:p>
    <w:p>
      <w:pPr>
        <w:pStyle w:val="TextBody"/>
        <w:spacing w:before="0" w:after="0"/>
        <w:rPr/>
      </w:pPr>
      <w:r>
        <w:rPr/>
      </w:r>
    </w:p>
    <w:tbl>
      <w:tblPr>
        <w:tblW w:w="8753" w:type="dxa"/>
        <w:jc w:val="left"/>
        <w:tblInd w:w="0" w:type="dxa"/>
        <w:tblCellMar>
          <w:top w:w="0" w:type="dxa"/>
          <w:left w:w="0" w:type="dxa"/>
          <w:bottom w:w="40" w:type="dxa"/>
          <w:right w:w="0" w:type="dxa"/>
        </w:tblCellMar>
      </w:tblPr>
      <w:tblGrid>
        <w:gridCol w:w="1835"/>
        <w:gridCol w:w="300"/>
        <w:gridCol w:w="428"/>
        <w:gridCol w:w="716"/>
        <w:gridCol w:w="300"/>
        <w:gridCol w:w="166"/>
        <w:gridCol w:w="948"/>
        <w:gridCol w:w="300"/>
        <w:gridCol w:w="680"/>
        <w:gridCol w:w="300"/>
        <w:gridCol w:w="425"/>
        <w:gridCol w:w="920"/>
        <w:gridCol w:w="300"/>
        <w:gridCol w:w="425"/>
        <w:gridCol w:w="710"/>
      </w:tblGrid>
      <w:tr>
        <w:trPr/>
        <w:tc>
          <w:tcPr>
            <w:tcW w:w="1835"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Name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44"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 xml:space="preserve">Fees Earned or </w:t>
              <w:br/>
              <w:t>Paid in Cash</w:t>
            </w:r>
            <w:r>
              <w:rPr>
                <w:rFonts w:ascii="Arial" w:hAnsi="Arial"/>
                <w:color w:val="1A2343"/>
                <w:position w:val="5"/>
                <w:sz w:val="12"/>
                <w:sz w:val="15"/>
              </w:rPr>
              <w:t>(1)</w:t>
            </w:r>
            <w:r>
              <w:rPr>
                <w:rFonts w:ascii="Arial" w:hAnsi="Arial"/>
                <w:color w:val="1A2343"/>
                <w:sz w:val="15"/>
              </w:rPr>
              <w:b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14"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Stock Awards</w:t>
            </w:r>
            <w:r>
              <w:rPr>
                <w:rFonts w:ascii="Arial" w:hAnsi="Arial"/>
                <w:color w:val="1A2343"/>
                <w:position w:val="5"/>
                <w:sz w:val="12"/>
                <w:sz w:val="15"/>
              </w:rPr>
              <w:t>(2)</w:t>
            </w:r>
            <w:r>
              <w:rPr>
                <w:rFonts w:ascii="Arial" w:hAnsi="Arial"/>
                <w:color w:val="1A2343"/>
                <w:sz w:val="15"/>
              </w:rPr>
              <w:b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680"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 xml:space="preserve">Option </w:t>
              <w:br/>
              <w:t>Awards</w:t>
            </w:r>
            <w:r>
              <w:rPr>
                <w:rFonts w:ascii="Arial" w:hAnsi="Arial"/>
                <w:color w:val="1A2343"/>
                <w:position w:val="5"/>
                <w:sz w:val="12"/>
                <w:sz w:val="15"/>
              </w:rPr>
              <w:t>(3)</w:t>
            </w:r>
            <w:r>
              <w:rPr>
                <w:rFonts w:ascii="Arial" w:hAnsi="Arial"/>
                <w:color w:val="1A2343"/>
                <w:sz w:val="15"/>
              </w:rPr>
              <w:b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34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 xml:space="preserve">All Other </w:t>
              <w:br/>
              <w:t>Compensation</w:t>
              <w:b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3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Total</w:t>
              <w:br/>
              <w:t>($)</w:t>
            </w:r>
          </w:p>
        </w:tc>
      </w:tr>
      <w:tr>
        <w:trPr/>
        <w:tc>
          <w:tcPr>
            <w:tcW w:w="183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John H. Alschuler</w:t>
            </w:r>
          </w:p>
        </w:tc>
        <w:tc>
          <w:tcPr>
            <w:tcW w:w="300" w:type="dxa"/>
            <w:tcBorders/>
            <w:shd w:fill="auto" w:val="clear"/>
            <w:tcMar>
              <w:bottom w:w="0" w:type="dxa"/>
            </w:tcMar>
            <w:vAlign w:val="center"/>
          </w:tcPr>
          <w:p>
            <w:pPr>
              <w:pStyle w:val="TableContents"/>
              <w:spacing w:before="0" w:after="283"/>
              <w:jc w:val="left"/>
              <w:rPr/>
            </w:pPr>
            <w:r>
              <w:rPr/>
              <w:t>     </w:t>
            </w:r>
          </w:p>
        </w:tc>
        <w:tc>
          <w:tcPr>
            <w:tcW w:w="428"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     </w:t>
            </w:r>
          </w:p>
        </w:tc>
        <w:tc>
          <w:tcPr>
            <w:tcW w:w="716"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127,500</w:t>
            </w:r>
          </w:p>
        </w:tc>
        <w:tc>
          <w:tcPr>
            <w:tcW w:w="300" w:type="dxa"/>
            <w:tcBorders/>
            <w:shd w:fill="auto" w:val="clear"/>
            <w:tcMar>
              <w:bottom w:w="0" w:type="dxa"/>
            </w:tcMar>
            <w:vAlign w:val="center"/>
          </w:tcPr>
          <w:p>
            <w:pPr>
              <w:pStyle w:val="TableContents"/>
              <w:spacing w:before="0" w:after="283"/>
              <w:jc w:val="left"/>
              <w:rPr/>
            </w:pPr>
            <w:r>
              <w:rPr/>
              <w:t>     </w:t>
            </w:r>
          </w:p>
        </w:tc>
        <w:tc>
          <w:tcPr>
            <w:tcW w:w="166"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48"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235,000</w:t>
            </w:r>
          </w:p>
        </w:tc>
        <w:tc>
          <w:tcPr>
            <w:tcW w:w="300" w:type="dxa"/>
            <w:tcBorders/>
            <w:shd w:fill="auto" w:val="clear"/>
            <w:tcMar>
              <w:bottom w:w="0" w:type="dxa"/>
            </w:tcMar>
            <w:vAlign w:val="center"/>
          </w:tcPr>
          <w:p>
            <w:pPr>
              <w:pStyle w:val="TableContents"/>
              <w:spacing w:before="0" w:after="283"/>
              <w:jc w:val="right"/>
              <w:rPr/>
            </w:pPr>
            <w:r>
              <w:rPr/>
              <w:t>     </w:t>
            </w:r>
          </w:p>
        </w:tc>
        <w:tc>
          <w:tcPr>
            <w:tcW w:w="6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jc w:val="left"/>
              <w:rPr/>
            </w:pPr>
            <w:r>
              <w:rPr/>
              <w:t>     </w:t>
            </w:r>
          </w:p>
        </w:tc>
        <w:tc>
          <w:tcPr>
            <w:tcW w:w="4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2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jc w:val="left"/>
              <w:rPr/>
            </w:pPr>
            <w:r>
              <w:rPr/>
              <w:t>     </w:t>
            </w:r>
          </w:p>
        </w:tc>
        <w:tc>
          <w:tcPr>
            <w:tcW w:w="4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     </w:t>
            </w:r>
          </w:p>
        </w:tc>
        <w:tc>
          <w:tcPr>
            <w:tcW w:w="71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362,500</w:t>
            </w:r>
          </w:p>
        </w:tc>
      </w:tr>
      <w:tr>
        <w:trPr/>
        <w:tc>
          <w:tcPr>
            <w:tcW w:w="183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Betsy S. Atkins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8"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716"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77,000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66"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48"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235,000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2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71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312,000</w:t>
            </w:r>
          </w:p>
        </w:tc>
      </w:tr>
      <w:tr>
        <w:trPr/>
        <w:tc>
          <w:tcPr>
            <w:tcW w:w="183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Carol N. Brown</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8"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716"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45,000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66"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48"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235,000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20"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71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280,000</w:t>
            </w:r>
          </w:p>
        </w:tc>
      </w:tr>
      <w:tr>
        <w:trPr/>
        <w:tc>
          <w:tcPr>
            <w:tcW w:w="183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Edwin T. Burton, III</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8"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716"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103,500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66"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48"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235,000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2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71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338,500</w:t>
            </w:r>
          </w:p>
        </w:tc>
      </w:tr>
      <w:tr>
        <w:trPr/>
        <w:tc>
          <w:tcPr>
            <w:tcW w:w="183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Lauren B. Dillard</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8"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716"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113,500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66"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48"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235,000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2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71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348,500</w:t>
            </w:r>
          </w:p>
        </w:tc>
      </w:tr>
      <w:tr>
        <w:trPr/>
        <w:tc>
          <w:tcPr>
            <w:tcW w:w="183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Stephen L. Green</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8"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716"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57,500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66"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48"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235,000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     </w:t>
            </w:r>
          </w:p>
        </w:tc>
        <w:tc>
          <w:tcPr>
            <w:tcW w:w="92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433,332</w:t>
            </w:r>
            <w:r>
              <w:rPr>
                <w:rFonts w:ascii="Arial" w:hAnsi="Arial"/>
                <w:position w:val="7"/>
                <w:sz w:val="16"/>
                <w:sz w:val="20"/>
              </w:rPr>
              <w:t>(4)</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71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725,832</w:t>
            </w:r>
          </w:p>
        </w:tc>
      </w:tr>
      <w:tr>
        <w:trPr/>
        <w:tc>
          <w:tcPr>
            <w:tcW w:w="183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Craig M. Hatkoff</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8"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716"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80,500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66"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48"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235,000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2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71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315,500</w:t>
            </w:r>
          </w:p>
        </w:tc>
      </w:tr>
      <w:tr>
        <w:trPr/>
        <w:tc>
          <w:tcPr>
            <w:tcW w:w="1835" w:type="dxa"/>
            <w:tcBorders>
              <w:bottom w:val="single" w:sz="12" w:space="0" w:color="000000"/>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John S. Levy</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8" w:type="dxa"/>
            <w:tcBorders>
              <w:bottom w:val="single" w:sz="12"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716" w:type="dxa"/>
            <w:tcBorders>
              <w:bottom w:val="single" w:sz="12"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60,500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66" w:type="dxa"/>
            <w:tcBorders>
              <w:bottom w:val="single" w:sz="12"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48" w:type="dxa"/>
            <w:tcBorders>
              <w:bottom w:val="single" w:sz="12"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235,000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680"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20"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12"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710" w:type="dxa"/>
            <w:tcBorders>
              <w:bottom w:val="single" w:sz="12"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295,500</w:t>
            </w:r>
          </w:p>
        </w:tc>
      </w:tr>
    </w:tbl>
    <w:tbl>
      <w:tblPr>
        <w:tblW w:w="10205" w:type="dxa"/>
        <w:jc w:val="left"/>
        <w:tblInd w:w="0" w:type="dxa"/>
        <w:tblCellMar>
          <w:top w:w="0" w:type="dxa"/>
          <w:left w:w="0" w:type="dxa"/>
          <w:bottom w:w="0" w:type="dxa"/>
          <w:right w:w="0" w:type="dxa"/>
        </w:tblCellMar>
      </w:tblPr>
      <w:tblGrid>
        <w:gridCol w:w="146"/>
        <w:gridCol w:w="10059"/>
      </w:tblGrid>
      <w:tr>
        <w:trPr/>
        <w:tc>
          <w:tcPr>
            <w:tcW w:w="146" w:type="dxa"/>
            <w:tcBorders/>
            <w:shd w:fill="auto" w:val="clear"/>
            <w:vAlign w:val="center"/>
          </w:tcPr>
          <w:p>
            <w:pPr>
              <w:pStyle w:val="TableContents"/>
              <w:spacing w:before="0" w:after="283"/>
              <w:rPr>
                <w:sz w:val="14"/>
              </w:rPr>
            </w:pPr>
            <w:r>
              <w:rPr>
                <w:sz w:val="14"/>
              </w:rPr>
              <w:t>(1)</w:t>
            </w:r>
          </w:p>
        </w:tc>
        <w:tc>
          <w:tcPr>
            <w:tcW w:w="10059" w:type="dxa"/>
            <w:tcBorders/>
            <w:shd w:fill="auto" w:val="clear"/>
            <w:vAlign w:val="center"/>
          </w:tcPr>
          <w:p>
            <w:pPr>
              <w:pStyle w:val="TableContents"/>
              <w:spacing w:before="0" w:after="283"/>
              <w:rPr/>
            </w:pPr>
            <w:r>
              <w:rPr/>
              <w:t>Mr. Levy and Ms. Dillard deferred all of their 2022 cash compensation and Mr. Alschuler deferred $60,000 of his 2022 cash compensation pursuant to our Non-Employee Directors’ Deferral Program. Mr. Hatkoff elected to receive $25,000 of his 2022 cash compensation in the form of shares of our common stock. Accordingly, our non-employee directors received the following shares of our common stock or phantom stock units with respect to the portion of their 2022 cash compensation that they elected to defer or receive in stock, as applicable: Mr. Alschuler received 1,068 units, Ms. Dillard received 4,399 units, Mr. Levy received 7,052 units and Mr. Hatkoff received 445 shares.</w:t>
            </w:r>
          </w:p>
        </w:tc>
      </w:tr>
      <w:tr>
        <w:trPr/>
        <w:tc>
          <w:tcPr>
            <w:tcW w:w="146" w:type="dxa"/>
            <w:tcBorders/>
            <w:shd w:fill="auto" w:val="clear"/>
            <w:vAlign w:val="center"/>
          </w:tcPr>
          <w:p>
            <w:pPr>
              <w:pStyle w:val="TableContents"/>
              <w:spacing w:before="0" w:after="283"/>
              <w:rPr>
                <w:sz w:val="14"/>
              </w:rPr>
            </w:pPr>
            <w:r>
              <w:rPr>
                <w:sz w:val="14"/>
              </w:rPr>
              <w:t>(2)</w:t>
            </w:r>
          </w:p>
        </w:tc>
        <w:tc>
          <w:tcPr>
            <w:tcW w:w="10059" w:type="dxa"/>
            <w:tcBorders/>
            <w:shd w:fill="auto" w:val="clear"/>
            <w:vAlign w:val="center"/>
          </w:tcPr>
          <w:p>
            <w:pPr>
              <w:pStyle w:val="TableContents"/>
              <w:spacing w:before="0" w:after="283"/>
              <w:rPr/>
            </w:pPr>
            <w:r>
              <w:rPr/>
              <w:t>Amounts shown reflect the full grant date fair value on the date of grant of shares of our common stock or phantom stock units granted to the directors in 2022, excluding shares of our common stock and phantom stock units credited in lieu of annual fees and meeting fees.</w:t>
            </w:r>
          </w:p>
        </w:tc>
      </w:tr>
      <w:tr>
        <w:trPr/>
        <w:tc>
          <w:tcPr>
            <w:tcW w:w="146" w:type="dxa"/>
            <w:tcBorders/>
            <w:shd w:fill="auto" w:val="clear"/>
            <w:vAlign w:val="center"/>
          </w:tcPr>
          <w:p>
            <w:pPr>
              <w:pStyle w:val="TableContents"/>
              <w:spacing w:before="0" w:after="283"/>
              <w:rPr>
                <w:sz w:val="14"/>
              </w:rPr>
            </w:pPr>
            <w:r>
              <w:rPr>
                <w:sz w:val="14"/>
              </w:rPr>
              <w:t>(3)</w:t>
            </w:r>
          </w:p>
        </w:tc>
        <w:tc>
          <w:tcPr>
            <w:tcW w:w="10059" w:type="dxa"/>
            <w:tcBorders/>
            <w:shd w:fill="auto" w:val="clear"/>
            <w:vAlign w:val="center"/>
          </w:tcPr>
          <w:p>
            <w:pPr>
              <w:pStyle w:val="TableContents"/>
              <w:spacing w:before="0" w:after="283"/>
              <w:rPr/>
            </w:pPr>
            <w:r>
              <w:rPr/>
              <w:t>There were no stock options granted to members of the Board in 2022. At December 31, 2022, the aggregate number of option awards held by our non-employee directors was as follows: Mr. Alschuler—8,500; and Mr. Levy—8,500.</w:t>
            </w:r>
          </w:p>
        </w:tc>
      </w:tr>
      <w:tr>
        <w:trPr/>
        <w:tc>
          <w:tcPr>
            <w:tcW w:w="146" w:type="dxa"/>
            <w:tcBorders/>
            <w:shd w:fill="auto" w:val="clear"/>
            <w:vAlign w:val="center"/>
          </w:tcPr>
          <w:p>
            <w:pPr>
              <w:pStyle w:val="TableContents"/>
              <w:spacing w:before="0" w:after="283"/>
              <w:rPr>
                <w:sz w:val="14"/>
              </w:rPr>
            </w:pPr>
            <w:r>
              <w:rPr>
                <w:sz w:val="14"/>
              </w:rPr>
              <w:t>(4)</w:t>
            </w:r>
          </w:p>
        </w:tc>
        <w:tc>
          <w:tcPr>
            <w:tcW w:w="10059" w:type="dxa"/>
            <w:tcBorders/>
            <w:shd w:fill="auto" w:val="clear"/>
            <w:vAlign w:val="center"/>
          </w:tcPr>
          <w:p>
            <w:pPr>
              <w:pStyle w:val="TableContents"/>
              <w:spacing w:before="0" w:after="283"/>
              <w:rPr/>
            </w:pPr>
            <w:r>
              <w:rPr/>
              <w:t>Represents monthly retainer fees paid pursuant to the chairman emeritus agreement we entered into with Mr. Green in connection with his retirement as Chairman of the Company in January 2019, as amended by a letter agreement in March 2022. Under the letter agreement, Mr. Green will receive reduced monthly retainer fees for 2022 and 2023, and will cease to receive any retainer fee beginning January 1, 2024. Further information on the agreement can be found in the section entitled “Certain Relationships and Related Party Transactions—Chairman Emeritus Agreement” on page 88.</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F3F6EA" w:val="clear"/>
            <w:vAlign w:val="center"/>
          </w:tcPr>
          <w:p>
            <w:pPr>
              <w:pStyle w:val="TableContents"/>
              <w:spacing w:before="0" w:after="283"/>
              <w:jc w:val="left"/>
              <w:rPr>
                <w:rFonts w:ascii="Arial" w:hAnsi="Arial"/>
                <w:sz w:val="20"/>
              </w:rPr>
            </w:pPr>
            <w:r>
              <w:rPr>
                <w:rFonts w:ascii="Arial" w:hAnsi="Arial"/>
                <w:sz w:val="20"/>
              </w:rPr>
              <w:t>Since 2019, we have reduced the value of the annual stock grant to directors by $65,000, or 21.7%, from $300,000 to $235,000 and reduced the cash retainer paid for serving as our Lead Independent Director by $15,000, or 17.6%, from $85,000 to $70,000.</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b/>
          <w:color w:val="1A2343"/>
          <w:sz w:val="24"/>
        </w:rPr>
      </w:pPr>
      <w:r>
        <w:rPr>
          <w:rFonts w:ascii="Arial" w:hAnsi="Arial"/>
          <w:b/>
          <w:color w:val="1A2343"/>
          <w:sz w:val="24"/>
        </w:rPr>
        <w:t>40</w:t>
      </w:r>
    </w:p>
    <w:p>
      <w:pPr>
        <w:pStyle w:val="TextBody"/>
        <w:jc w:val="left"/>
        <w:rPr>
          <w:rFonts w:ascii="Arial" w:hAnsi="Arial"/>
          <w:b/>
          <w:color w:val="1A2343"/>
          <w:sz w:val="42"/>
        </w:rPr>
      </w:pPr>
      <w:bookmarkStart w:id="16" w:name="pg_EXECUTIVEOFFICERS"/>
      <w:bookmarkEnd w:id="16"/>
      <w:r>
        <w:rPr>
          <w:rFonts w:ascii="Arial" w:hAnsi="Arial"/>
          <w:b/>
          <w:color w:val="1A2343"/>
          <w:sz w:val="42"/>
        </w:rPr>
        <w:t>EXECUTIVE OFFICERS</w:t>
      </w:r>
    </w:p>
    <w:p>
      <w:pPr>
        <w:pStyle w:val="TextBody"/>
        <w:jc w:val="left"/>
        <w:rPr>
          <w:rFonts w:ascii="Arial" w:hAnsi="Arial"/>
          <w:sz w:val="20"/>
        </w:rPr>
      </w:pPr>
      <w:r>
        <w:rPr>
          <w:rFonts w:ascii="Arial" w:hAnsi="Arial"/>
          <w:sz w:val="20"/>
        </w:rPr>
        <w:t>The following sets forth biographical information regarding our executive officers who are not also directors.</w:t>
      </w:r>
    </w:p>
    <w:tbl>
      <w:tblPr>
        <w:tblW w:w="10205" w:type="dxa"/>
        <w:jc w:val="left"/>
        <w:tblInd w:w="0" w:type="dxa"/>
        <w:tblCellMar>
          <w:top w:w="0" w:type="dxa"/>
          <w:left w:w="0" w:type="dxa"/>
          <w:bottom w:w="0" w:type="dxa"/>
          <w:right w:w="0" w:type="dxa"/>
        </w:tblCellMar>
      </w:tblPr>
      <w:tblGrid>
        <w:gridCol w:w="307"/>
        <w:gridCol w:w="1540"/>
        <w:gridCol w:w="180"/>
        <w:gridCol w:w="180"/>
        <w:gridCol w:w="7998"/>
      </w:tblGrid>
      <w:tr>
        <w:trPr/>
        <w:tc>
          <w:tcPr>
            <w:tcW w:w="307" w:type="dxa"/>
            <w:tcBorders/>
            <w:shd w:fill="auto" w:val="clear"/>
            <w:vAlign w:val="center"/>
          </w:tcPr>
          <w:p>
            <w:pPr>
              <w:pStyle w:val="TableContents"/>
              <w:spacing w:before="0" w:after="283"/>
              <w:rPr/>
            </w:pPr>
            <w:r>
              <w:rPr/>
              <w:t>   </w:t>
            </w:r>
          </w:p>
        </w:tc>
        <w:tc>
          <w:tcPr>
            <w:tcW w:w="1540" w:type="dxa"/>
            <w:tcBorders>
              <w:top w:val="single" w:sz="32" w:space="0" w:color="8EAD3C"/>
              <w:left w:val="single" w:sz="32" w:space="0" w:color="8EAD3C"/>
            </w:tcBorders>
            <w:shd w:fill="auto" w:val="clear"/>
            <w:tcMar>
              <w:top w:w="28" w:type="dxa"/>
              <w:left w:w="28" w:type="dxa"/>
            </w:tcMar>
            <w:vAlign w:val="center"/>
          </w:tcPr>
          <w:p>
            <w:pPr>
              <w:pStyle w:val="TableContents"/>
              <w:spacing w:before="0" w:after="283"/>
              <w:rPr/>
            </w:pPr>
            <w:r>
              <w:rPr/>
              <w:t>               </w:t>
            </w:r>
          </w:p>
        </w:tc>
        <w:tc>
          <w:tcPr>
            <w:tcW w:w="180" w:type="dxa"/>
            <w:tcBorders>
              <w:top w:val="single" w:sz="32" w:space="0" w:color="8EAD3C"/>
              <w:right w:val="single" w:sz="32" w:space="0" w:color="8EAD3C"/>
            </w:tcBorders>
            <w:shd w:fill="auto" w:val="clear"/>
            <w:tcMar>
              <w:top w:w="28" w:type="dxa"/>
              <w:right w:w="28" w:type="dxa"/>
            </w:tcM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7998" w:type="dxa"/>
            <w:tcBorders/>
            <w:shd w:fill="auto" w:val="clear"/>
            <w:vAlign w:val="center"/>
          </w:tcPr>
          <w:p>
            <w:pPr>
              <w:pStyle w:val="TableContents"/>
              <w:spacing w:before="0" w:after="283"/>
              <w:rPr>
                <w:sz w:val="4"/>
                <w:szCs w:val="4"/>
              </w:rPr>
            </w:pPr>
            <w:r>
              <w:rPr>
                <w:sz w:val="4"/>
                <w:szCs w:val="4"/>
              </w:rPr>
            </w:r>
          </w:p>
        </w:tc>
      </w:tr>
      <w:tr>
        <w:trPr/>
        <w:tc>
          <w:tcPr>
            <w:tcW w:w="1847" w:type="dxa"/>
            <w:gridSpan w:val="2"/>
            <w:tcBorders/>
            <w:shd w:fill="1A2343" w:val="clear"/>
            <w:vAlign w:val="center"/>
          </w:tcPr>
          <w:p>
            <w:pPr>
              <w:pStyle w:val="TableContents"/>
              <w:jc w:val="left"/>
              <w:rPr>
                <w:rFonts w:ascii="Arial" w:hAnsi="Arial"/>
                <w:b/>
                <w:color w:val="FFFFFF"/>
                <w:sz w:val="24"/>
              </w:rPr>
            </w:pPr>
            <w:r>
              <w:rPr>
                <w:rFonts w:ascii="Arial" w:hAnsi="Arial"/>
                <w:b/>
                <w:color w:val="FFFFFF"/>
                <w:sz w:val="24"/>
              </w:rPr>
              <w:t>MATTHEW J. DILIBERTO</w:t>
            </w:r>
          </w:p>
          <w:p>
            <w:pPr>
              <w:pStyle w:val="TableContents"/>
              <w:jc w:val="center"/>
              <w:rPr/>
            </w:pPr>
            <w:r>
              <w:rPr/>
              <w:drawing>
                <wp:inline distT="0" distB="0" distL="0" distR="0">
                  <wp:extent cx="990600" cy="4352925"/>
                  <wp:effectExtent l="0" t="0" r="0" b="0"/>
                  <wp:docPr id="411"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278" descr=""/>
                          <pic:cNvPicPr>
                            <a:picLocks noChangeAspect="1" noChangeArrowheads="1"/>
                          </pic:cNvPicPr>
                        </pic:nvPicPr>
                        <pic:blipFill>
                          <a:blip r:embed="rId279"/>
                          <a:srcRect l="-317" t="-231" r="-317" b="-231"/>
                          <a:stretch>
                            <a:fillRect/>
                          </a:stretch>
                        </pic:blipFill>
                        <pic:spPr bwMode="auto">
                          <a:xfrm>
                            <a:off x="0" y="0"/>
                            <a:ext cx="990600" cy="4352925"/>
                          </a:xfrm>
                          <a:prstGeom prst="rect">
                            <a:avLst/>
                          </a:prstGeom>
                          <a:ln w="635">
                            <a:solidFill>
                              <a:srgbClr val="000000"/>
                            </a:solidFill>
                          </a:ln>
                        </pic:spPr>
                      </pic:pic>
                    </a:graphicData>
                  </a:graphic>
                </wp:inline>
              </w:drawing>
            </w:r>
          </w:p>
          <w:p>
            <w:pPr>
              <w:pStyle w:val="TableContents"/>
              <w:jc w:val="left"/>
              <w:rPr>
                <w:rFonts w:ascii="Arial" w:hAnsi="Arial"/>
                <w:b/>
                <w:color w:val="FFFFFF"/>
                <w:sz w:val="20"/>
              </w:rPr>
            </w:pPr>
            <w:r>
              <w:rPr>
                <w:rFonts w:ascii="Arial" w:hAnsi="Arial"/>
                <w:b/>
                <w:color w:val="FFFFFF"/>
                <w:sz w:val="20"/>
              </w:rPr>
              <w:t>Chief Financial Officer</w:t>
            </w:r>
          </w:p>
          <w:p>
            <w:pPr>
              <w:pStyle w:val="TableContents"/>
              <w:jc w:val="left"/>
              <w:rPr/>
            </w:pPr>
            <w:r>
              <w:rPr>
                <w:rFonts w:ascii="Arial" w:hAnsi="Arial"/>
                <w:color w:val="FFFFFF"/>
                <w:sz w:val="20"/>
              </w:rPr>
              <w:t xml:space="preserve">Executive Officer Since: </w:t>
            </w:r>
            <w:r>
              <w:rPr>
                <w:rFonts w:ascii="Arial" w:hAnsi="Arial"/>
                <w:b/>
                <w:color w:val="FFFFFF"/>
                <w:sz w:val="20"/>
              </w:rPr>
              <w:t>2015</w:t>
            </w:r>
          </w:p>
          <w:p>
            <w:pPr>
              <w:pStyle w:val="TableContents"/>
              <w:spacing w:before="0" w:after="283"/>
              <w:jc w:val="left"/>
              <w:rPr/>
            </w:pPr>
            <w:r>
              <w:rPr>
                <w:rFonts w:ascii="Arial" w:hAnsi="Arial"/>
                <w:color w:val="FFFFFF"/>
                <w:sz w:val="20"/>
              </w:rPr>
              <w:t xml:space="preserve">Age: </w:t>
            </w:r>
            <w:r>
              <w:rPr>
                <w:rFonts w:ascii="Arial" w:hAnsi="Arial"/>
                <w:b/>
                <w:color w:val="FFFFFF"/>
                <w:sz w:val="20"/>
              </w:rPr>
              <w:t>48</w:t>
            </w:r>
          </w:p>
        </w:tc>
        <w:tc>
          <w:tcPr>
            <w:tcW w:w="180" w:type="dxa"/>
            <w:tcBorders>
              <w:right w:val="single" w:sz="32" w:space="0" w:color="8EAD3C"/>
            </w:tcBorders>
            <w:shd w:fill="auto" w:val="clear"/>
            <w:tcMar>
              <w:right w:w="28" w:type="dxa"/>
            </w:tcM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998" w:type="dxa"/>
            <w:tcBorders/>
            <w:shd w:fill="auto" w:val="clear"/>
            <w:vAlign w:val="center"/>
          </w:tcPr>
          <w:p>
            <w:pPr>
              <w:pStyle w:val="TableContents"/>
              <w:spacing w:before="0" w:after="0"/>
              <w:ind w:left="0" w:right="0" w:hanging="290"/>
              <w:jc w:val="both"/>
              <w:rPr/>
            </w:pPr>
            <w:r>
              <w:rPr/>
              <w:t>●</w:t>
            </w:r>
            <w:r>
              <w:rPr>
                <w:rFonts w:ascii="Arial" w:hAnsi="Arial"/>
                <w:sz w:val="20"/>
              </w:rPr>
              <w:t>Mr. DiLiberto joined the Company in September 2004 and currently serves as the Company’s Chief Financial Officer, overseeing the finance, accounting, tax, investor relations and corporate capital markets functions of the organization.</w:t>
            </w:r>
          </w:p>
          <w:p>
            <w:pPr>
              <w:pStyle w:val="TableContents"/>
              <w:spacing w:before="0" w:after="0"/>
              <w:ind w:left="0" w:right="0" w:hanging="290"/>
              <w:jc w:val="both"/>
              <w:rPr/>
            </w:pPr>
            <w:r>
              <w:rPr/>
              <w:t>●</w:t>
            </w:r>
            <w:r>
              <w:rPr>
                <w:rFonts w:ascii="Arial" w:hAnsi="Arial"/>
                <w:sz w:val="20"/>
              </w:rPr>
              <w:t>Mr. DiLiberto previously served as the Company’s Chief Accounting Officer &amp; Treasurer from 2007 to 2014.</w:t>
            </w:r>
          </w:p>
          <w:p>
            <w:pPr>
              <w:pStyle w:val="TableContents"/>
              <w:spacing w:before="0" w:after="0"/>
              <w:ind w:left="0" w:right="0" w:hanging="290"/>
              <w:jc w:val="both"/>
              <w:rPr/>
            </w:pPr>
            <w:r>
              <w:rPr/>
              <w:t>●</w:t>
            </w:r>
            <w:r>
              <w:rPr>
                <w:rFonts w:ascii="Arial" w:hAnsi="Arial"/>
                <w:sz w:val="20"/>
              </w:rPr>
              <w:t>From June 2000 to September 2004, Mr. DiLiberto was with Roseland, New Jersey-based Chelsea Property Group, now a division of Simon Property Group, a REIT focused on the development and ownership of premium outlet centers, where he was a Controller and Director of Information Management.</w:t>
            </w:r>
          </w:p>
          <w:p>
            <w:pPr>
              <w:pStyle w:val="TableContents"/>
              <w:spacing w:before="0" w:after="0"/>
              <w:ind w:left="0" w:right="0" w:hanging="290"/>
              <w:jc w:val="both"/>
              <w:rPr/>
            </w:pPr>
            <w:r>
              <w:rPr/>
              <w:t>●</w:t>
            </w:r>
            <w:r>
              <w:rPr>
                <w:rFonts w:ascii="Arial" w:hAnsi="Arial"/>
                <w:sz w:val="20"/>
              </w:rPr>
              <w:t>From August 1998 to June 2000, Mr. DiLiberto worked at New York-based Vornado Realty Trust, a diversified REIT with ownership interests in office, retail, and other property types, where he worked as a Senior Financial Analyst focusing on accounting and controls as well as the preparation of high-level management reports and SEC filings.</w:t>
            </w:r>
          </w:p>
          <w:p>
            <w:pPr>
              <w:pStyle w:val="TableContents"/>
              <w:spacing w:before="0" w:after="0"/>
              <w:ind w:left="0" w:right="0" w:hanging="290"/>
              <w:jc w:val="both"/>
              <w:rPr/>
            </w:pPr>
            <w:r>
              <w:rPr/>
              <w:t>●</w:t>
            </w:r>
            <w:r>
              <w:rPr>
                <w:rFonts w:ascii="Arial" w:hAnsi="Arial"/>
                <w:sz w:val="20"/>
              </w:rPr>
              <w:t>Prior to joining Vornado Realty Trust, Mr. DiLiberto worked as a Business Assurance Associate at Coopers and Lybrand, LLP (now PricewaterhouseCoopers LLP).</w:t>
            </w:r>
          </w:p>
          <w:p>
            <w:pPr>
              <w:pStyle w:val="TableContents"/>
              <w:spacing w:before="0" w:after="0"/>
              <w:ind w:left="0" w:right="0" w:hanging="290"/>
              <w:jc w:val="both"/>
              <w:rPr/>
            </w:pPr>
            <w:r>
              <w:rPr/>
              <w:t>●</w:t>
            </w:r>
            <w:r>
              <w:rPr>
                <w:rFonts w:ascii="Arial" w:hAnsi="Arial"/>
                <w:sz w:val="20"/>
              </w:rPr>
              <w:t>Mr. DiLiberto currently serves as Vice Chairman of the Board of Directors of the FDNY Foundation, and has been a firefighter and EMT in New Jersey since 1997.</w:t>
            </w:r>
          </w:p>
          <w:p>
            <w:pPr>
              <w:pStyle w:val="TableContents"/>
              <w:spacing w:before="0" w:after="0"/>
              <w:ind w:left="0" w:right="0" w:hanging="290"/>
              <w:jc w:val="both"/>
              <w:rPr/>
            </w:pPr>
            <w:r>
              <w:rPr/>
              <w:t>●</w:t>
            </w:r>
            <w:r>
              <w:rPr>
                <w:rFonts w:ascii="Arial" w:hAnsi="Arial"/>
                <w:sz w:val="20"/>
              </w:rPr>
              <w:t>Mr. DiLiberto received a B.S. degree in Accounting from The University of Scranton.</w:t>
            </w:r>
          </w:p>
        </w:tc>
      </w:tr>
      <w:tr>
        <w:trPr/>
        <w:tc>
          <w:tcPr>
            <w:tcW w:w="307" w:type="dxa"/>
            <w:tcBorders/>
            <w:shd w:fill="auto" w:val="clear"/>
            <w:vAlign w:val="center"/>
          </w:tcPr>
          <w:p>
            <w:pPr>
              <w:pStyle w:val="TableContents"/>
              <w:spacing w:before="0" w:after="283"/>
              <w:rPr/>
            </w:pPr>
            <w:r>
              <w:rPr/>
              <w:t> </w:t>
            </w:r>
          </w:p>
        </w:tc>
        <w:tc>
          <w:tcPr>
            <w:tcW w:w="1540" w:type="dxa"/>
            <w:tcBorders>
              <w:left w:val="single" w:sz="32" w:space="0" w:color="8EAD3C"/>
              <w:bottom w:val="single" w:sz="32" w:space="0" w:color="8EAD3C"/>
            </w:tcBorders>
            <w:shd w:fill="auto" w:val="clear"/>
            <w:tcMar>
              <w:left w:w="28" w:type="dxa"/>
              <w:bottom w:w="28" w:type="dxa"/>
            </w:tcMar>
            <w:vAlign w:val="center"/>
          </w:tcPr>
          <w:p>
            <w:pPr>
              <w:pStyle w:val="TableContents"/>
              <w:spacing w:before="0" w:after="283"/>
              <w:rPr/>
            </w:pPr>
            <w:r>
              <w:rPr/>
              <w:t> </w:t>
            </w:r>
          </w:p>
        </w:tc>
        <w:tc>
          <w:tcPr>
            <w:tcW w:w="180" w:type="dxa"/>
            <w:tcBorders>
              <w:bottom w:val="single" w:sz="32" w:space="0" w:color="8EAD3C"/>
              <w:right w:val="single" w:sz="32" w:space="0" w:color="8EAD3C"/>
            </w:tcBorders>
            <w:shd w:fill="auto" w:val="clear"/>
            <w:tcMar>
              <w:bottom w:w="28" w:type="dxa"/>
              <w:right w:w="28" w:type="dxa"/>
            </w:tcM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sz w:val="4"/>
                <w:szCs w:val="4"/>
              </w:rPr>
            </w:pPr>
            <w:r>
              <w:rPr>
                <w:sz w:val="4"/>
                <w:szCs w:val="4"/>
              </w:rPr>
            </w:r>
          </w:p>
        </w:tc>
        <w:tc>
          <w:tcPr>
            <w:tcW w:w="7998" w:type="dxa"/>
            <w:tcBorders/>
            <w:shd w:fill="auto" w:val="clear"/>
            <w:vAlign w:val="center"/>
          </w:tcPr>
          <w:p>
            <w:pPr>
              <w:pStyle w:val="TableContents"/>
              <w:spacing w:before="0" w:after="283"/>
              <w:rPr/>
            </w:pPr>
            <w:r>
              <w:rPr/>
              <w:t> </w:t>
            </w:r>
          </w:p>
        </w:tc>
      </w:tr>
      <w:tr>
        <w:trPr/>
        <w:tc>
          <w:tcPr>
            <w:tcW w:w="307" w:type="dxa"/>
            <w:tcBorders/>
            <w:shd w:fill="auto" w:val="clear"/>
            <w:vAlign w:val="center"/>
          </w:tcPr>
          <w:p>
            <w:pPr>
              <w:pStyle w:val="TableContents"/>
              <w:spacing w:before="0" w:after="283"/>
              <w:rPr/>
            </w:pPr>
            <w:r>
              <w:rPr/>
              <w:t> </w:t>
            </w:r>
          </w:p>
        </w:tc>
        <w:tc>
          <w:tcPr>
            <w:tcW w:w="154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7998" w:type="dxa"/>
            <w:tcBorders>
              <w:bottom w:val="single" w:sz="8" w:space="0" w:color="8EAD3C"/>
            </w:tcBorders>
            <w:shd w:fill="auto" w:val="clear"/>
            <w:tcMar>
              <w:bottom w:w="28" w:type="dxa"/>
            </w:tcMar>
            <w:vAlign w:val="center"/>
          </w:tcPr>
          <w:p>
            <w:pPr>
              <w:pStyle w:val="TableContents"/>
              <w:spacing w:before="0" w:after="283"/>
              <w:rPr>
                <w:sz w:val="4"/>
                <w:szCs w:val="4"/>
              </w:rPr>
            </w:pPr>
            <w:r>
              <w:rPr>
                <w:sz w:val="4"/>
                <w:szCs w:val="4"/>
              </w:rPr>
            </w:r>
          </w:p>
        </w:tc>
      </w:tr>
      <w:tr>
        <w:trPr/>
        <w:tc>
          <w:tcPr>
            <w:tcW w:w="307" w:type="dxa"/>
            <w:tcBorders/>
            <w:shd w:fill="auto" w:val="clear"/>
            <w:vAlign w:val="center"/>
          </w:tcPr>
          <w:p>
            <w:pPr>
              <w:pStyle w:val="TableContents"/>
              <w:spacing w:before="0" w:after="283"/>
              <w:rPr/>
            </w:pPr>
            <w:r>
              <w:rPr/>
              <w:t> </w:t>
            </w:r>
          </w:p>
        </w:tc>
        <w:tc>
          <w:tcPr>
            <w:tcW w:w="154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7998" w:type="dxa"/>
            <w:tcBorders/>
            <w:shd w:fill="auto"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342"/>
        <w:gridCol w:w="1713"/>
        <w:gridCol w:w="180"/>
        <w:gridCol w:w="180"/>
        <w:gridCol w:w="7790"/>
      </w:tblGrid>
      <w:tr>
        <w:trPr/>
        <w:tc>
          <w:tcPr>
            <w:tcW w:w="342" w:type="dxa"/>
            <w:tcBorders/>
            <w:shd w:fill="auto" w:val="clear"/>
            <w:vAlign w:val="center"/>
          </w:tcPr>
          <w:p>
            <w:pPr>
              <w:pStyle w:val="TableContents"/>
              <w:spacing w:before="0" w:after="283"/>
              <w:rPr/>
            </w:pPr>
            <w:r>
              <w:rPr/>
              <w:t>   </w:t>
            </w:r>
          </w:p>
        </w:tc>
        <w:tc>
          <w:tcPr>
            <w:tcW w:w="1713" w:type="dxa"/>
            <w:tcBorders>
              <w:top w:val="single" w:sz="32" w:space="0" w:color="8EAD3C"/>
              <w:left w:val="single" w:sz="32" w:space="0" w:color="8EAD3C"/>
            </w:tcBorders>
            <w:shd w:fill="auto" w:val="clear"/>
            <w:tcMar>
              <w:top w:w="28" w:type="dxa"/>
              <w:left w:w="28" w:type="dxa"/>
            </w:tcMar>
            <w:vAlign w:val="center"/>
          </w:tcPr>
          <w:p>
            <w:pPr>
              <w:pStyle w:val="TableContents"/>
              <w:spacing w:before="0" w:after="283"/>
              <w:rPr/>
            </w:pPr>
            <w:r>
              <w:rPr/>
              <w:t>               </w:t>
            </w:r>
          </w:p>
        </w:tc>
        <w:tc>
          <w:tcPr>
            <w:tcW w:w="180" w:type="dxa"/>
            <w:tcBorders>
              <w:top w:val="single" w:sz="32" w:space="0" w:color="8EAD3C"/>
              <w:right w:val="single" w:sz="32" w:space="0" w:color="8EAD3C"/>
            </w:tcBorders>
            <w:shd w:fill="auto" w:val="clear"/>
            <w:tcMar>
              <w:top w:w="28" w:type="dxa"/>
              <w:right w:w="28" w:type="dxa"/>
            </w:tcM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7790" w:type="dxa"/>
            <w:tcBorders/>
            <w:shd w:fill="auto" w:val="clear"/>
            <w:vAlign w:val="center"/>
          </w:tcPr>
          <w:p>
            <w:pPr>
              <w:pStyle w:val="TableContents"/>
              <w:spacing w:before="0" w:after="283"/>
              <w:rPr>
                <w:sz w:val="4"/>
                <w:szCs w:val="4"/>
              </w:rPr>
            </w:pPr>
            <w:r>
              <w:rPr>
                <w:sz w:val="4"/>
                <w:szCs w:val="4"/>
              </w:rPr>
            </w:r>
          </w:p>
        </w:tc>
      </w:tr>
      <w:tr>
        <w:trPr/>
        <w:tc>
          <w:tcPr>
            <w:tcW w:w="2055" w:type="dxa"/>
            <w:gridSpan w:val="2"/>
            <w:tcBorders/>
            <w:shd w:fill="1A2343" w:val="clear"/>
            <w:vAlign w:val="center"/>
          </w:tcPr>
          <w:p>
            <w:pPr>
              <w:pStyle w:val="TableContents"/>
              <w:jc w:val="left"/>
              <w:rPr>
                <w:rFonts w:ascii="Arial" w:hAnsi="Arial"/>
                <w:b/>
                <w:color w:val="FFFFFF"/>
                <w:sz w:val="24"/>
              </w:rPr>
            </w:pPr>
            <w:r>
              <w:rPr>
                <w:rFonts w:ascii="Arial" w:hAnsi="Arial"/>
                <w:b/>
                <w:color w:val="FFFFFF"/>
                <w:sz w:val="24"/>
              </w:rPr>
              <w:t>ANDREW S. LEVINE</w:t>
            </w:r>
          </w:p>
          <w:p>
            <w:pPr>
              <w:pStyle w:val="TableContents"/>
              <w:jc w:val="center"/>
              <w:rPr/>
            </w:pPr>
            <w:r>
              <w:rPr/>
              <w:drawing>
                <wp:inline distT="0" distB="0" distL="0" distR="0">
                  <wp:extent cx="990600" cy="4343400"/>
                  <wp:effectExtent l="0" t="0" r="0" b="0"/>
                  <wp:docPr id="412"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79" descr=""/>
                          <pic:cNvPicPr>
                            <a:picLocks noChangeAspect="1" noChangeArrowheads="1"/>
                          </pic:cNvPicPr>
                        </pic:nvPicPr>
                        <pic:blipFill>
                          <a:blip r:embed="rId280"/>
                          <a:srcRect l="-317" t="-232" r="-317" b="-232"/>
                          <a:stretch>
                            <a:fillRect/>
                          </a:stretch>
                        </pic:blipFill>
                        <pic:spPr bwMode="auto">
                          <a:xfrm>
                            <a:off x="0" y="0"/>
                            <a:ext cx="990600" cy="4343400"/>
                          </a:xfrm>
                          <a:prstGeom prst="rect">
                            <a:avLst/>
                          </a:prstGeom>
                          <a:ln w="635">
                            <a:solidFill>
                              <a:srgbClr val="000000"/>
                            </a:solidFill>
                          </a:ln>
                        </pic:spPr>
                      </pic:pic>
                    </a:graphicData>
                  </a:graphic>
                </wp:inline>
              </w:drawing>
            </w:r>
          </w:p>
          <w:p>
            <w:pPr>
              <w:pStyle w:val="TableContents"/>
              <w:jc w:val="left"/>
              <w:rPr>
                <w:rFonts w:ascii="Arial" w:hAnsi="Arial"/>
                <w:b/>
                <w:color w:val="FFFFFF"/>
                <w:sz w:val="20"/>
              </w:rPr>
            </w:pPr>
            <w:r>
              <w:rPr>
                <w:rFonts w:ascii="Arial" w:hAnsi="Arial"/>
                <w:b/>
                <w:color w:val="FFFFFF"/>
                <w:sz w:val="20"/>
              </w:rPr>
              <w:t>General Counsel</w:t>
            </w:r>
          </w:p>
          <w:p>
            <w:pPr>
              <w:pStyle w:val="TableContents"/>
              <w:jc w:val="left"/>
              <w:rPr/>
            </w:pPr>
            <w:r>
              <w:rPr>
                <w:rFonts w:ascii="Arial" w:hAnsi="Arial"/>
                <w:color w:val="FFFFFF"/>
                <w:sz w:val="20"/>
              </w:rPr>
              <w:t xml:space="preserve">Executive Officer Since: </w:t>
            </w:r>
            <w:r>
              <w:rPr>
                <w:rFonts w:ascii="Arial" w:hAnsi="Arial"/>
                <w:b/>
                <w:color w:val="FFFFFF"/>
                <w:sz w:val="20"/>
              </w:rPr>
              <w:t>2007</w:t>
            </w:r>
          </w:p>
          <w:p>
            <w:pPr>
              <w:pStyle w:val="TableContents"/>
              <w:spacing w:before="0" w:after="283"/>
              <w:jc w:val="left"/>
              <w:rPr/>
            </w:pPr>
            <w:r>
              <w:rPr>
                <w:rFonts w:ascii="Arial" w:hAnsi="Arial"/>
                <w:color w:val="FFFFFF"/>
                <w:sz w:val="20"/>
              </w:rPr>
              <w:t xml:space="preserve">Age: </w:t>
            </w:r>
            <w:r>
              <w:rPr>
                <w:rFonts w:ascii="Arial" w:hAnsi="Arial"/>
                <w:b/>
                <w:color w:val="FFFFFF"/>
                <w:sz w:val="20"/>
              </w:rPr>
              <w:t>64</w:t>
            </w:r>
          </w:p>
        </w:tc>
        <w:tc>
          <w:tcPr>
            <w:tcW w:w="180" w:type="dxa"/>
            <w:tcBorders>
              <w:right w:val="single" w:sz="32" w:space="0" w:color="8EAD3C"/>
            </w:tcBorders>
            <w:shd w:fill="auto" w:val="clear"/>
            <w:tcMar>
              <w:right w:w="28" w:type="dxa"/>
            </w:tcM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790" w:type="dxa"/>
            <w:tcBorders/>
            <w:shd w:fill="auto" w:val="clear"/>
            <w:vAlign w:val="center"/>
          </w:tcPr>
          <w:p>
            <w:pPr>
              <w:pStyle w:val="TableContents"/>
              <w:spacing w:before="0" w:after="0"/>
              <w:ind w:left="0" w:right="0" w:hanging="290"/>
              <w:jc w:val="both"/>
              <w:rPr/>
            </w:pPr>
            <w:r>
              <w:rPr/>
              <w:t>●</w:t>
            </w:r>
            <w:r>
              <w:rPr>
                <w:rFonts w:ascii="Arial" w:hAnsi="Arial"/>
                <w:sz w:val="20"/>
              </w:rPr>
              <w:t>Mr. Levine has served as our Chief Legal Officer and General Counsel since April 2007 and as our General Counsel, Executive Vice President and Secretary since November 2000.</w:t>
            </w:r>
          </w:p>
          <w:p>
            <w:pPr>
              <w:pStyle w:val="TableContents"/>
              <w:spacing w:before="0" w:after="0"/>
              <w:ind w:left="0" w:right="0" w:hanging="290"/>
              <w:jc w:val="both"/>
              <w:rPr/>
            </w:pPr>
            <w:r>
              <w:rPr/>
              <w:t>●</w:t>
            </w:r>
            <w:r>
              <w:rPr>
                <w:rFonts w:ascii="Arial" w:hAnsi="Arial"/>
                <w:sz w:val="20"/>
              </w:rPr>
              <w:t>Prior to joining the Company, Mr. Levine was a partner in the REIT and Real Estate Transactions and Business groups at the law firm of Pryor, Cashman, Sherman &amp; Flynn, LLP.</w:t>
            </w:r>
          </w:p>
          <w:p>
            <w:pPr>
              <w:pStyle w:val="TableContents"/>
              <w:spacing w:before="0" w:after="0"/>
              <w:ind w:left="0" w:right="0" w:hanging="290"/>
              <w:jc w:val="both"/>
              <w:rPr/>
            </w:pPr>
            <w:r>
              <w:rPr/>
              <w:t>●</w:t>
            </w:r>
            <w:r>
              <w:rPr>
                <w:rFonts w:ascii="Arial" w:hAnsi="Arial"/>
                <w:sz w:val="20"/>
              </w:rPr>
              <w:t>Prior to joining Pryor, Cashman, Sherman &amp; Flynn, LLP, Mr. Levine was a partner at the law firm of Dreyer &amp; Traub.</w:t>
            </w:r>
          </w:p>
          <w:p>
            <w:pPr>
              <w:pStyle w:val="TableContents"/>
              <w:spacing w:before="0" w:after="0"/>
              <w:ind w:left="0" w:right="0" w:hanging="290"/>
              <w:jc w:val="both"/>
              <w:rPr/>
            </w:pPr>
            <w:r>
              <w:rPr/>
              <w:t>●</w:t>
            </w:r>
            <w:r>
              <w:rPr>
                <w:rFonts w:ascii="Arial" w:hAnsi="Arial"/>
                <w:sz w:val="20"/>
              </w:rPr>
              <w:t>Mr. Levine received a B.A. degree from the University of Vermont and a J.D. degree from Rutgers School of Law, where Mr. Levine was an Editor of the Law Review.</w:t>
            </w:r>
          </w:p>
          <w:p>
            <w:pPr>
              <w:pStyle w:val="TableContents"/>
              <w:spacing w:before="0" w:after="0"/>
              <w:ind w:left="0" w:right="0" w:hanging="290"/>
              <w:jc w:val="both"/>
              <w:rPr/>
            </w:pPr>
            <w:r>
              <w:rPr/>
              <w:t>●</w:t>
            </w:r>
            <w:r>
              <w:rPr>
                <w:rFonts w:ascii="Arial" w:hAnsi="Arial"/>
                <w:sz w:val="20"/>
              </w:rPr>
              <w:t>He currently serves as a member of the Advisory Committee for Rutgers Center for Corporate Law and Governance.</w:t>
            </w:r>
          </w:p>
        </w:tc>
      </w:tr>
      <w:tr>
        <w:trPr/>
        <w:tc>
          <w:tcPr>
            <w:tcW w:w="342" w:type="dxa"/>
            <w:tcBorders/>
            <w:shd w:fill="auto" w:val="clear"/>
            <w:vAlign w:val="center"/>
          </w:tcPr>
          <w:p>
            <w:pPr>
              <w:pStyle w:val="TableContents"/>
              <w:spacing w:before="0" w:after="283"/>
              <w:rPr/>
            </w:pPr>
            <w:r>
              <w:rPr/>
              <w:t> </w:t>
            </w:r>
          </w:p>
        </w:tc>
        <w:tc>
          <w:tcPr>
            <w:tcW w:w="1713" w:type="dxa"/>
            <w:tcBorders>
              <w:left w:val="single" w:sz="32" w:space="0" w:color="8EAD3C"/>
              <w:bottom w:val="single" w:sz="32" w:space="0" w:color="8EAD3C"/>
            </w:tcBorders>
            <w:shd w:fill="auto" w:val="clear"/>
            <w:tcMar>
              <w:left w:w="28" w:type="dxa"/>
              <w:bottom w:w="28" w:type="dxa"/>
            </w:tcMar>
            <w:vAlign w:val="center"/>
          </w:tcPr>
          <w:p>
            <w:pPr>
              <w:pStyle w:val="TableContents"/>
              <w:spacing w:before="0" w:after="283"/>
              <w:rPr/>
            </w:pPr>
            <w:r>
              <w:rPr/>
              <w:t> </w:t>
            </w:r>
          </w:p>
        </w:tc>
        <w:tc>
          <w:tcPr>
            <w:tcW w:w="180" w:type="dxa"/>
            <w:tcBorders>
              <w:bottom w:val="single" w:sz="32" w:space="0" w:color="8EAD3C"/>
              <w:right w:val="single" w:sz="32" w:space="0" w:color="8EAD3C"/>
            </w:tcBorders>
            <w:shd w:fill="auto" w:val="clear"/>
            <w:tcMar>
              <w:bottom w:w="28" w:type="dxa"/>
              <w:right w:w="28" w:type="dxa"/>
            </w:tcM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sz w:val="4"/>
                <w:szCs w:val="4"/>
              </w:rPr>
            </w:pPr>
            <w:r>
              <w:rPr>
                <w:sz w:val="4"/>
                <w:szCs w:val="4"/>
              </w:rPr>
            </w:r>
          </w:p>
        </w:tc>
        <w:tc>
          <w:tcPr>
            <w:tcW w:w="7790" w:type="dxa"/>
            <w:tcBorders/>
            <w:shd w:fill="auto" w:val="clear"/>
            <w:vAlign w:val="center"/>
          </w:tcPr>
          <w:p>
            <w:pPr>
              <w:pStyle w:val="TableContents"/>
              <w:spacing w:before="0" w:after="283"/>
              <w:rPr/>
            </w:pPr>
            <w:r>
              <w:rPr/>
              <w:t> </w:t>
            </w:r>
          </w:p>
        </w:tc>
      </w:tr>
      <w:tr>
        <w:trPr/>
        <w:tc>
          <w:tcPr>
            <w:tcW w:w="342" w:type="dxa"/>
            <w:tcBorders/>
            <w:shd w:fill="auto" w:val="clear"/>
            <w:vAlign w:val="center"/>
          </w:tcPr>
          <w:p>
            <w:pPr>
              <w:pStyle w:val="TableContents"/>
              <w:spacing w:before="0" w:after="283"/>
              <w:rPr/>
            </w:pPr>
            <w:r>
              <w:rPr/>
              <w:t> </w:t>
            </w:r>
          </w:p>
        </w:tc>
        <w:tc>
          <w:tcPr>
            <w:tcW w:w="171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79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right"/>
        <w:rPr>
          <w:rFonts w:ascii="Arial" w:hAnsi="Arial"/>
          <w:b/>
          <w:color w:val="1A2343"/>
          <w:sz w:val="24"/>
        </w:rPr>
      </w:pPr>
      <w:r>
        <w:rPr>
          <w:rFonts w:ascii="Arial" w:hAnsi="Arial"/>
          <w:b/>
          <w:color w:val="1A2343"/>
          <w:sz w:val="24"/>
        </w:rPr>
        <w:t>41</w:t>
      </w:r>
    </w:p>
    <w:p>
      <w:pPr>
        <w:pStyle w:val="TextBody"/>
        <w:jc w:val="left"/>
        <w:rPr>
          <w:rFonts w:ascii="Arial" w:hAnsi="Arial"/>
          <w:b/>
          <w:color w:val="111741"/>
          <w:sz w:val="42"/>
        </w:rPr>
      </w:pPr>
      <w:bookmarkStart w:id="17" w:name="pg_EXECUTIVECOMPENSATION"/>
      <w:bookmarkEnd w:id="17"/>
      <w:r>
        <w:rPr>
          <w:rFonts w:ascii="Arial" w:hAnsi="Arial"/>
          <w:b/>
          <w:color w:val="111741"/>
          <w:sz w:val="42"/>
        </w:rPr>
        <w:t>EXECUTIVE COMPENSATION</w:t>
      </w:r>
    </w:p>
    <w:p>
      <w:pPr>
        <w:pStyle w:val="Normal"/>
        <w:spacing w:before="0" w:after="0"/>
        <w:rPr>
          <w:sz w:val="4"/>
          <w:szCs w:val="4"/>
        </w:rPr>
      </w:pPr>
      <w:r>
        <w:rPr>
          <w:sz w:val="4"/>
          <w:szCs w:val="4"/>
        </w:rPr>
      </w:r>
      <w:bookmarkStart w:id="18" w:name="pg_Proposal2AdvisoryVoteontheCompensatio"/>
      <w:bookmarkStart w:id="19" w:name="pg_Proposal2AdvisoryVoteontheCompensatio"/>
      <w:bookmarkEnd w:id="19"/>
    </w:p>
    <w:tbl>
      <w:tblPr>
        <w:tblW w:w="4760" w:type="dxa"/>
        <w:jc w:val="left"/>
        <w:tblInd w:w="0" w:type="dxa"/>
        <w:tblCellMar>
          <w:top w:w="0" w:type="dxa"/>
          <w:left w:w="0" w:type="dxa"/>
          <w:bottom w:w="0" w:type="dxa"/>
          <w:right w:w="0" w:type="dxa"/>
        </w:tblCellMar>
      </w:tblPr>
      <w:tblGrid>
        <w:gridCol w:w="1760"/>
        <w:gridCol w:w="3000"/>
      </w:tblGrid>
      <w:tr>
        <w:trPr/>
        <w:tc>
          <w:tcPr>
            <w:tcW w:w="1760" w:type="dxa"/>
            <w:vMerge w:val="restart"/>
            <w:tcBorders/>
            <w:shd w:fill="auto" w:val="clear"/>
            <w:vAlign w:val="center"/>
          </w:tcPr>
          <w:p>
            <w:pPr>
              <w:pStyle w:val="TableContents"/>
              <w:spacing w:before="0" w:after="283"/>
              <w:jc w:val="left"/>
              <w:rPr>
                <w:rFonts w:ascii="Arial" w:hAnsi="Arial"/>
                <w:b/>
                <w:color w:val="8BA73B"/>
                <w:sz w:val="24"/>
              </w:rPr>
            </w:pPr>
            <w:r>
              <w:rPr>
                <w:rFonts w:ascii="Arial" w:hAnsi="Arial"/>
                <w:b/>
                <w:color w:val="8BA73B"/>
                <w:sz w:val="24"/>
              </w:rPr>
              <w:t>PROPOSAL 2   </w:t>
            </w:r>
          </w:p>
        </w:tc>
        <w:tc>
          <w:tcPr>
            <w:tcW w:w="3000" w:type="dxa"/>
            <w:tcBorders>
              <w:bottom w:val="single" w:sz="8" w:space="0" w:color="8EAD3C"/>
            </w:tcBorders>
            <w:shd w:fill="auto" w:val="clear"/>
            <w:tcMar>
              <w:bottom w:w="28" w:type="dxa"/>
            </w:tcMar>
            <w:vAlign w:val="center"/>
          </w:tcPr>
          <w:p>
            <w:pPr>
              <w:pStyle w:val="TableContents"/>
              <w:spacing w:before="0" w:after="283"/>
              <w:jc w:val="left"/>
              <w:rPr/>
            </w:pPr>
            <w:r>
              <w:rPr/>
              <w:t>                                                  </w:t>
            </w:r>
          </w:p>
        </w:tc>
      </w:tr>
      <w:tr>
        <w:trPr/>
        <w:tc>
          <w:tcPr>
            <w:tcW w:w="1760" w:type="dxa"/>
            <w:vMerge w:val="continue"/>
            <w:tcBorders/>
            <w:shd w:fill="auto" w:val="clear"/>
            <w:vAlign w:val="center"/>
          </w:tcPr>
          <w:p>
            <w:pPr>
              <w:pStyle w:val="Normal"/>
              <w:rPr/>
            </w:pPr>
            <w:r>
              <w:rPr/>
            </w:r>
          </w:p>
        </w:tc>
        <w:tc>
          <w:tcPr>
            <w:tcW w:w="3000" w:type="dxa"/>
            <w:tcBorders/>
            <w:shd w:fill="auto" w:val="clear"/>
            <w:vAlign w:val="center"/>
          </w:tcPr>
          <w:p>
            <w:pPr>
              <w:pStyle w:val="TableContents"/>
              <w:spacing w:before="0" w:after="283"/>
              <w:jc w:val="left"/>
              <w:rPr/>
            </w:pPr>
            <w:r>
              <w:rPr/>
              <w:t> </w:t>
            </w:r>
          </w:p>
        </w:tc>
      </w:tr>
    </w:tbl>
    <w:p>
      <w:pPr>
        <w:pStyle w:val="TextBody"/>
        <w:jc w:val="left"/>
        <w:rPr>
          <w:rFonts w:ascii="Arial" w:hAnsi="Arial"/>
          <w:b/>
          <w:color w:val="1A2343"/>
          <w:sz w:val="36"/>
          <w:highlight w:val="yellow"/>
        </w:rPr>
      </w:pPr>
      <w:r>
        <w:rPr>
          <w:rFonts w:ascii="Arial" w:hAnsi="Arial"/>
          <w:b/>
          <w:color w:val="1A2343"/>
          <w:sz w:val="36"/>
          <w:highlight w:val="yellow"/>
        </w:rPr>
        <w:t>ADVISORY VOTE ON THE COMPENSATION OF OUR NAMED EXECUTIVE OFFICERS</w:t>
      </w:r>
    </w:p>
    <w:p>
      <w:pPr>
        <w:pStyle w:val="TextBody"/>
        <w:jc w:val="left"/>
        <w:rPr>
          <w:rFonts w:ascii="Arial" w:hAnsi="Arial"/>
          <w:sz w:val="20"/>
          <w:highlight w:val="yellow"/>
        </w:rPr>
      </w:pPr>
      <w:r>
        <w:rPr>
          <w:rFonts w:ascii="Arial" w:hAnsi="Arial"/>
          <w:sz w:val="20"/>
          <w:highlight w:val="yellow"/>
        </w:rPr>
        <w:t>In accordance with the requirements of Section 14A(a)(1) of the Securities Exchange Act of 1934, as amended, and related SEC rules, we are asking our stockholders to vote to approve, on a non-binding, advisory basis, the compensation of our named executive officers, as disclosed in this proxy statement. This is commonly known as, and is referred to herein as, a “say-on-pay” proposal or resolution.</w:t>
      </w:r>
    </w:p>
    <w:p>
      <w:pPr>
        <w:pStyle w:val="TextBody"/>
        <w:jc w:val="left"/>
        <w:rPr>
          <w:rFonts w:ascii="Arial" w:hAnsi="Arial"/>
          <w:sz w:val="20"/>
          <w:highlight w:val="yellow"/>
        </w:rPr>
      </w:pPr>
      <w:r>
        <w:rPr>
          <w:rFonts w:ascii="Arial" w:hAnsi="Arial"/>
          <w:sz w:val="20"/>
          <w:highlight w:val="yellow"/>
        </w:rPr>
        <w:t>At our 2017 annual stockholder meeting, our stockholders voted, on a non-binding, advisory basis, by an affirmative vote of a majority of all votes cast, that the Company should hold future non-binding advisory votes on executive compensation on an annual basis. On June 1, 2017, the Board determined that it will include future advisory votes on the compensation of our named executive officers in the Company’s annual meeting proxy materials every year until the next advisory vote on the frequency of stockholder votes on executive compensation, which will occur at the 2023 annual meeting of stockholders.</w:t>
      </w:r>
    </w:p>
    <w:p>
      <w:pPr>
        <w:pStyle w:val="TextBody"/>
        <w:jc w:val="left"/>
        <w:rPr>
          <w:rFonts w:ascii="Arial" w:hAnsi="Arial"/>
          <w:sz w:val="20"/>
          <w:highlight w:val="yellow"/>
        </w:rPr>
      </w:pPr>
      <w:r>
        <w:rPr>
          <w:rFonts w:ascii="Arial" w:hAnsi="Arial"/>
          <w:sz w:val="20"/>
          <w:highlight w:val="yellow"/>
        </w:rPr>
        <w:t>Accordingly, the Company is providing stockholders with the opportunity to approve the following non-binding, advisory resolution:</w:t>
      </w:r>
    </w:p>
    <w:p>
      <w:pPr>
        <w:pStyle w:val="TextBody"/>
        <w:jc w:val="left"/>
        <w:rPr>
          <w:highlight w:val="yellow"/>
        </w:rPr>
      </w:pPr>
      <w:r>
        <w:rPr>
          <w:highlight w:val="yellow"/>
        </w:rPr>
        <w:t>“</w:t>
      </w:r>
      <w:r>
        <w:rPr>
          <w:rFonts w:ascii="Arial" w:hAnsi="Arial"/>
          <w:sz w:val="20"/>
          <w:highlight w:val="yellow"/>
        </w:rPr>
        <w:t>RESOLVED, that the compensation paid to the Company’s named executive officers, as disclosed in this proxy statement pursuant to Item 402 of Regulation S-K, including the Compensation Discussion and Analysis, compensation tables and narrative discussion, is hereby APPROVED.”</w:t>
      </w:r>
    </w:p>
    <w:p>
      <w:pPr>
        <w:pStyle w:val="TextBody"/>
        <w:jc w:val="left"/>
        <w:rPr>
          <w:rFonts w:ascii="Arial" w:hAnsi="Arial"/>
          <w:sz w:val="20"/>
          <w:highlight w:val="yellow"/>
        </w:rPr>
      </w:pPr>
      <w:r>
        <w:rPr>
          <w:rFonts w:ascii="Arial" w:hAnsi="Arial"/>
          <w:sz w:val="20"/>
          <w:highlight w:val="yellow"/>
        </w:rPr>
        <w:t>The affirmative vote of a majority of all the votes cast with respect to this proposal will be required to approve this proposal.</w:t>
      </w:r>
    </w:p>
    <w:p>
      <w:pPr>
        <w:pStyle w:val="TextBody"/>
        <w:jc w:val="left"/>
        <w:rPr>
          <w:rFonts w:ascii="Arial" w:hAnsi="Arial"/>
          <w:sz w:val="20"/>
          <w:highlight w:val="yellow"/>
        </w:rPr>
      </w:pPr>
      <w:r>
        <w:rPr>
          <w:rFonts w:ascii="Arial" w:hAnsi="Arial"/>
          <w:sz w:val="20"/>
          <w:highlight w:val="yellow"/>
        </w:rPr>
        <w:t>The results of this advisory vote are not binding on the Compensation Committee, the Company or the Board. Nevertheless, we value input from our stockholders and will consider carefully the results of this vote when making future decisions concerning executive compensation.</w:t>
      </w:r>
    </w:p>
    <w:tbl>
      <w:tblPr>
        <w:tblW w:w="10205" w:type="dxa"/>
        <w:jc w:val="left"/>
        <w:tblInd w:w="0" w:type="dxa"/>
        <w:tblCellMar>
          <w:top w:w="0" w:type="dxa"/>
          <w:left w:w="0" w:type="dxa"/>
          <w:bottom w:w="0" w:type="dxa"/>
          <w:right w:w="0" w:type="dxa"/>
        </w:tblCellMar>
      </w:tblPr>
      <w:tblGrid>
        <w:gridCol w:w="9170"/>
        <w:gridCol w:w="300"/>
        <w:gridCol w:w="735"/>
      </w:tblGrid>
      <w:tr>
        <w:trPr/>
        <w:tc>
          <w:tcPr>
            <w:tcW w:w="9170" w:type="dxa"/>
            <w:tcBorders/>
            <w:shd w:fill="FFFFFF" w:val="clear"/>
            <w:vAlign w:val="center"/>
          </w:tcPr>
          <w:p>
            <w:pPr>
              <w:pStyle w:val="TableContents"/>
              <w:spacing w:before="0" w:after="283"/>
              <w:jc w:val="left"/>
              <w:rPr/>
            </w:pPr>
            <w:r>
              <w:rPr>
                <w:rFonts w:ascii="Arial" w:hAnsi="Arial"/>
                <w:b/>
                <w:color w:val="1A2343"/>
                <w:sz w:val="22"/>
              </w:rPr>
              <w:t xml:space="preserve">The Board unanimously recommends a vote </w:t>
            </w:r>
            <w:r>
              <w:rPr>
                <w:color w:val="8BA73B"/>
              </w:rPr>
              <w:t>“</w:t>
            </w:r>
            <w:r>
              <w:rPr>
                <w:rFonts w:ascii="Arial" w:hAnsi="Arial"/>
                <w:b/>
                <w:color w:val="8BA73B"/>
                <w:sz w:val="20"/>
              </w:rPr>
              <w:t xml:space="preserve">FOR” </w:t>
            </w:r>
            <w:r>
              <w:rPr>
                <w:rFonts w:ascii="Arial" w:hAnsi="Arial"/>
                <w:b/>
                <w:color w:val="1A2343"/>
                <w:sz w:val="22"/>
              </w:rPr>
              <w:t>the above resolution regarding the compensation of our named executive officers, as disclosed in the Compensation Discussion and Analysis section and the accompanying compensation tables and narrative discussion in this Proxy Statement.</w:t>
            </w:r>
          </w:p>
        </w:tc>
        <w:tc>
          <w:tcPr>
            <w:tcW w:w="300" w:type="dxa"/>
            <w:tcBorders/>
            <w:shd w:fill="FFFFFF" w:val="clear"/>
            <w:vAlign w:val="center"/>
          </w:tcPr>
          <w:p>
            <w:pPr>
              <w:pStyle w:val="TableContents"/>
              <w:spacing w:before="0" w:after="283"/>
              <w:jc w:val="left"/>
              <w:rPr/>
            </w:pPr>
            <w:r>
              <w:rPr/>
              <w:t>     </w:t>
            </w:r>
          </w:p>
        </w:tc>
        <w:tc>
          <w:tcPr>
            <w:tcW w:w="735" w:type="dxa"/>
            <w:tcBorders/>
            <w:shd w:fill="FFFFFF" w:val="clear"/>
            <w:vAlign w:val="center"/>
          </w:tcPr>
          <w:p>
            <w:pPr>
              <w:pStyle w:val="TableContents"/>
              <w:spacing w:before="0" w:after="283"/>
              <w:jc w:val="left"/>
              <w:rPr/>
            </w:pPr>
            <w:r>
              <w:rPr/>
              <w:drawing>
                <wp:inline distT="0" distB="0" distL="0" distR="0">
                  <wp:extent cx="466725" cy="466725"/>
                  <wp:effectExtent l="0" t="0" r="0" b="0"/>
                  <wp:docPr id="413"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280" descr=""/>
                          <pic:cNvPicPr>
                            <a:picLocks noChangeAspect="1" noChangeArrowheads="1"/>
                          </pic:cNvPicPr>
                        </pic:nvPicPr>
                        <pic:blipFill>
                          <a:blip r:embed="rId281"/>
                          <a:srcRect l="-2160" t="-2160" r="-2160" b="-2160"/>
                          <a:stretch>
                            <a:fillRect/>
                          </a:stretch>
                        </pic:blipFill>
                        <pic:spPr bwMode="auto">
                          <a:xfrm>
                            <a:off x="0" y="0"/>
                            <a:ext cx="466725" cy="466725"/>
                          </a:xfrm>
                          <a:prstGeom prst="rect">
                            <a:avLst/>
                          </a:prstGeom>
                          <a:ln w="635">
                            <a:solidFill>
                              <a:srgbClr val="000000"/>
                            </a:solidFill>
                          </a:ln>
                        </pic:spPr>
                      </pic:pic>
                    </a:graphicData>
                  </a:graphic>
                </wp:inline>
              </w:drawing>
            </w:r>
          </w:p>
        </w:tc>
      </w:tr>
    </w:tbl>
    <w:p>
      <w:pPr>
        <w:pStyle w:val="TextBody"/>
        <w:spacing w:before="0" w:after="0"/>
        <w:rPr>
          <w:highlight w:val="yellow"/>
        </w:rPr>
      </w:pPr>
      <w:r>
        <w:rPr>
          <w:highlight w:val="yellow"/>
        </w:rPr>
      </w:r>
    </w:p>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42</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b/>
          <w:color w:val="8EAD3C"/>
          <w:sz w:val="32"/>
        </w:rPr>
      </w:pPr>
      <w:bookmarkStart w:id="20" w:name="pg_CompensationDiscussionandAnalysis"/>
      <w:bookmarkEnd w:id="20"/>
      <w:r>
        <w:rPr>
          <w:rFonts w:ascii="Arial" w:hAnsi="Arial"/>
          <w:b/>
          <w:color w:val="8EAD3C"/>
          <w:sz w:val="32"/>
        </w:rPr>
        <w:t>COMPENSATION DISCUSSION AND ANALYSIS</w:t>
      </w:r>
    </w:p>
    <w:p>
      <w:pPr>
        <w:pStyle w:val="TextBody"/>
        <w:jc w:val="left"/>
        <w:rPr>
          <w:rFonts w:ascii="Arial" w:hAnsi="Arial"/>
          <w:sz w:val="20"/>
        </w:rPr>
      </w:pPr>
      <w:r>
        <w:rPr>
          <w:rFonts w:ascii="Arial" w:hAnsi="Arial"/>
          <w:sz w:val="20"/>
        </w:rPr>
        <w:t>This section of our proxy statement discusses the principles underlying our executive compensation policies and decisions and the most important factors relevant to an analysis of these policies and decisions. It provides qualitative and quantitative information regarding the manner and context in which compensation is awarded to, and earned by, our named executive officers and places in perspective the data presented in the tables and narrative that follow.</w:t>
      </w:r>
    </w:p>
    <w:p>
      <w:pPr>
        <w:pStyle w:val="TextBody"/>
        <w:jc w:val="left"/>
        <w:rPr>
          <w:rFonts w:ascii="Arial" w:hAnsi="Arial"/>
          <w:sz w:val="20"/>
        </w:rPr>
      </w:pPr>
      <w:r>
        <w:rPr>
          <w:rFonts w:ascii="Arial" w:hAnsi="Arial"/>
          <w:sz w:val="20"/>
        </w:rPr>
        <w:t>Throughout this proxy statement, the individuals who served as our Chief Executive Officer, President, Chief Financial Officer and General Counsel during our 2022 fiscal year are referred to as the “named executive officers,” “our NEOs” or our “executives.”</w:t>
      </w:r>
    </w:p>
    <w:p>
      <w:pPr>
        <w:pStyle w:val="TextBody"/>
        <w:jc w:val="left"/>
        <w:rPr/>
      </w:pPr>
      <w:r>
        <w:rPr>
          <w:rFonts w:ascii="Arial" w:hAnsi="Arial"/>
          <w:b/>
          <w:color w:val="1A2343"/>
          <w:sz w:val="26"/>
        </w:rPr>
        <w:t>Executive Summary</w:t>
      </w:r>
      <w:r>
        <w:rPr>
          <w:rFonts w:ascii="Arial" w:hAnsi="Arial"/>
          <w:color w:val="1A2343"/>
          <w:sz w:val="26"/>
        </w:rPr>
        <w:br/>
      </w:r>
      <w:r>
        <w:rPr>
          <w:rFonts w:ascii="Arial" w:hAnsi="Arial"/>
          <w:b/>
          <w:color w:val="8EAD3C"/>
          <w:sz w:val="22"/>
        </w:rPr>
        <w:t>Named Executive Officers</w:t>
      </w:r>
    </w:p>
    <w:tbl>
      <w:tblPr>
        <w:tblW w:w="7230" w:type="dxa"/>
        <w:jc w:val="left"/>
        <w:tblInd w:w="0" w:type="dxa"/>
        <w:tblCellMar>
          <w:top w:w="28" w:type="dxa"/>
          <w:left w:w="0" w:type="dxa"/>
          <w:bottom w:w="0" w:type="dxa"/>
          <w:right w:w="0" w:type="dxa"/>
        </w:tblCellMar>
      </w:tblPr>
      <w:tblGrid>
        <w:gridCol w:w="1910"/>
        <w:gridCol w:w="1560"/>
        <w:gridCol w:w="1820"/>
        <w:gridCol w:w="1940"/>
      </w:tblGrid>
      <w:tr>
        <w:trPr/>
        <w:tc>
          <w:tcPr>
            <w:tcW w:w="1910" w:type="dxa"/>
            <w:tcBorders>
              <w:top w:val="single" w:sz="8" w:space="0" w:color="8EAD3C"/>
            </w:tcBorders>
            <w:shd w:fill="auto" w:val="clear"/>
            <w:vAlign w:val="center"/>
          </w:tcPr>
          <w:p>
            <w:pPr>
              <w:pStyle w:val="TableContents"/>
              <w:spacing w:before="0" w:after="283"/>
              <w:rPr/>
            </w:pPr>
            <w:r>
              <w:rPr/>
              <w:t> </w:t>
            </w:r>
          </w:p>
        </w:tc>
        <w:tc>
          <w:tcPr>
            <w:tcW w:w="1560" w:type="dxa"/>
            <w:tcBorders>
              <w:top w:val="single" w:sz="8" w:space="0" w:color="8EAD3C"/>
            </w:tcBorders>
            <w:shd w:fill="auto" w:val="clear"/>
            <w:vAlign w:val="center"/>
          </w:tcPr>
          <w:p>
            <w:pPr>
              <w:pStyle w:val="TableContents"/>
              <w:spacing w:before="0" w:after="283"/>
              <w:rPr>
                <w:sz w:val="4"/>
                <w:szCs w:val="4"/>
              </w:rPr>
            </w:pPr>
            <w:r>
              <w:rPr>
                <w:sz w:val="4"/>
                <w:szCs w:val="4"/>
              </w:rPr>
            </w:r>
          </w:p>
        </w:tc>
        <w:tc>
          <w:tcPr>
            <w:tcW w:w="1820" w:type="dxa"/>
            <w:tcBorders>
              <w:top w:val="single" w:sz="8" w:space="0" w:color="8EAD3C"/>
            </w:tcBorders>
            <w:shd w:fill="auto" w:val="clear"/>
            <w:vAlign w:val="center"/>
          </w:tcPr>
          <w:p>
            <w:pPr>
              <w:pStyle w:val="TableContents"/>
              <w:spacing w:before="0" w:after="283"/>
              <w:rPr>
                <w:sz w:val="4"/>
                <w:szCs w:val="4"/>
              </w:rPr>
            </w:pPr>
            <w:r>
              <w:rPr>
                <w:sz w:val="4"/>
                <w:szCs w:val="4"/>
              </w:rPr>
            </w:r>
          </w:p>
        </w:tc>
        <w:tc>
          <w:tcPr>
            <w:tcW w:w="1940" w:type="dxa"/>
            <w:tcBorders>
              <w:top w:val="single" w:sz="8" w:space="0" w:color="8EAD3C"/>
            </w:tcBorders>
            <w:shd w:fill="auto" w:val="clear"/>
            <w:vAlign w:val="center"/>
          </w:tcPr>
          <w:p>
            <w:pPr>
              <w:pStyle w:val="TableContents"/>
              <w:spacing w:before="0" w:after="283"/>
              <w:rPr>
                <w:sz w:val="4"/>
                <w:szCs w:val="4"/>
              </w:rPr>
            </w:pPr>
            <w:r>
              <w:rPr>
                <w:sz w:val="4"/>
                <w:szCs w:val="4"/>
              </w:rPr>
            </w:r>
          </w:p>
        </w:tc>
      </w:tr>
      <w:tr>
        <w:trPr/>
        <w:tc>
          <w:tcPr>
            <w:tcW w:w="1910" w:type="dxa"/>
            <w:tcBorders/>
            <w:shd w:fill="auto" w:val="clear"/>
            <w:tcMar>
              <w:top w:w="0" w:type="dxa"/>
            </w:tcMar>
            <w:vAlign w:val="center"/>
          </w:tcPr>
          <w:p>
            <w:pPr>
              <w:pStyle w:val="TableContents"/>
              <w:spacing w:before="0" w:after="283"/>
              <w:jc w:val="left"/>
              <w:rPr/>
            </w:pPr>
            <w:r>
              <w:rPr/>
              <w:drawing>
                <wp:inline distT="0" distB="0" distL="0" distR="0">
                  <wp:extent cx="990600" cy="4010025"/>
                  <wp:effectExtent l="0" t="0" r="0" b="0"/>
                  <wp:docPr id="414"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81" descr=""/>
                          <pic:cNvPicPr>
                            <a:picLocks noChangeAspect="1" noChangeArrowheads="1"/>
                          </pic:cNvPicPr>
                        </pic:nvPicPr>
                        <pic:blipFill>
                          <a:blip r:embed="rId282"/>
                          <a:srcRect l="-318" t="-251" r="-318" b="-251"/>
                          <a:stretch>
                            <a:fillRect/>
                          </a:stretch>
                        </pic:blipFill>
                        <pic:spPr bwMode="auto">
                          <a:xfrm>
                            <a:off x="0" y="0"/>
                            <a:ext cx="990600" cy="4010025"/>
                          </a:xfrm>
                          <a:prstGeom prst="rect">
                            <a:avLst/>
                          </a:prstGeom>
                          <a:ln w="635">
                            <a:solidFill>
                              <a:srgbClr val="000000"/>
                            </a:solidFill>
                          </a:ln>
                        </pic:spPr>
                      </pic:pic>
                    </a:graphicData>
                  </a:graphic>
                </wp:inline>
              </w:drawing>
            </w:r>
          </w:p>
        </w:tc>
        <w:tc>
          <w:tcPr>
            <w:tcW w:w="1560" w:type="dxa"/>
            <w:tcBorders>
              <w:left w:val="single" w:sz="8" w:space="0" w:color="8EAD3C"/>
            </w:tcBorders>
            <w:shd w:fill="auto" w:val="clear"/>
            <w:tcMar>
              <w:top w:w="0" w:type="dxa"/>
              <w:left w:w="400" w:type="dxa"/>
            </w:tcMar>
            <w:vAlign w:val="center"/>
          </w:tcPr>
          <w:p>
            <w:pPr>
              <w:pStyle w:val="TableContents"/>
              <w:spacing w:before="0" w:after="283"/>
              <w:jc w:val="left"/>
              <w:rPr/>
            </w:pPr>
            <w:r>
              <w:rPr/>
              <w:drawing>
                <wp:inline distT="0" distB="0" distL="0" distR="0">
                  <wp:extent cx="990600" cy="1295400"/>
                  <wp:effectExtent l="0" t="0" r="0" b="0"/>
                  <wp:docPr id="415"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282" descr=""/>
                          <pic:cNvPicPr>
                            <a:picLocks noChangeAspect="1" noChangeArrowheads="1"/>
                          </pic:cNvPicPr>
                        </pic:nvPicPr>
                        <pic:blipFill>
                          <a:blip r:embed="rId283"/>
                          <a:srcRect l="-320" t="-244" r="-320" b="-244"/>
                          <a:stretch>
                            <a:fillRect/>
                          </a:stretch>
                        </pic:blipFill>
                        <pic:spPr bwMode="auto">
                          <a:xfrm>
                            <a:off x="0" y="0"/>
                            <a:ext cx="990600" cy="1295400"/>
                          </a:xfrm>
                          <a:prstGeom prst="rect">
                            <a:avLst/>
                          </a:prstGeom>
                          <a:ln w="635">
                            <a:solidFill>
                              <a:srgbClr val="000000"/>
                            </a:solidFill>
                          </a:ln>
                        </pic:spPr>
                      </pic:pic>
                    </a:graphicData>
                  </a:graphic>
                </wp:inline>
              </w:drawing>
            </w:r>
          </w:p>
        </w:tc>
        <w:tc>
          <w:tcPr>
            <w:tcW w:w="1820" w:type="dxa"/>
            <w:tcBorders>
              <w:left w:val="single" w:sz="8" w:space="0" w:color="8EAD3C"/>
            </w:tcBorders>
            <w:shd w:fill="auto" w:val="clear"/>
            <w:tcMar>
              <w:top w:w="0" w:type="dxa"/>
              <w:left w:w="400" w:type="dxa"/>
            </w:tcMar>
            <w:vAlign w:val="center"/>
          </w:tcPr>
          <w:p>
            <w:pPr>
              <w:pStyle w:val="TableContents"/>
              <w:spacing w:before="0" w:after="283"/>
              <w:jc w:val="left"/>
              <w:rPr/>
            </w:pPr>
            <w:r>
              <w:rPr/>
              <w:drawing>
                <wp:inline distT="0" distB="0" distL="0" distR="0">
                  <wp:extent cx="1114425" cy="1295400"/>
                  <wp:effectExtent l="0" t="0" r="0" b="0"/>
                  <wp:docPr id="416"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83" descr=""/>
                          <pic:cNvPicPr>
                            <a:picLocks noChangeAspect="1" noChangeArrowheads="1"/>
                          </pic:cNvPicPr>
                        </pic:nvPicPr>
                        <pic:blipFill>
                          <a:blip r:embed="rId284"/>
                          <a:srcRect l="-291" t="-251" r="-291" b="-251"/>
                          <a:stretch>
                            <a:fillRect/>
                          </a:stretch>
                        </pic:blipFill>
                        <pic:spPr bwMode="auto">
                          <a:xfrm>
                            <a:off x="0" y="0"/>
                            <a:ext cx="1114425" cy="1295400"/>
                          </a:xfrm>
                          <a:prstGeom prst="rect">
                            <a:avLst/>
                          </a:prstGeom>
                          <a:ln w="635">
                            <a:solidFill>
                              <a:srgbClr val="000000"/>
                            </a:solidFill>
                          </a:ln>
                        </pic:spPr>
                      </pic:pic>
                    </a:graphicData>
                  </a:graphic>
                </wp:inline>
              </w:drawing>
            </w:r>
          </w:p>
        </w:tc>
        <w:tc>
          <w:tcPr>
            <w:tcW w:w="1940" w:type="dxa"/>
            <w:tcBorders>
              <w:left w:val="single" w:sz="8" w:space="0" w:color="8EAD3C"/>
            </w:tcBorders>
            <w:shd w:fill="auto" w:val="clear"/>
            <w:tcMar>
              <w:top w:w="0" w:type="dxa"/>
              <w:left w:w="400" w:type="dxa"/>
            </w:tcMar>
            <w:vAlign w:val="center"/>
          </w:tcPr>
          <w:p>
            <w:pPr>
              <w:pStyle w:val="TableContents"/>
              <w:spacing w:before="0" w:after="283"/>
              <w:jc w:val="left"/>
              <w:rPr/>
            </w:pPr>
            <w:r>
              <w:rPr/>
              <w:drawing>
                <wp:inline distT="0" distB="0" distL="0" distR="0">
                  <wp:extent cx="1104900" cy="1295400"/>
                  <wp:effectExtent l="0" t="0" r="0" b="0"/>
                  <wp:docPr id="417"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284" descr=""/>
                          <pic:cNvPicPr>
                            <a:picLocks noChangeAspect="1" noChangeArrowheads="1"/>
                          </pic:cNvPicPr>
                        </pic:nvPicPr>
                        <pic:blipFill>
                          <a:blip r:embed="rId285"/>
                          <a:srcRect l="-293" t="-249" r="-293" b="-249"/>
                          <a:stretch>
                            <a:fillRect/>
                          </a:stretch>
                        </pic:blipFill>
                        <pic:spPr bwMode="auto">
                          <a:xfrm>
                            <a:off x="0" y="0"/>
                            <a:ext cx="1104900" cy="1295400"/>
                          </a:xfrm>
                          <a:prstGeom prst="rect">
                            <a:avLst/>
                          </a:prstGeom>
                          <a:ln w="635">
                            <a:solidFill>
                              <a:srgbClr val="000000"/>
                            </a:solidFill>
                          </a:ln>
                        </pic:spPr>
                      </pic:pic>
                    </a:graphicData>
                  </a:graphic>
                </wp:inline>
              </w:drawing>
            </w:r>
          </w:p>
        </w:tc>
      </w:tr>
      <w:tr>
        <w:trPr/>
        <w:tc>
          <w:tcPr>
            <w:tcW w:w="1910" w:type="dxa"/>
            <w:tcBorders/>
            <w:shd w:fill="auto" w:val="clear"/>
            <w:tcMar>
              <w:top w:w="0" w:type="dxa"/>
            </w:tcMar>
            <w:vAlign w:val="center"/>
          </w:tcPr>
          <w:p>
            <w:pPr>
              <w:pStyle w:val="TableContents"/>
              <w:spacing w:before="0" w:after="0"/>
              <w:jc w:val="left"/>
              <w:rPr>
                <w:rFonts w:ascii="Arial" w:hAnsi="Arial"/>
                <w:b/>
                <w:sz w:val="18"/>
              </w:rPr>
            </w:pPr>
            <w:r>
              <w:rPr>
                <w:rFonts w:ascii="Arial" w:hAnsi="Arial"/>
                <w:b/>
                <w:sz w:val="18"/>
              </w:rPr>
              <w:t>Marc Holliday</w:t>
            </w:r>
          </w:p>
          <w:p>
            <w:pPr>
              <w:pStyle w:val="TableContents"/>
              <w:spacing w:before="0" w:after="0"/>
              <w:jc w:val="left"/>
              <w:rPr>
                <w:rFonts w:ascii="Arial" w:hAnsi="Arial"/>
                <w:sz w:val="18"/>
              </w:rPr>
            </w:pPr>
            <w:r>
              <w:rPr>
                <w:rFonts w:ascii="Arial" w:hAnsi="Arial"/>
                <w:sz w:val="18"/>
              </w:rPr>
              <w:t xml:space="preserve">Chief Executive Officer </w:t>
              <w:br/>
              <w:t xml:space="preserve">and Chairman of </w:t>
              <w:br/>
              <w:t>the Board</w:t>
            </w:r>
          </w:p>
        </w:tc>
        <w:tc>
          <w:tcPr>
            <w:tcW w:w="1560" w:type="dxa"/>
            <w:tcBorders>
              <w:left w:val="single" w:sz="8" w:space="0" w:color="8EAD3C"/>
            </w:tcBorders>
            <w:shd w:fill="auto" w:val="clear"/>
            <w:tcMar>
              <w:top w:w="0" w:type="dxa"/>
              <w:left w:w="400" w:type="dxa"/>
            </w:tcMar>
            <w:vAlign w:val="center"/>
          </w:tcPr>
          <w:p>
            <w:pPr>
              <w:pStyle w:val="TableContents"/>
              <w:spacing w:before="0" w:after="0"/>
              <w:jc w:val="left"/>
              <w:rPr>
                <w:rFonts w:ascii="Arial" w:hAnsi="Arial"/>
                <w:b/>
                <w:sz w:val="18"/>
              </w:rPr>
            </w:pPr>
            <w:r>
              <w:rPr>
                <w:rFonts w:ascii="Arial" w:hAnsi="Arial"/>
                <w:b/>
                <w:sz w:val="18"/>
              </w:rPr>
              <w:t>Andrew Mathias</w:t>
            </w:r>
          </w:p>
          <w:p>
            <w:pPr>
              <w:pStyle w:val="TableContents"/>
              <w:spacing w:before="0" w:after="0"/>
              <w:jc w:val="left"/>
              <w:rPr>
                <w:rFonts w:ascii="Arial" w:hAnsi="Arial"/>
                <w:sz w:val="18"/>
              </w:rPr>
            </w:pPr>
            <w:r>
              <w:rPr>
                <w:rFonts w:ascii="Arial" w:hAnsi="Arial"/>
                <w:sz w:val="18"/>
              </w:rPr>
              <w:t>President</w:t>
            </w:r>
          </w:p>
        </w:tc>
        <w:tc>
          <w:tcPr>
            <w:tcW w:w="1820" w:type="dxa"/>
            <w:tcBorders>
              <w:left w:val="single" w:sz="8" w:space="0" w:color="8EAD3C"/>
            </w:tcBorders>
            <w:shd w:fill="auto" w:val="clear"/>
            <w:tcMar>
              <w:top w:w="0" w:type="dxa"/>
              <w:left w:w="400" w:type="dxa"/>
            </w:tcMar>
            <w:vAlign w:val="center"/>
          </w:tcPr>
          <w:p>
            <w:pPr>
              <w:pStyle w:val="TableContents"/>
              <w:spacing w:before="0" w:after="0"/>
              <w:jc w:val="left"/>
              <w:rPr>
                <w:rFonts w:ascii="Arial" w:hAnsi="Arial"/>
                <w:b/>
                <w:sz w:val="18"/>
              </w:rPr>
            </w:pPr>
            <w:r>
              <w:rPr>
                <w:rFonts w:ascii="Arial" w:hAnsi="Arial"/>
                <w:b/>
                <w:sz w:val="18"/>
              </w:rPr>
              <w:t>Matthew J. DiLiberto</w:t>
            </w:r>
          </w:p>
          <w:p>
            <w:pPr>
              <w:pStyle w:val="TableContents"/>
              <w:spacing w:before="0" w:after="0"/>
              <w:jc w:val="left"/>
              <w:rPr>
                <w:rFonts w:ascii="Arial" w:hAnsi="Arial"/>
                <w:sz w:val="18"/>
              </w:rPr>
            </w:pPr>
            <w:r>
              <w:rPr>
                <w:rFonts w:ascii="Arial" w:hAnsi="Arial"/>
                <w:sz w:val="18"/>
              </w:rPr>
              <w:t>Chief Financial Officer</w:t>
            </w:r>
          </w:p>
        </w:tc>
        <w:tc>
          <w:tcPr>
            <w:tcW w:w="1940" w:type="dxa"/>
            <w:tcBorders>
              <w:left w:val="single" w:sz="8" w:space="0" w:color="8EAD3C"/>
            </w:tcBorders>
            <w:shd w:fill="auto" w:val="clear"/>
            <w:tcMar>
              <w:top w:w="0" w:type="dxa"/>
              <w:left w:w="400" w:type="dxa"/>
            </w:tcMar>
            <w:vAlign w:val="center"/>
          </w:tcPr>
          <w:p>
            <w:pPr>
              <w:pStyle w:val="TableContents"/>
              <w:spacing w:before="0" w:after="0"/>
              <w:jc w:val="left"/>
              <w:rPr>
                <w:rFonts w:ascii="Arial" w:hAnsi="Arial"/>
                <w:b/>
                <w:sz w:val="18"/>
              </w:rPr>
            </w:pPr>
            <w:r>
              <w:rPr>
                <w:rFonts w:ascii="Arial" w:hAnsi="Arial"/>
                <w:b/>
                <w:sz w:val="18"/>
              </w:rPr>
              <w:t>Andrew S. Levine</w:t>
            </w:r>
          </w:p>
          <w:p>
            <w:pPr>
              <w:pStyle w:val="TableContents"/>
              <w:spacing w:before="0" w:after="0"/>
              <w:jc w:val="left"/>
              <w:rPr>
                <w:rFonts w:ascii="Arial" w:hAnsi="Arial"/>
                <w:sz w:val="18"/>
              </w:rPr>
            </w:pPr>
            <w:r>
              <w:rPr>
                <w:rFonts w:ascii="Arial" w:hAnsi="Arial"/>
                <w:sz w:val="18"/>
              </w:rPr>
              <w:t xml:space="preserve">Chief Legal Officer and </w:t>
              <w:br/>
              <w:t>General Counsel</w:t>
            </w:r>
          </w:p>
        </w:tc>
      </w:tr>
      <w:tr>
        <w:trPr/>
        <w:tc>
          <w:tcPr>
            <w:tcW w:w="1910" w:type="dxa"/>
            <w:tcBorders>
              <w:bottom w:val="single" w:sz="8" w:space="0" w:color="8EAD3C"/>
            </w:tcBorders>
            <w:shd w:fill="auto" w:val="clear"/>
            <w:tcMar>
              <w:top w:w="0" w:type="dxa"/>
              <w:bottom w:w="28" w:type="dxa"/>
            </w:tcMar>
            <w:vAlign w:val="center"/>
          </w:tcPr>
          <w:p>
            <w:pPr>
              <w:pStyle w:val="TableContents"/>
              <w:spacing w:before="0" w:after="283"/>
              <w:rPr/>
            </w:pPr>
            <w:r>
              <w:rPr/>
              <w:t> </w:t>
            </w:r>
          </w:p>
        </w:tc>
        <w:tc>
          <w:tcPr>
            <w:tcW w:w="1560"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1820"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1940"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r>
    </w:tbl>
    <w:p>
      <w:pPr>
        <w:pStyle w:val="TextBody"/>
        <w:jc w:val="left"/>
        <w:rPr>
          <w:rFonts w:ascii="Arial" w:hAnsi="Arial"/>
          <w:b/>
          <w:color w:val="8EAD3C"/>
          <w:sz w:val="22"/>
        </w:rPr>
      </w:pPr>
      <w:r>
        <w:rPr>
          <w:rFonts w:ascii="Arial" w:hAnsi="Arial"/>
          <w:b/>
          <w:color w:val="8EAD3C"/>
          <w:sz w:val="22"/>
        </w:rPr>
        <w:t>Compensation Objectives and Philosophy</w:t>
      </w:r>
    </w:p>
    <w:p>
      <w:pPr>
        <w:pStyle w:val="TextBody"/>
        <w:jc w:val="left"/>
        <w:rPr>
          <w:rFonts w:ascii="Arial" w:hAnsi="Arial"/>
          <w:sz w:val="20"/>
        </w:rPr>
      </w:pPr>
      <w:r>
        <w:rPr>
          <w:rFonts w:ascii="Arial" w:hAnsi="Arial"/>
          <w:sz w:val="20"/>
        </w:rPr>
        <w:t>We have adopted a pay-for-performance executive compensation philosophy that rewards the achievement of annual and long-term goals of both the Company and individual executives, while achieving the following objectives:</w:t>
      </w:r>
    </w:p>
    <w:tbl>
      <w:tblPr>
        <w:tblW w:w="10205" w:type="dxa"/>
        <w:jc w:val="left"/>
        <w:tblInd w:w="0" w:type="dxa"/>
        <w:tblCellMar>
          <w:top w:w="28" w:type="dxa"/>
          <w:left w:w="0" w:type="dxa"/>
          <w:bottom w:w="0" w:type="dxa"/>
          <w:right w:w="0" w:type="dxa"/>
        </w:tblCellMar>
      </w:tblPr>
      <w:tblGrid>
        <w:gridCol w:w="2298"/>
        <w:gridCol w:w="1862"/>
        <w:gridCol w:w="1701"/>
        <w:gridCol w:w="2211"/>
        <w:gridCol w:w="2133"/>
      </w:tblGrid>
      <w:tr>
        <w:trPr/>
        <w:tc>
          <w:tcPr>
            <w:tcW w:w="2298" w:type="dxa"/>
            <w:tcBorders>
              <w:top w:val="single" w:sz="8" w:space="0" w:color="8EAD3C"/>
            </w:tcBorders>
            <w:shd w:fill="auto" w:val="clear"/>
            <w:vAlign w:val="center"/>
          </w:tcPr>
          <w:p>
            <w:pPr>
              <w:pStyle w:val="TableContents"/>
              <w:spacing w:before="0" w:after="283"/>
              <w:jc w:val="left"/>
              <w:rPr/>
            </w:pPr>
            <w:r>
              <w:rPr/>
              <w:t> </w:t>
            </w:r>
          </w:p>
        </w:tc>
        <w:tc>
          <w:tcPr>
            <w:tcW w:w="1862" w:type="dxa"/>
            <w:tcBorders>
              <w:top w:val="single" w:sz="8" w:space="0" w:color="8EAD3C"/>
            </w:tcBorders>
            <w:shd w:fill="auto" w:val="clear"/>
            <w:vAlign w:val="center"/>
          </w:tcPr>
          <w:p>
            <w:pPr>
              <w:pStyle w:val="TableContents"/>
              <w:spacing w:before="0" w:after="283"/>
              <w:rPr>
                <w:sz w:val="4"/>
                <w:szCs w:val="4"/>
              </w:rPr>
            </w:pPr>
            <w:r>
              <w:rPr>
                <w:sz w:val="4"/>
                <w:szCs w:val="4"/>
              </w:rPr>
            </w:r>
          </w:p>
        </w:tc>
        <w:tc>
          <w:tcPr>
            <w:tcW w:w="1701" w:type="dxa"/>
            <w:tcBorders>
              <w:top w:val="single" w:sz="8" w:space="0" w:color="8EAD3C"/>
            </w:tcBorders>
            <w:shd w:fill="auto" w:val="clear"/>
            <w:vAlign w:val="center"/>
          </w:tcPr>
          <w:p>
            <w:pPr>
              <w:pStyle w:val="TableContents"/>
              <w:spacing w:before="0" w:after="283"/>
              <w:rPr>
                <w:sz w:val="4"/>
                <w:szCs w:val="4"/>
              </w:rPr>
            </w:pPr>
            <w:r>
              <w:rPr>
                <w:sz w:val="4"/>
                <w:szCs w:val="4"/>
              </w:rPr>
            </w:r>
          </w:p>
        </w:tc>
        <w:tc>
          <w:tcPr>
            <w:tcW w:w="2211" w:type="dxa"/>
            <w:tcBorders>
              <w:top w:val="single" w:sz="8" w:space="0" w:color="8EAD3C"/>
            </w:tcBorders>
            <w:shd w:fill="auto" w:val="clear"/>
            <w:vAlign w:val="center"/>
          </w:tcPr>
          <w:p>
            <w:pPr>
              <w:pStyle w:val="TableContents"/>
              <w:spacing w:before="0" w:after="283"/>
              <w:rPr>
                <w:sz w:val="4"/>
                <w:szCs w:val="4"/>
              </w:rPr>
            </w:pPr>
            <w:r>
              <w:rPr>
                <w:sz w:val="4"/>
                <w:szCs w:val="4"/>
              </w:rPr>
            </w:r>
          </w:p>
        </w:tc>
        <w:tc>
          <w:tcPr>
            <w:tcW w:w="2133" w:type="dxa"/>
            <w:tcBorders>
              <w:top w:val="single" w:sz="8" w:space="0" w:color="8EAD3C"/>
            </w:tcBorders>
            <w:shd w:fill="auto" w:val="clear"/>
            <w:vAlign w:val="center"/>
          </w:tcPr>
          <w:p>
            <w:pPr>
              <w:pStyle w:val="TableContents"/>
              <w:spacing w:before="0" w:after="283"/>
              <w:rPr>
                <w:sz w:val="4"/>
                <w:szCs w:val="4"/>
              </w:rPr>
            </w:pPr>
            <w:r>
              <w:rPr>
                <w:sz w:val="4"/>
                <w:szCs w:val="4"/>
              </w:rPr>
            </w:r>
          </w:p>
        </w:tc>
      </w:tr>
      <w:tr>
        <w:trPr/>
        <w:tc>
          <w:tcPr>
            <w:tcW w:w="2298" w:type="dxa"/>
            <w:tcBorders/>
            <w:shd w:fill="auto" w:val="clear"/>
            <w:tcMar>
              <w:top w:w="0" w:type="dxa"/>
            </w:tcMar>
            <w:vAlign w:val="center"/>
          </w:tcPr>
          <w:p>
            <w:pPr>
              <w:pStyle w:val="TableContents"/>
              <w:spacing w:before="0" w:after="0"/>
              <w:jc w:val="left"/>
              <w:rPr>
                <w:rFonts w:ascii="Arial" w:hAnsi="Arial"/>
                <w:b/>
                <w:color w:val="8EAD3C"/>
                <w:sz w:val="22"/>
              </w:rPr>
            </w:pPr>
            <w:r>
              <w:rPr>
                <w:rFonts w:ascii="Arial" w:hAnsi="Arial"/>
                <w:b/>
                <w:color w:val="8EAD3C"/>
                <w:sz w:val="22"/>
              </w:rPr>
              <w:t>ALIGNMENT</w:t>
            </w:r>
          </w:p>
          <w:p>
            <w:pPr>
              <w:pStyle w:val="TableContents"/>
              <w:spacing w:before="0" w:after="0"/>
              <w:jc w:val="left"/>
              <w:rPr>
                <w:rFonts w:ascii="Arial" w:hAnsi="Arial"/>
                <w:sz w:val="20"/>
              </w:rPr>
            </w:pPr>
            <w:r>
              <w:rPr>
                <w:rFonts w:ascii="Arial" w:hAnsi="Arial"/>
                <w:sz w:val="20"/>
              </w:rPr>
              <w:t>Provide performance-based incentives that create a strong alignment of management and stockholder interests</w:t>
            </w:r>
          </w:p>
        </w:tc>
        <w:tc>
          <w:tcPr>
            <w:tcW w:w="1862" w:type="dxa"/>
            <w:tcBorders>
              <w:left w:val="single" w:sz="8" w:space="0" w:color="8EAD3C"/>
            </w:tcBorders>
            <w:shd w:fill="auto" w:val="clear"/>
            <w:tcMar>
              <w:top w:w="0" w:type="dxa"/>
              <w:left w:w="200" w:type="dxa"/>
            </w:tcMar>
            <w:vAlign w:val="center"/>
          </w:tcPr>
          <w:p>
            <w:pPr>
              <w:pStyle w:val="TableContents"/>
              <w:spacing w:before="0" w:after="0"/>
              <w:jc w:val="left"/>
              <w:rPr>
                <w:rFonts w:ascii="Arial" w:hAnsi="Arial"/>
                <w:b/>
                <w:color w:val="8EAD3C"/>
                <w:sz w:val="22"/>
              </w:rPr>
            </w:pPr>
            <w:r>
              <w:rPr>
                <w:rFonts w:ascii="Arial" w:hAnsi="Arial"/>
                <w:b/>
                <w:color w:val="8EAD3C"/>
                <w:sz w:val="22"/>
              </w:rPr>
              <w:t>TALENT</w:t>
            </w:r>
          </w:p>
          <w:p>
            <w:pPr>
              <w:pStyle w:val="TableContents"/>
              <w:spacing w:before="0" w:after="0"/>
              <w:jc w:val="left"/>
              <w:rPr>
                <w:rFonts w:ascii="Arial" w:hAnsi="Arial"/>
                <w:sz w:val="20"/>
              </w:rPr>
            </w:pPr>
            <w:r>
              <w:rPr>
                <w:rFonts w:ascii="Arial" w:hAnsi="Arial"/>
                <w:sz w:val="20"/>
              </w:rPr>
              <w:t>Attract and retain top talent in a market that is highly competitive for New York City commercial real estate management</w:t>
            </w:r>
          </w:p>
        </w:tc>
        <w:tc>
          <w:tcPr>
            <w:tcW w:w="1701" w:type="dxa"/>
            <w:tcBorders>
              <w:left w:val="single" w:sz="8" w:space="0" w:color="8EAD3C"/>
            </w:tcBorders>
            <w:shd w:fill="auto" w:val="clear"/>
            <w:tcMar>
              <w:top w:w="0" w:type="dxa"/>
              <w:left w:w="200" w:type="dxa"/>
            </w:tcMar>
            <w:vAlign w:val="center"/>
          </w:tcPr>
          <w:p>
            <w:pPr>
              <w:pStyle w:val="TableContents"/>
              <w:spacing w:before="0" w:after="0"/>
              <w:jc w:val="left"/>
              <w:rPr>
                <w:rFonts w:ascii="Arial" w:hAnsi="Arial"/>
                <w:b/>
                <w:color w:val="8EAD3C"/>
                <w:sz w:val="22"/>
              </w:rPr>
            </w:pPr>
            <w:r>
              <w:rPr>
                <w:rFonts w:ascii="Arial" w:hAnsi="Arial"/>
                <w:b/>
                <w:color w:val="8EAD3C"/>
                <w:sz w:val="22"/>
              </w:rPr>
              <w:t>MOTIVATION</w:t>
            </w:r>
          </w:p>
          <w:p>
            <w:pPr>
              <w:pStyle w:val="TableContents"/>
              <w:spacing w:before="0" w:after="0"/>
              <w:jc w:val="left"/>
              <w:rPr>
                <w:rFonts w:ascii="Arial" w:hAnsi="Arial"/>
                <w:sz w:val="20"/>
              </w:rPr>
            </w:pPr>
            <w:r>
              <w:rPr>
                <w:rFonts w:ascii="Arial" w:hAnsi="Arial"/>
                <w:sz w:val="20"/>
              </w:rPr>
              <w:t>Motivate our executives to achieve superior performance</w:t>
            </w:r>
          </w:p>
        </w:tc>
        <w:tc>
          <w:tcPr>
            <w:tcW w:w="2211" w:type="dxa"/>
            <w:tcBorders>
              <w:left w:val="single" w:sz="8" w:space="0" w:color="8EAD3C"/>
            </w:tcBorders>
            <w:shd w:fill="auto" w:val="clear"/>
            <w:tcMar>
              <w:top w:w="0" w:type="dxa"/>
              <w:left w:w="200" w:type="dxa"/>
            </w:tcMar>
            <w:vAlign w:val="center"/>
          </w:tcPr>
          <w:p>
            <w:pPr>
              <w:pStyle w:val="TableContents"/>
              <w:spacing w:before="0" w:after="0"/>
              <w:jc w:val="left"/>
              <w:rPr>
                <w:rFonts w:ascii="Arial" w:hAnsi="Arial"/>
                <w:b/>
                <w:color w:val="8EAD3C"/>
                <w:sz w:val="22"/>
              </w:rPr>
            </w:pPr>
            <w:r>
              <w:rPr>
                <w:rFonts w:ascii="Arial" w:hAnsi="Arial"/>
                <w:b/>
                <w:color w:val="8EAD3C"/>
                <w:sz w:val="22"/>
              </w:rPr>
              <w:t>BALANCE</w:t>
            </w:r>
          </w:p>
          <w:p>
            <w:pPr>
              <w:pStyle w:val="TableContents"/>
              <w:spacing w:before="0" w:after="0"/>
              <w:jc w:val="left"/>
              <w:rPr>
                <w:rFonts w:ascii="Arial" w:hAnsi="Arial"/>
                <w:sz w:val="20"/>
              </w:rPr>
            </w:pPr>
            <w:r>
              <w:rPr>
                <w:rFonts w:ascii="Arial" w:hAnsi="Arial"/>
                <w:sz w:val="20"/>
              </w:rPr>
              <w:t>Achieve an appropriate balance between risk and reward in our compensation programs that does not create incentives for unnecessary or excessive risk taking</w:t>
            </w:r>
          </w:p>
        </w:tc>
        <w:tc>
          <w:tcPr>
            <w:tcW w:w="2133" w:type="dxa"/>
            <w:tcBorders>
              <w:left w:val="single" w:sz="8" w:space="0" w:color="8EAD3C"/>
            </w:tcBorders>
            <w:shd w:fill="auto" w:val="clear"/>
            <w:tcMar>
              <w:top w:w="0" w:type="dxa"/>
              <w:left w:w="200" w:type="dxa"/>
            </w:tcMar>
            <w:vAlign w:val="center"/>
          </w:tcPr>
          <w:p>
            <w:pPr>
              <w:pStyle w:val="TableContents"/>
              <w:spacing w:before="0" w:after="0"/>
              <w:jc w:val="left"/>
              <w:rPr>
                <w:rFonts w:ascii="Arial" w:hAnsi="Arial"/>
                <w:b/>
                <w:color w:val="8EAD3C"/>
                <w:sz w:val="22"/>
              </w:rPr>
            </w:pPr>
            <w:r>
              <w:rPr>
                <w:rFonts w:ascii="Arial" w:hAnsi="Arial"/>
                <w:b/>
                <w:color w:val="8EAD3C"/>
                <w:sz w:val="22"/>
              </w:rPr>
              <w:t>EFFICIENCY</w:t>
            </w:r>
          </w:p>
          <w:p>
            <w:pPr>
              <w:pStyle w:val="TableContents"/>
              <w:spacing w:before="0" w:after="0"/>
              <w:jc w:val="left"/>
              <w:rPr>
                <w:rFonts w:ascii="Arial" w:hAnsi="Arial"/>
                <w:sz w:val="20"/>
              </w:rPr>
            </w:pPr>
            <w:r>
              <w:rPr>
                <w:rFonts w:ascii="Arial" w:hAnsi="Arial"/>
                <w:sz w:val="20"/>
              </w:rPr>
              <w:t>Foster the dedication required to succeed against our competitors, while maintaining low overall general and administrative expense</w:t>
            </w:r>
          </w:p>
        </w:tc>
      </w:tr>
      <w:tr>
        <w:trPr/>
        <w:tc>
          <w:tcPr>
            <w:tcW w:w="2298" w:type="dxa"/>
            <w:tcBorders>
              <w:bottom w:val="single" w:sz="8" w:space="0" w:color="8EAD3C"/>
            </w:tcBorders>
            <w:shd w:fill="auto" w:val="clear"/>
            <w:tcMar>
              <w:top w:w="0" w:type="dxa"/>
              <w:bottom w:w="28" w:type="dxa"/>
            </w:tcMar>
            <w:vAlign w:val="center"/>
          </w:tcPr>
          <w:p>
            <w:pPr>
              <w:pStyle w:val="TableContents"/>
              <w:spacing w:before="0" w:after="283"/>
              <w:rPr/>
            </w:pPr>
            <w:r>
              <w:rPr/>
              <w:t> </w:t>
            </w:r>
          </w:p>
        </w:tc>
        <w:tc>
          <w:tcPr>
            <w:tcW w:w="1862"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1701"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2211"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2133"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500" w:type="dxa"/>
        <w:jc w:val="left"/>
        <w:tblInd w:w="0" w:type="dxa"/>
        <w:tblCellMar>
          <w:top w:w="0" w:type="dxa"/>
          <w:left w:w="0" w:type="dxa"/>
          <w:bottom w:w="0" w:type="dxa"/>
          <w:right w:w="0" w:type="dxa"/>
        </w:tblCellMar>
      </w:tblPr>
      <w:tblGrid>
        <w:gridCol w:w="2210"/>
        <w:gridCol w:w="290"/>
      </w:tblGrid>
      <w:tr>
        <w:trPr/>
        <w:tc>
          <w:tcPr>
            <w:tcW w:w="2210" w:type="dxa"/>
            <w:tcBorders/>
            <w:shd w:fill="auto" w:val="clear"/>
            <w:vAlign w:val="center"/>
          </w:tcPr>
          <w:p>
            <w:pPr>
              <w:pStyle w:val="TableContents"/>
              <w:spacing w:before="0" w:after="283"/>
              <w:jc w:val="left"/>
              <w:rPr>
                <w:rFonts w:ascii="Arial" w:hAnsi="Arial"/>
                <w:sz w:val="15"/>
              </w:rPr>
            </w:pPr>
            <w:r>
              <w:rPr>
                <w:rFonts w:ascii="Arial" w:hAnsi="Arial"/>
                <w:b/>
                <w:sz w:val="15"/>
              </w:rPr>
              <w:t>EXECUTIVE COMPENSATION</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43</w:t>
            </w:r>
          </w:p>
        </w:tc>
      </w:tr>
    </w:tbl>
    <w:p>
      <w:pPr>
        <w:pStyle w:val="TextBody"/>
        <w:spacing w:before="0" w:after="0"/>
        <w:rPr/>
      </w:pPr>
      <w:r>
        <w:rPr/>
      </w:r>
    </w:p>
    <w:tbl>
      <w:tblPr>
        <w:tblW w:w="6775" w:type="dxa"/>
        <w:jc w:val="left"/>
        <w:tblInd w:w="0" w:type="dxa"/>
        <w:tblCellMar>
          <w:top w:w="0" w:type="dxa"/>
          <w:left w:w="0" w:type="dxa"/>
          <w:bottom w:w="0" w:type="dxa"/>
          <w:right w:w="0" w:type="dxa"/>
        </w:tblCellMar>
      </w:tblPr>
      <w:tblGrid>
        <w:gridCol w:w="3155"/>
        <w:gridCol w:w="180"/>
        <w:gridCol w:w="240"/>
        <w:gridCol w:w="3200"/>
      </w:tblGrid>
      <w:tr>
        <w:trPr/>
        <w:tc>
          <w:tcPr>
            <w:tcW w:w="6775" w:type="dxa"/>
            <w:gridSpan w:val="4"/>
            <w:tcBorders/>
            <w:shd w:fill="auto" w:val="clear"/>
            <w:vAlign w:val="center"/>
          </w:tcPr>
          <w:p>
            <w:pPr>
              <w:pStyle w:val="TableContents"/>
              <w:spacing w:before="0" w:after="283"/>
              <w:jc w:val="left"/>
              <w:rPr>
                <w:rFonts w:ascii="Arial" w:hAnsi="Arial"/>
                <w:b/>
                <w:color w:val="8EAD3C"/>
                <w:sz w:val="22"/>
              </w:rPr>
            </w:pPr>
            <w:r>
              <w:rPr>
                <w:rFonts w:ascii="Arial" w:hAnsi="Arial"/>
                <w:b/>
                <w:color w:val="8EAD3C"/>
                <w:sz w:val="22"/>
              </w:rPr>
              <w:t>2022 Performance Highlights</w:t>
            </w:r>
          </w:p>
        </w:tc>
      </w:tr>
      <w:tr>
        <w:trPr/>
        <w:tc>
          <w:tcPr>
            <w:tcW w:w="3155"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180"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240" w:type="dxa"/>
            <w:tcBorders>
              <w:top w:val="single" w:sz="8" w:space="0" w:color="8EAD3C"/>
            </w:tcBorders>
            <w:shd w:fill="auto" w:val="clear"/>
            <w:tcMar>
              <w:top w:w="28" w:type="dxa"/>
            </w:tcMar>
            <w:vAlign w:val="center"/>
          </w:tcPr>
          <w:p>
            <w:pPr>
              <w:pStyle w:val="TableContents"/>
              <w:spacing w:before="0" w:after="283"/>
              <w:jc w:val="left"/>
              <w:rPr/>
            </w:pPr>
            <w:r>
              <w:rPr/>
              <w:t> </w:t>
            </w:r>
          </w:p>
        </w:tc>
        <w:tc>
          <w:tcPr>
            <w:tcW w:w="3200" w:type="dxa"/>
            <w:tcBorders>
              <w:top w:val="single" w:sz="8" w:space="0" w:color="8EAD3C"/>
            </w:tcBorders>
            <w:shd w:fill="auto" w:val="clear"/>
            <w:tcMar>
              <w:top w:w="28" w:type="dxa"/>
            </w:tcMar>
            <w:vAlign w:val="center"/>
          </w:tcPr>
          <w:p>
            <w:pPr>
              <w:pStyle w:val="TableContents"/>
              <w:spacing w:before="0" w:after="283"/>
              <w:jc w:val="left"/>
              <w:rPr/>
            </w:pPr>
            <w:r>
              <w:rPr/>
              <w:t> </w:t>
            </w:r>
          </w:p>
        </w:tc>
      </w:tr>
      <w:tr>
        <w:trPr/>
        <w:tc>
          <w:tcPr>
            <w:tcW w:w="3155" w:type="dxa"/>
            <w:tcBorders>
              <w:bottom w:val="single" w:sz="8" w:space="0" w:color="8EAD3C"/>
            </w:tcBorders>
            <w:shd w:fill="auto" w:val="clear"/>
            <w:tcMar>
              <w:bottom w:w="120" w:type="dxa"/>
            </w:tcMar>
            <w:vAlign w:val="center"/>
          </w:tcPr>
          <w:p>
            <w:pPr>
              <w:pStyle w:val="TableContents"/>
              <w:spacing w:before="0" w:after="283"/>
              <w:jc w:val="left"/>
              <w:rPr/>
            </w:pPr>
            <w:r>
              <w:rPr>
                <w:rFonts w:ascii="Arial" w:hAnsi="Arial"/>
                <w:color w:val="1A2343"/>
                <w:sz w:val="36"/>
              </w:rPr>
              <w:t>$6.76</w:t>
              <w:br/>
            </w:r>
            <w:r>
              <w:rPr>
                <w:rFonts w:ascii="Arial" w:hAnsi="Arial"/>
                <w:b/>
                <w:color w:val="1A2343"/>
                <w:sz w:val="20"/>
              </w:rPr>
              <w:t>Normalized FFO Per Share</w:t>
            </w:r>
            <w:r>
              <w:rPr>
                <w:rFonts w:ascii="Arial" w:hAnsi="Arial"/>
                <w:b/>
                <w:color w:val="1A2343"/>
                <w:position w:val="7"/>
                <w:sz w:val="16"/>
                <w:sz w:val="20"/>
              </w:rPr>
              <w:t>(1)</w:t>
            </w:r>
          </w:p>
        </w:tc>
        <w:tc>
          <w:tcPr>
            <w:tcW w:w="180" w:type="dxa"/>
            <w:tcBorders>
              <w:right w:val="single" w:sz="8" w:space="0" w:color="8EAD3C"/>
            </w:tcBorders>
            <w:shd w:fill="auto" w:val="clear"/>
            <w:tcMar>
              <w:right w:w="28" w:type="dxa"/>
            </w:tcMar>
            <w:vAlign w:val="center"/>
          </w:tcPr>
          <w:p>
            <w:pPr>
              <w:pStyle w:val="TableContents"/>
              <w:spacing w:before="0" w:after="283"/>
              <w:jc w:val="left"/>
              <w:rPr/>
            </w:pPr>
            <w:r>
              <w:rPr/>
              <w:t>   </w:t>
            </w:r>
          </w:p>
        </w:tc>
        <w:tc>
          <w:tcPr>
            <w:tcW w:w="240" w:type="dxa"/>
            <w:tcBorders/>
            <w:shd w:fill="auto" w:val="clear"/>
            <w:vAlign w:val="center"/>
          </w:tcPr>
          <w:p>
            <w:pPr>
              <w:pStyle w:val="TableContents"/>
              <w:spacing w:before="0" w:after="283"/>
              <w:jc w:val="left"/>
              <w:rPr/>
            </w:pPr>
            <w:r>
              <w:rPr/>
              <w:t xml:space="preserve">    </w:t>
            </w:r>
          </w:p>
        </w:tc>
        <w:tc>
          <w:tcPr>
            <w:tcW w:w="3200" w:type="dxa"/>
            <w:tcBorders>
              <w:bottom w:val="single" w:sz="8" w:space="0" w:color="8EAD3C"/>
            </w:tcBorders>
            <w:shd w:fill="auto" w:val="clear"/>
            <w:tcMar>
              <w:bottom w:w="120" w:type="dxa"/>
            </w:tcMar>
            <w:vAlign w:val="center"/>
          </w:tcPr>
          <w:p>
            <w:pPr>
              <w:pStyle w:val="TableContents"/>
              <w:spacing w:before="0" w:after="283"/>
              <w:jc w:val="left"/>
              <w:rPr/>
            </w:pPr>
            <w:r>
              <w:rPr>
                <w:rFonts w:ascii="Arial" w:hAnsi="Arial"/>
                <w:color w:val="1A2343"/>
                <w:sz w:val="36"/>
              </w:rPr>
              <w:t>4.6%</w:t>
              <w:br/>
            </w:r>
            <w:r>
              <w:rPr>
                <w:rFonts w:ascii="Arial" w:hAnsi="Arial"/>
                <w:b/>
                <w:color w:val="1A2343"/>
                <w:sz w:val="20"/>
              </w:rPr>
              <w:t>Same Store Cash NOI</w:t>
            </w:r>
            <w:r>
              <w:rPr>
                <w:rFonts w:ascii="Arial" w:hAnsi="Arial"/>
                <w:b/>
                <w:color w:val="1A2343"/>
                <w:position w:val="7"/>
                <w:sz w:val="16"/>
                <w:sz w:val="20"/>
              </w:rPr>
              <w:t xml:space="preserve">(1) </w:t>
            </w:r>
            <w:r>
              <w:rPr>
                <w:rFonts w:ascii="Arial" w:hAnsi="Arial"/>
                <w:b/>
                <w:color w:val="1A2343"/>
                <w:sz w:val="20"/>
              </w:rPr>
              <w:t>Growth</w:t>
            </w:r>
          </w:p>
        </w:tc>
      </w:tr>
      <w:tr>
        <w:trPr/>
        <w:tc>
          <w:tcPr>
            <w:tcW w:w="3155" w:type="dxa"/>
            <w:tcBorders>
              <w:bottom w:val="single" w:sz="8" w:space="0" w:color="8EAD3C"/>
            </w:tcBorders>
            <w:shd w:fill="auto" w:val="clear"/>
            <w:tcMar>
              <w:bottom w:w="120" w:type="dxa"/>
            </w:tcMar>
            <w:vAlign w:val="center"/>
          </w:tcPr>
          <w:p>
            <w:pPr>
              <w:pStyle w:val="TableContents"/>
              <w:spacing w:before="0" w:after="283"/>
              <w:jc w:val="left"/>
              <w:rPr/>
            </w:pPr>
            <w:r>
              <w:rPr>
                <w:rFonts w:ascii="Arial" w:hAnsi="Arial"/>
                <w:color w:val="1A2343"/>
                <w:sz w:val="36"/>
              </w:rPr>
              <w:t>$2.4B</w:t>
              <w:br/>
            </w:r>
            <w:r>
              <w:rPr>
                <w:rFonts w:ascii="Arial" w:hAnsi="Arial"/>
                <w:b/>
                <w:color w:val="1A2343"/>
                <w:sz w:val="20"/>
              </w:rPr>
              <w:t>Strategic Acquisitions</w:t>
            </w:r>
          </w:p>
        </w:tc>
        <w:tc>
          <w:tcPr>
            <w:tcW w:w="180" w:type="dxa"/>
            <w:tcBorders>
              <w:right w:val="single" w:sz="8" w:space="0" w:color="8EAD3C"/>
            </w:tcBorders>
            <w:shd w:fill="auto" w:val="clear"/>
            <w:tcMar>
              <w:right w:w="28" w:type="dxa"/>
            </w:tcM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200" w:type="dxa"/>
            <w:tcBorders>
              <w:bottom w:val="single" w:sz="8" w:space="0" w:color="8EAD3C"/>
            </w:tcBorders>
            <w:shd w:fill="auto" w:val="clear"/>
            <w:tcMar>
              <w:bottom w:w="120" w:type="dxa"/>
            </w:tcMar>
            <w:vAlign w:val="center"/>
          </w:tcPr>
          <w:p>
            <w:pPr>
              <w:pStyle w:val="TableContents"/>
              <w:spacing w:before="0" w:after="283"/>
              <w:jc w:val="left"/>
              <w:rPr/>
            </w:pPr>
            <w:r>
              <w:rPr>
                <w:rFonts w:ascii="Arial" w:hAnsi="Arial"/>
                <w:color w:val="1A2343"/>
                <w:sz w:val="36"/>
              </w:rPr>
              <w:t>$900M</w:t>
              <w:br/>
            </w:r>
            <w:r>
              <w:rPr>
                <w:rFonts w:ascii="Arial" w:hAnsi="Arial"/>
                <w:b/>
                <w:color w:val="1A2343"/>
                <w:sz w:val="20"/>
              </w:rPr>
              <w:t>Strategic Dispositions</w:t>
            </w:r>
          </w:p>
        </w:tc>
      </w:tr>
      <w:tr>
        <w:trPr/>
        <w:tc>
          <w:tcPr>
            <w:tcW w:w="3155" w:type="dxa"/>
            <w:tcBorders/>
            <w:shd w:fill="auto" w:val="clear"/>
            <w:vAlign w:val="center"/>
          </w:tcPr>
          <w:p>
            <w:pPr>
              <w:pStyle w:val="TableContents"/>
              <w:spacing w:before="0" w:after="283"/>
              <w:jc w:val="left"/>
              <w:rPr/>
            </w:pPr>
            <w:r>
              <w:rPr>
                <w:rFonts w:ascii="Arial" w:hAnsi="Arial"/>
                <w:color w:val="1A2343"/>
                <w:sz w:val="36"/>
              </w:rPr>
              <w:t>2.14M square feet</w:t>
              <w:br/>
            </w:r>
            <w:r>
              <w:rPr>
                <w:rFonts w:ascii="Arial" w:hAnsi="Arial"/>
                <w:b/>
                <w:color w:val="1A2343"/>
                <w:sz w:val="20"/>
              </w:rPr>
              <w:t>Manhattan Office Leasing Volume</w:t>
            </w:r>
          </w:p>
        </w:tc>
        <w:tc>
          <w:tcPr>
            <w:tcW w:w="180" w:type="dxa"/>
            <w:tcBorders>
              <w:right w:val="single" w:sz="8" w:space="0" w:color="8EAD3C"/>
            </w:tcBorders>
            <w:shd w:fill="auto" w:val="clear"/>
            <w:tcMar>
              <w:right w:w="28" w:type="dxa"/>
            </w:tcM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200" w:type="dxa"/>
            <w:tcBorders/>
            <w:shd w:fill="auto" w:val="clear"/>
            <w:vAlign w:val="center"/>
          </w:tcPr>
          <w:p>
            <w:pPr>
              <w:pStyle w:val="TableContents"/>
              <w:spacing w:before="0" w:after="283"/>
              <w:jc w:val="left"/>
              <w:rPr/>
            </w:pPr>
            <w:r>
              <w:rPr>
                <w:rFonts w:ascii="Arial" w:hAnsi="Arial"/>
                <w:color w:val="1A2343"/>
                <w:sz w:val="36"/>
              </w:rPr>
              <w:t>$316M</w:t>
              <w:br/>
            </w:r>
            <w:r>
              <w:rPr>
                <w:rFonts w:ascii="Arial" w:hAnsi="Arial"/>
                <w:b/>
                <w:color w:val="1A2343"/>
                <w:sz w:val="20"/>
              </w:rPr>
              <w:t>Funds Available for Distribution</w:t>
            </w:r>
            <w:r>
              <w:rPr>
                <w:rFonts w:ascii="Arial" w:hAnsi="Arial"/>
                <w:b/>
                <w:color w:val="1A2343"/>
                <w:position w:val="7"/>
                <w:sz w:val="16"/>
                <w:sz w:val="20"/>
              </w:rPr>
              <w:t>(1)</w:t>
            </w:r>
          </w:p>
        </w:tc>
      </w:tr>
      <w:tr>
        <w:trPr/>
        <w:tc>
          <w:tcPr>
            <w:tcW w:w="3155" w:type="dxa"/>
            <w:tcBorders>
              <w:bottom w:val="single" w:sz="8" w:space="0" w:color="8EAD3C"/>
            </w:tcBorders>
            <w:shd w:fill="auto" w:val="clear"/>
            <w:tcMar>
              <w:bottom w:w="28" w:type="dxa"/>
            </w:tcMar>
            <w:vAlign w:val="center"/>
          </w:tcPr>
          <w:p>
            <w:pPr>
              <w:pStyle w:val="TableContents"/>
              <w:spacing w:before="0" w:after="283"/>
              <w:jc w:val="left"/>
              <w:rPr/>
            </w:pPr>
            <w:r>
              <w:rPr/>
              <w:t> </w:t>
            </w:r>
          </w:p>
        </w:tc>
        <w:tc>
          <w:tcPr>
            <w:tcW w:w="180" w:type="dxa"/>
            <w:tcBorders>
              <w:bottom w:val="single" w:sz="8" w:space="0" w:color="8EAD3C"/>
            </w:tcBorders>
            <w:shd w:fill="auto" w:val="clear"/>
            <w:tcMar>
              <w:bottom w:w="28" w:type="dxa"/>
            </w:tcMar>
            <w:vAlign w:val="center"/>
          </w:tcPr>
          <w:p>
            <w:pPr>
              <w:pStyle w:val="TableContents"/>
              <w:spacing w:before="0" w:after="283"/>
              <w:rPr>
                <w:sz w:val="4"/>
                <w:szCs w:val="4"/>
              </w:rPr>
            </w:pPr>
            <w:r>
              <w:rPr>
                <w:sz w:val="4"/>
                <w:szCs w:val="4"/>
              </w:rPr>
            </w:r>
          </w:p>
        </w:tc>
        <w:tc>
          <w:tcPr>
            <w:tcW w:w="240" w:type="dxa"/>
            <w:tcBorders>
              <w:bottom w:val="single" w:sz="8" w:space="0" w:color="8EAD3C"/>
            </w:tcBorders>
            <w:shd w:fill="auto" w:val="clear"/>
            <w:tcMar>
              <w:bottom w:w="28" w:type="dxa"/>
            </w:tcMar>
            <w:vAlign w:val="center"/>
          </w:tcPr>
          <w:p>
            <w:pPr>
              <w:pStyle w:val="TableContents"/>
              <w:spacing w:before="0" w:after="283"/>
              <w:rPr>
                <w:sz w:val="4"/>
                <w:szCs w:val="4"/>
              </w:rPr>
            </w:pPr>
            <w:r>
              <w:rPr>
                <w:sz w:val="4"/>
                <w:szCs w:val="4"/>
              </w:rPr>
            </w:r>
          </w:p>
        </w:tc>
        <w:tc>
          <w:tcPr>
            <w:tcW w:w="3200" w:type="dxa"/>
            <w:tcBorders>
              <w:bottom w:val="single" w:sz="8" w:space="0" w:color="8EAD3C"/>
            </w:tcBorders>
            <w:shd w:fill="auto" w:val="clear"/>
            <w:tcMar>
              <w:bottom w:w="28" w:type="dxa"/>
            </w:tcMar>
            <w:vAlign w:val="center"/>
          </w:tcPr>
          <w:p>
            <w:pPr>
              <w:pStyle w:val="TableContents"/>
              <w:spacing w:before="0" w:after="283"/>
              <w:rPr>
                <w:sz w:val="4"/>
                <w:szCs w:val="4"/>
              </w:rPr>
            </w:pPr>
            <w:r>
              <w:rPr>
                <w:sz w:val="4"/>
                <w:szCs w:val="4"/>
              </w:rPr>
            </w:r>
          </w:p>
        </w:tc>
      </w:tr>
    </w:tbl>
    <w:p>
      <w:pPr>
        <w:pStyle w:val="TextBody"/>
        <w:spacing w:before="240" w:after="283"/>
        <w:jc w:val="left"/>
        <w:rPr>
          <w:rFonts w:ascii="Arial" w:hAnsi="Arial"/>
          <w:b/>
          <w:color w:val="1A2343"/>
          <w:sz w:val="20"/>
        </w:rPr>
      </w:pPr>
      <w:r>
        <w:rPr>
          <w:rFonts w:ascii="Arial" w:hAnsi="Arial"/>
          <w:b/>
          <w:color w:val="1A2343"/>
          <w:sz w:val="20"/>
        </w:rPr>
        <w:t>2022 GOALS AND ACHIEVEMENTS</w:t>
      </w:r>
    </w:p>
    <w:p>
      <w:pPr>
        <w:pStyle w:val="TextBody"/>
        <w:jc w:val="left"/>
        <w:rPr>
          <w:rFonts w:ascii="Arial" w:hAnsi="Arial"/>
          <w:sz w:val="20"/>
        </w:rPr>
      </w:pPr>
      <w:r>
        <w:rPr>
          <w:rFonts w:ascii="Arial" w:hAnsi="Arial"/>
          <w:sz w:val="20"/>
        </w:rPr>
        <w:t>The 2022 Goals were presented at our Institutional Investor Conference on December 6, 2021.</w:t>
      </w:r>
    </w:p>
    <w:tbl>
      <w:tblPr>
        <w:tblW w:w="10205" w:type="dxa"/>
        <w:jc w:val="left"/>
        <w:tblInd w:w="0" w:type="dxa"/>
        <w:tblCellMar>
          <w:top w:w="0" w:type="dxa"/>
          <w:left w:w="0" w:type="dxa"/>
          <w:bottom w:w="28" w:type="dxa"/>
          <w:right w:w="0" w:type="dxa"/>
        </w:tblCellMar>
      </w:tblPr>
      <w:tblGrid>
        <w:gridCol w:w="5257"/>
        <w:gridCol w:w="240"/>
        <w:gridCol w:w="4708"/>
      </w:tblGrid>
      <w:tr>
        <w:trPr/>
        <w:tc>
          <w:tcPr>
            <w:tcW w:w="5257" w:type="dxa"/>
            <w:tcBorders>
              <w:bottom w:val="single" w:sz="12" w:space="0" w:color="1A2343"/>
            </w:tcBorders>
            <w:shd w:fill="auto" w:val="clear"/>
            <w:vAlign w:val="center"/>
          </w:tcPr>
          <w:p>
            <w:pPr>
              <w:pStyle w:val="TableContents"/>
              <w:spacing w:before="0" w:after="283"/>
              <w:jc w:val="left"/>
              <w:rPr>
                <w:rFonts w:ascii="Arial" w:hAnsi="Arial"/>
                <w:b/>
                <w:color w:val="1A2343"/>
                <w:sz w:val="15"/>
              </w:rPr>
            </w:pPr>
            <w:r>
              <w:rPr>
                <w:rFonts w:ascii="Arial" w:hAnsi="Arial"/>
                <w:b/>
                <w:color w:val="1A2343"/>
                <w:sz w:val="15"/>
              </w:rPr>
              <w:t>Goal for 2022</w:t>
            </w:r>
          </w:p>
        </w:tc>
        <w:tc>
          <w:tcPr>
            <w:tcW w:w="240"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4708" w:type="dxa"/>
            <w:tcBorders>
              <w:top w:val="single" w:sz="24" w:space="0" w:color="8EAD3C"/>
              <w:left w:val="single" w:sz="24" w:space="0" w:color="8EAD3C"/>
              <w:bottom w:val="single" w:sz="12" w:space="0" w:color="1A2343"/>
              <w:right w:val="single" w:sz="24" w:space="0" w:color="8EAD3C"/>
            </w:tcBorders>
            <w:shd w:fill="auto" w:val="clear"/>
            <w:tcMar>
              <w:top w:w="120" w:type="dxa"/>
              <w:left w:w="80" w:type="dxa"/>
              <w:right w:w="80" w:type="dxa"/>
            </w:tcMar>
            <w:vAlign w:val="center"/>
          </w:tcPr>
          <w:p>
            <w:pPr>
              <w:pStyle w:val="TableContents"/>
              <w:spacing w:before="0" w:after="283"/>
              <w:jc w:val="left"/>
              <w:rPr>
                <w:rFonts w:ascii="Arial" w:hAnsi="Arial"/>
                <w:b/>
                <w:color w:val="8EAD3C"/>
                <w:sz w:val="15"/>
              </w:rPr>
            </w:pPr>
            <w:r>
              <w:rPr>
                <w:rFonts w:ascii="Arial" w:hAnsi="Arial"/>
                <w:b/>
                <w:color w:val="8EAD3C"/>
                <w:sz w:val="15"/>
              </w:rPr>
              <w:t>How We Did</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 xml:space="preserve">Sign 2.0M Square Feet of Manhattan Office Leases </w:t>
            </w:r>
          </w:p>
        </w:tc>
        <w:tc>
          <w:tcPr>
            <w:tcW w:w="240" w:type="dxa"/>
            <w:tcBorders>
              <w:bottom w:val="single" w:sz="8" w:space="0" w:color="5B5975"/>
            </w:tcBorders>
            <w:shd w:fill="auto" w:val="clear"/>
            <w:vAlign w:val="center"/>
          </w:tcPr>
          <w:p>
            <w:pPr>
              <w:pStyle w:val="TableContents"/>
              <w:spacing w:before="0" w:after="283"/>
              <w:rPr/>
            </w:pPr>
            <w:r>
              <w:rPr/>
              <w:drawing>
                <wp:inline distT="0" distB="0" distL="0" distR="0">
                  <wp:extent cx="152400" cy="161925"/>
                  <wp:effectExtent l="0" t="0" r="0" b="0"/>
                  <wp:docPr id="418"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85" descr=""/>
                          <pic:cNvPicPr>
                            <a:picLocks noChangeAspect="1" noChangeArrowheads="1"/>
                          </pic:cNvPicPr>
                        </pic:nvPicPr>
                        <pic:blipFill>
                          <a:blip r:embed="rId286"/>
                          <a:srcRect l="-6619" t="-6222" r="-6619" b="-6222"/>
                          <a:stretch>
                            <a:fillRect/>
                          </a:stretch>
                        </pic:blipFill>
                        <pic:spPr bwMode="auto">
                          <a:xfrm>
                            <a:off x="0" y="0"/>
                            <a:ext cx="152400" cy="161925"/>
                          </a:xfrm>
                          <a:prstGeom prst="rect">
                            <a:avLst/>
                          </a:prstGeom>
                          <a:ln w="635">
                            <a:solidFill>
                              <a:srgbClr val="000000"/>
                            </a:solidFill>
                          </a:ln>
                        </pic:spPr>
                      </pic:pic>
                    </a:graphicData>
                  </a:graphic>
                </wp:inline>
              </w:drawing>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Signed 2.14M Square Feet of Manhattan Office Leases</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Manhattan Same Store Occupancy 94.3%</w:t>
            </w:r>
          </w:p>
        </w:tc>
        <w:tc>
          <w:tcPr>
            <w:tcW w:w="240" w:type="dxa"/>
            <w:tcBorders>
              <w:bottom w:val="single" w:sz="8" w:space="0" w:color="5B5975"/>
            </w:tcBorders>
            <w:shd w:fill="auto" w:val="clear"/>
            <w:vAlign w:val="center"/>
          </w:tcPr>
          <w:p>
            <w:pPr>
              <w:pStyle w:val="TableContents"/>
              <w:spacing w:before="0" w:after="283"/>
              <w:jc w:val="center"/>
              <w:rPr>
                <w:rFonts w:ascii="Arial" w:hAnsi="Arial"/>
                <w:b/>
                <w:sz w:val="20"/>
              </w:rPr>
            </w:pPr>
            <w:r>
              <w:rPr>
                <w:rFonts w:ascii="Arial" w:hAnsi="Arial"/>
                <w:b/>
                <w:sz w:val="20"/>
              </w:rPr>
              <w:t>X</w:t>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Achieved 91.2% Occupancy at Year End</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Manhattan Office Mark-To-Market (2.5%) – +2.5%</w:t>
            </w:r>
          </w:p>
        </w:tc>
        <w:tc>
          <w:tcPr>
            <w:tcW w:w="240" w:type="dxa"/>
            <w:tcBorders>
              <w:bottom w:val="single" w:sz="8" w:space="0" w:color="5B5975"/>
            </w:tcBorders>
            <w:shd w:fill="auto" w:val="clear"/>
            <w:vAlign w:val="center"/>
          </w:tcPr>
          <w:p>
            <w:pPr>
              <w:pStyle w:val="TableContents"/>
              <w:spacing w:before="0" w:after="283"/>
              <w:jc w:val="center"/>
              <w:rPr>
                <w:rFonts w:ascii="Arial" w:hAnsi="Arial"/>
                <w:b/>
                <w:sz w:val="20"/>
              </w:rPr>
            </w:pPr>
            <w:r>
              <w:rPr>
                <w:rFonts w:ascii="Arial" w:hAnsi="Arial"/>
                <w:b/>
                <w:sz w:val="20"/>
              </w:rPr>
              <w:t>X</w:t>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(9.2%) Mark-to-Market on Signed Leases</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Share Repurchases &gt;$250M</w:t>
            </w:r>
          </w:p>
        </w:tc>
        <w:tc>
          <w:tcPr>
            <w:tcW w:w="240" w:type="dxa"/>
            <w:tcBorders>
              <w:bottom w:val="single" w:sz="8" w:space="0" w:color="5B5975"/>
            </w:tcBorders>
            <w:shd w:fill="auto" w:val="clear"/>
            <w:vAlign w:val="center"/>
          </w:tcPr>
          <w:p>
            <w:pPr>
              <w:pStyle w:val="TableContents"/>
              <w:spacing w:before="0" w:after="283"/>
              <w:jc w:val="center"/>
              <w:rPr>
                <w:rFonts w:ascii="Arial" w:hAnsi="Arial"/>
                <w:b/>
                <w:sz w:val="20"/>
              </w:rPr>
            </w:pPr>
            <w:r>
              <w:rPr>
                <w:rFonts w:ascii="Arial" w:hAnsi="Arial"/>
                <w:b/>
                <w:sz w:val="20"/>
              </w:rPr>
              <w:t>X</w:t>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$192M of Share Repurchases in 2022</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Acquisitions &gt;$250M</w:t>
            </w:r>
          </w:p>
        </w:tc>
        <w:tc>
          <w:tcPr>
            <w:tcW w:w="240" w:type="dxa"/>
            <w:tcBorders>
              <w:bottom w:val="single" w:sz="8" w:space="0" w:color="5B5975"/>
            </w:tcBorders>
            <w:shd w:fill="auto" w:val="clear"/>
            <w:vAlign w:val="center"/>
          </w:tcPr>
          <w:p>
            <w:pPr>
              <w:pStyle w:val="TableContents"/>
              <w:spacing w:before="0" w:after="283"/>
              <w:rPr/>
            </w:pPr>
            <w:r>
              <w:rPr/>
              <w:drawing>
                <wp:inline distT="0" distB="0" distL="0" distR="0">
                  <wp:extent cx="152400" cy="161925"/>
                  <wp:effectExtent l="0" t="0" r="0" b="0"/>
                  <wp:docPr id="419"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286" descr=""/>
                          <pic:cNvPicPr>
                            <a:picLocks noChangeAspect="1" noChangeArrowheads="1"/>
                          </pic:cNvPicPr>
                        </pic:nvPicPr>
                        <pic:blipFill>
                          <a:blip r:embed="rId287"/>
                          <a:srcRect l="-6619" t="-6222" r="-6619" b="-6222"/>
                          <a:stretch>
                            <a:fillRect/>
                          </a:stretch>
                        </pic:blipFill>
                        <pic:spPr bwMode="auto">
                          <a:xfrm>
                            <a:off x="0" y="0"/>
                            <a:ext cx="152400" cy="161925"/>
                          </a:xfrm>
                          <a:prstGeom prst="rect">
                            <a:avLst/>
                          </a:prstGeom>
                          <a:ln w="635">
                            <a:solidFill>
                              <a:srgbClr val="000000"/>
                            </a:solidFill>
                          </a:ln>
                        </pic:spPr>
                      </pic:pic>
                    </a:graphicData>
                  </a:graphic>
                </wp:inline>
              </w:drawing>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$2.4 Billion of Strategic Acquisitions</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Dispositions &gt;$750M</w:t>
            </w:r>
          </w:p>
        </w:tc>
        <w:tc>
          <w:tcPr>
            <w:tcW w:w="240" w:type="dxa"/>
            <w:tcBorders>
              <w:bottom w:val="single" w:sz="8" w:space="0" w:color="5B5975"/>
            </w:tcBorders>
            <w:shd w:fill="auto" w:val="clear"/>
            <w:vAlign w:val="center"/>
          </w:tcPr>
          <w:p>
            <w:pPr>
              <w:pStyle w:val="TableContents"/>
              <w:spacing w:before="0" w:after="283"/>
              <w:rPr/>
            </w:pPr>
            <w:r>
              <w:rPr/>
              <w:drawing>
                <wp:inline distT="0" distB="0" distL="0" distR="0">
                  <wp:extent cx="152400" cy="161925"/>
                  <wp:effectExtent l="0" t="0" r="0" b="0"/>
                  <wp:docPr id="420"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87" descr=""/>
                          <pic:cNvPicPr>
                            <a:picLocks noChangeAspect="1" noChangeArrowheads="1"/>
                          </pic:cNvPicPr>
                        </pic:nvPicPr>
                        <pic:blipFill>
                          <a:blip r:embed="rId288"/>
                          <a:srcRect l="-6619" t="-6222" r="-6619" b="-6222"/>
                          <a:stretch>
                            <a:fillRect/>
                          </a:stretch>
                        </pic:blipFill>
                        <pic:spPr bwMode="auto">
                          <a:xfrm>
                            <a:off x="0" y="0"/>
                            <a:ext cx="152400" cy="161925"/>
                          </a:xfrm>
                          <a:prstGeom prst="rect">
                            <a:avLst/>
                          </a:prstGeom>
                          <a:ln w="635">
                            <a:solidFill>
                              <a:srgbClr val="000000"/>
                            </a:solidFill>
                          </a:ln>
                        </pic:spPr>
                      </pic:pic>
                    </a:graphicData>
                  </a:graphic>
                </wp:inline>
              </w:drawing>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$900 Million of Strategic Dispositions</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Debt and Preferred Equity Originations &gt;$200M</w:t>
            </w:r>
          </w:p>
        </w:tc>
        <w:tc>
          <w:tcPr>
            <w:tcW w:w="240" w:type="dxa"/>
            <w:tcBorders>
              <w:bottom w:val="single" w:sz="8" w:space="0" w:color="5B5975"/>
            </w:tcBorders>
            <w:shd w:fill="auto" w:val="clear"/>
            <w:vAlign w:val="center"/>
          </w:tcPr>
          <w:p>
            <w:pPr>
              <w:pStyle w:val="TableContents"/>
              <w:spacing w:before="0" w:after="283"/>
              <w:jc w:val="center"/>
              <w:rPr>
                <w:rFonts w:ascii="Arial" w:hAnsi="Arial"/>
                <w:b/>
                <w:sz w:val="20"/>
              </w:rPr>
            </w:pPr>
            <w:r>
              <w:rPr>
                <w:rFonts w:ascii="Arial" w:hAnsi="Arial"/>
                <w:b/>
                <w:sz w:val="20"/>
              </w:rPr>
              <w:t>X</w:t>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No Originations</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One Madison: Sign Anchor Leases &gt;500,000 Square Feet</w:t>
            </w:r>
          </w:p>
        </w:tc>
        <w:tc>
          <w:tcPr>
            <w:tcW w:w="240" w:type="dxa"/>
            <w:tcBorders>
              <w:bottom w:val="single" w:sz="8" w:space="0" w:color="5B5975"/>
            </w:tcBorders>
            <w:shd w:fill="auto" w:val="clear"/>
            <w:vAlign w:val="center"/>
          </w:tcPr>
          <w:p>
            <w:pPr>
              <w:pStyle w:val="TableContents"/>
              <w:spacing w:before="0" w:after="283"/>
              <w:rPr/>
            </w:pPr>
            <w:r>
              <w:rPr/>
              <w:drawing>
                <wp:inline distT="0" distB="0" distL="0" distR="0">
                  <wp:extent cx="152400" cy="161925"/>
                  <wp:effectExtent l="0" t="0" r="0" b="0"/>
                  <wp:docPr id="421"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288" descr=""/>
                          <pic:cNvPicPr>
                            <a:picLocks noChangeAspect="1" noChangeArrowheads="1"/>
                          </pic:cNvPicPr>
                        </pic:nvPicPr>
                        <pic:blipFill>
                          <a:blip r:embed="rId289"/>
                          <a:srcRect l="-6619" t="-6222" r="-6619" b="-6222"/>
                          <a:stretch>
                            <a:fillRect/>
                          </a:stretch>
                        </pic:blipFill>
                        <pic:spPr bwMode="auto">
                          <a:xfrm>
                            <a:off x="0" y="0"/>
                            <a:ext cx="152400" cy="161925"/>
                          </a:xfrm>
                          <a:prstGeom prst="rect">
                            <a:avLst/>
                          </a:prstGeom>
                          <a:ln w="635">
                            <a:solidFill>
                              <a:srgbClr val="000000"/>
                            </a:solidFill>
                          </a:ln>
                        </pic:spPr>
                      </pic:pic>
                    </a:graphicData>
                  </a:graphic>
                </wp:inline>
              </w:drawing>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Signed 675,000 Square Feet of Anchor Leases</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One Madison: Construct Above 10</w:t>
            </w:r>
            <w:r>
              <w:rPr>
                <w:rFonts w:ascii="Arial" w:hAnsi="Arial"/>
                <w:position w:val="7"/>
                <w:sz w:val="16"/>
                <w:sz w:val="20"/>
              </w:rPr>
              <w:t xml:space="preserve">th </w:t>
            </w:r>
            <w:r>
              <w:rPr>
                <w:rFonts w:ascii="Arial" w:hAnsi="Arial"/>
                <w:sz w:val="20"/>
              </w:rPr>
              <w:t>Floor by November 2022</w:t>
            </w:r>
          </w:p>
        </w:tc>
        <w:tc>
          <w:tcPr>
            <w:tcW w:w="240" w:type="dxa"/>
            <w:tcBorders>
              <w:bottom w:val="single" w:sz="8" w:space="0" w:color="5B5975"/>
            </w:tcBorders>
            <w:shd w:fill="auto" w:val="clear"/>
            <w:vAlign w:val="center"/>
          </w:tcPr>
          <w:p>
            <w:pPr>
              <w:pStyle w:val="TableContents"/>
              <w:spacing w:before="0" w:after="283"/>
              <w:rPr/>
            </w:pPr>
            <w:r>
              <w:rPr/>
              <w:drawing>
                <wp:inline distT="0" distB="0" distL="0" distR="0">
                  <wp:extent cx="152400" cy="161925"/>
                  <wp:effectExtent l="0" t="0" r="0" b="0"/>
                  <wp:docPr id="422"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89" descr=""/>
                          <pic:cNvPicPr>
                            <a:picLocks noChangeAspect="1" noChangeArrowheads="1"/>
                          </pic:cNvPicPr>
                        </pic:nvPicPr>
                        <pic:blipFill>
                          <a:blip r:embed="rId290"/>
                          <a:srcRect l="-6619" t="-6222" r="-6619" b="-6222"/>
                          <a:stretch>
                            <a:fillRect/>
                          </a:stretch>
                        </pic:blipFill>
                        <pic:spPr bwMode="auto">
                          <a:xfrm>
                            <a:off x="0" y="0"/>
                            <a:ext cx="152400" cy="161925"/>
                          </a:xfrm>
                          <a:prstGeom prst="rect">
                            <a:avLst/>
                          </a:prstGeom>
                          <a:ln w="635">
                            <a:solidFill>
                              <a:srgbClr val="000000"/>
                            </a:solidFill>
                          </a:ln>
                        </pic:spPr>
                      </pic:pic>
                    </a:graphicData>
                  </a:graphic>
                </wp:inline>
              </w:drawing>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Achieved</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7 Dey Street: Achieve Overall Leasing of 95%</w:t>
            </w:r>
          </w:p>
        </w:tc>
        <w:tc>
          <w:tcPr>
            <w:tcW w:w="240" w:type="dxa"/>
            <w:tcBorders>
              <w:bottom w:val="single" w:sz="8" w:space="0" w:color="5B5975"/>
            </w:tcBorders>
            <w:shd w:fill="auto" w:val="clear"/>
            <w:vAlign w:val="center"/>
          </w:tcPr>
          <w:p>
            <w:pPr>
              <w:pStyle w:val="TableContents"/>
              <w:spacing w:before="0" w:after="283"/>
              <w:rPr/>
            </w:pPr>
            <w:r>
              <w:rPr/>
              <w:drawing>
                <wp:inline distT="0" distB="0" distL="0" distR="0">
                  <wp:extent cx="152400" cy="161925"/>
                  <wp:effectExtent l="0" t="0" r="0" b="0"/>
                  <wp:docPr id="423"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290" descr=""/>
                          <pic:cNvPicPr>
                            <a:picLocks noChangeAspect="1" noChangeArrowheads="1"/>
                          </pic:cNvPicPr>
                        </pic:nvPicPr>
                        <pic:blipFill>
                          <a:blip r:embed="rId291"/>
                          <a:srcRect l="-6619" t="-6222" r="-6619" b="-6222"/>
                          <a:stretch>
                            <a:fillRect/>
                          </a:stretch>
                        </pic:blipFill>
                        <pic:spPr bwMode="auto">
                          <a:xfrm>
                            <a:off x="0" y="0"/>
                            <a:ext cx="152400" cy="161925"/>
                          </a:xfrm>
                          <a:prstGeom prst="rect">
                            <a:avLst/>
                          </a:prstGeom>
                          <a:ln w="635">
                            <a:solidFill>
                              <a:srgbClr val="000000"/>
                            </a:solidFill>
                          </a:ln>
                        </pic:spPr>
                      </pic:pic>
                    </a:graphicData>
                  </a:graphic>
                </wp:inline>
              </w:drawing>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95.7% Leased at Year End</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7 Dey Street: Obtain Permanent Financing</w:t>
            </w:r>
          </w:p>
        </w:tc>
        <w:tc>
          <w:tcPr>
            <w:tcW w:w="240" w:type="dxa"/>
            <w:tcBorders>
              <w:bottom w:val="single" w:sz="8" w:space="0" w:color="5B5975"/>
            </w:tcBorders>
            <w:shd w:fill="auto" w:val="clear"/>
            <w:vAlign w:val="center"/>
          </w:tcPr>
          <w:p>
            <w:pPr>
              <w:pStyle w:val="TableContents"/>
              <w:spacing w:before="0" w:after="283"/>
              <w:rPr/>
            </w:pPr>
            <w:r>
              <w:rPr/>
              <w:t></w:t>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pPr>
            <w:r>
              <w:rPr>
                <w:rFonts w:ascii="Arial" w:hAnsi="Arial"/>
                <w:sz w:val="20"/>
              </w:rPr>
              <w:t xml:space="preserve">Anticipate Disposing of Property in 2023 – </w:t>
            </w:r>
            <w:r>
              <w:rPr>
                <w:rFonts w:ascii="Arial" w:hAnsi="Arial"/>
                <w:b/>
                <w:sz w:val="20"/>
              </w:rPr>
              <w:t>Goal N/A</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760 Madison: Obtain Approval and Launch Marketing</w:t>
            </w:r>
          </w:p>
        </w:tc>
        <w:tc>
          <w:tcPr>
            <w:tcW w:w="240" w:type="dxa"/>
            <w:tcBorders>
              <w:bottom w:val="single" w:sz="8" w:space="0" w:color="5B5975"/>
            </w:tcBorders>
            <w:shd w:fill="auto" w:val="clear"/>
            <w:vAlign w:val="center"/>
          </w:tcPr>
          <w:p>
            <w:pPr>
              <w:pStyle w:val="TableContents"/>
              <w:spacing w:before="0" w:after="283"/>
              <w:rPr/>
            </w:pPr>
            <w:r>
              <w:rPr/>
              <w:t></w:t>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Application Submitted</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Reach One Million Meals Served by Food1</w:t>
            </w:r>
            <w:r>
              <w:rPr>
                <w:rFonts w:ascii="Arial" w:hAnsi="Arial"/>
                <w:position w:val="7"/>
                <w:sz w:val="16"/>
                <w:sz w:val="20"/>
              </w:rPr>
              <w:t xml:space="preserve">st </w:t>
            </w:r>
          </w:p>
        </w:tc>
        <w:tc>
          <w:tcPr>
            <w:tcW w:w="240" w:type="dxa"/>
            <w:tcBorders>
              <w:bottom w:val="single" w:sz="8" w:space="0" w:color="5B5975"/>
            </w:tcBorders>
            <w:shd w:fill="auto" w:val="clear"/>
            <w:vAlign w:val="center"/>
          </w:tcPr>
          <w:p>
            <w:pPr>
              <w:pStyle w:val="TableContents"/>
              <w:spacing w:before="0" w:after="283"/>
              <w:rPr/>
            </w:pPr>
            <w:r>
              <w:rPr/>
              <w:drawing>
                <wp:inline distT="0" distB="0" distL="0" distR="0">
                  <wp:extent cx="152400" cy="161925"/>
                  <wp:effectExtent l="0" t="0" r="0" b="0"/>
                  <wp:docPr id="424"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91" descr=""/>
                          <pic:cNvPicPr>
                            <a:picLocks noChangeAspect="1" noChangeArrowheads="1"/>
                          </pic:cNvPicPr>
                        </pic:nvPicPr>
                        <pic:blipFill>
                          <a:blip r:embed="rId292"/>
                          <a:srcRect l="-6619" t="-6222" r="-6619" b="-6222"/>
                          <a:stretch>
                            <a:fillRect/>
                          </a:stretch>
                        </pic:blipFill>
                        <pic:spPr bwMode="auto">
                          <a:xfrm>
                            <a:off x="0" y="0"/>
                            <a:ext cx="152400" cy="161925"/>
                          </a:xfrm>
                          <a:prstGeom prst="rect">
                            <a:avLst/>
                          </a:prstGeom>
                          <a:ln w="635">
                            <a:solidFill>
                              <a:srgbClr val="000000"/>
                            </a:solidFill>
                          </a:ln>
                        </pic:spPr>
                      </pic:pic>
                    </a:graphicData>
                  </a:graphic>
                </wp:inline>
              </w:drawing>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Achieved</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Same Store Cash NOI</w:t>
            </w:r>
            <w:r>
              <w:rPr>
                <w:rFonts w:ascii="Arial" w:hAnsi="Arial"/>
                <w:position w:val="7"/>
                <w:sz w:val="16"/>
                <w:sz w:val="20"/>
              </w:rPr>
              <w:t xml:space="preserve">(1) </w:t>
            </w:r>
            <w:r>
              <w:rPr>
                <w:rFonts w:ascii="Arial" w:hAnsi="Arial"/>
                <w:sz w:val="20"/>
              </w:rPr>
              <w:t>Growth &gt;4.5%</w:t>
            </w:r>
          </w:p>
        </w:tc>
        <w:tc>
          <w:tcPr>
            <w:tcW w:w="240" w:type="dxa"/>
            <w:tcBorders>
              <w:bottom w:val="single" w:sz="8" w:space="0" w:color="5B5975"/>
            </w:tcBorders>
            <w:shd w:fill="auto" w:val="clear"/>
            <w:vAlign w:val="center"/>
          </w:tcPr>
          <w:p>
            <w:pPr>
              <w:pStyle w:val="TableContents"/>
              <w:spacing w:before="0" w:after="283"/>
              <w:rPr/>
            </w:pPr>
            <w:r>
              <w:rPr/>
              <w:drawing>
                <wp:inline distT="0" distB="0" distL="0" distR="0">
                  <wp:extent cx="152400" cy="161925"/>
                  <wp:effectExtent l="0" t="0" r="0" b="0"/>
                  <wp:docPr id="425"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292" descr=""/>
                          <pic:cNvPicPr>
                            <a:picLocks noChangeAspect="1" noChangeArrowheads="1"/>
                          </pic:cNvPicPr>
                        </pic:nvPicPr>
                        <pic:blipFill>
                          <a:blip r:embed="rId293"/>
                          <a:srcRect l="-6619" t="-6222" r="-6619" b="-6222"/>
                          <a:stretch>
                            <a:fillRect/>
                          </a:stretch>
                        </pic:blipFill>
                        <pic:spPr bwMode="auto">
                          <a:xfrm>
                            <a:off x="0" y="0"/>
                            <a:ext cx="152400" cy="161925"/>
                          </a:xfrm>
                          <a:prstGeom prst="rect">
                            <a:avLst/>
                          </a:prstGeom>
                          <a:ln w="635">
                            <a:solidFill>
                              <a:srgbClr val="000000"/>
                            </a:solidFill>
                          </a:ln>
                        </pic:spPr>
                      </pic:pic>
                    </a:graphicData>
                  </a:graphic>
                </wp:inline>
              </w:drawing>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Achieved Growth of 4.6%</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Issue $800M Unsecured Bonds</w:t>
            </w:r>
          </w:p>
        </w:tc>
        <w:tc>
          <w:tcPr>
            <w:tcW w:w="240" w:type="dxa"/>
            <w:tcBorders>
              <w:bottom w:val="single" w:sz="8" w:space="0" w:color="5B5975"/>
            </w:tcBorders>
            <w:shd w:fill="auto" w:val="clear"/>
            <w:vAlign w:val="center"/>
          </w:tcPr>
          <w:p>
            <w:pPr>
              <w:pStyle w:val="TableContents"/>
              <w:spacing w:before="0" w:after="283"/>
              <w:jc w:val="center"/>
              <w:rPr>
                <w:rFonts w:ascii="Arial" w:hAnsi="Arial"/>
                <w:b/>
                <w:sz w:val="20"/>
              </w:rPr>
            </w:pPr>
            <w:r>
              <w:rPr>
                <w:rFonts w:ascii="Arial" w:hAnsi="Arial"/>
                <w:b/>
                <w:sz w:val="20"/>
              </w:rPr>
              <w:t>X</w:t>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Entered into $400M Unsecured Bank Facility</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One-Year TSR Performance &gt;10%</w:t>
            </w:r>
          </w:p>
        </w:tc>
        <w:tc>
          <w:tcPr>
            <w:tcW w:w="240" w:type="dxa"/>
            <w:tcBorders>
              <w:bottom w:val="single" w:sz="8" w:space="0" w:color="5B5975"/>
            </w:tcBorders>
            <w:shd w:fill="auto" w:val="clear"/>
            <w:vAlign w:val="center"/>
          </w:tcPr>
          <w:p>
            <w:pPr>
              <w:pStyle w:val="TableContents"/>
              <w:spacing w:before="0" w:after="283"/>
              <w:jc w:val="center"/>
              <w:rPr>
                <w:rFonts w:ascii="Arial" w:hAnsi="Arial"/>
                <w:b/>
                <w:sz w:val="20"/>
              </w:rPr>
            </w:pPr>
            <w:r>
              <w:rPr>
                <w:rFonts w:ascii="Arial" w:hAnsi="Arial"/>
                <w:b/>
                <w:sz w:val="20"/>
              </w:rPr>
              <w:t>X</w:t>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TSR Performance of (50.95%)</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Exceed DJ U.S. Real Estate Office Index by 250 basis points</w:t>
            </w:r>
          </w:p>
        </w:tc>
        <w:tc>
          <w:tcPr>
            <w:tcW w:w="240" w:type="dxa"/>
            <w:tcBorders>
              <w:bottom w:val="single" w:sz="8" w:space="0" w:color="5B5975"/>
            </w:tcBorders>
            <w:shd w:fill="auto" w:val="clear"/>
            <w:vAlign w:val="center"/>
          </w:tcPr>
          <w:p>
            <w:pPr>
              <w:pStyle w:val="TableContents"/>
              <w:spacing w:before="0" w:after="283"/>
              <w:jc w:val="center"/>
              <w:rPr>
                <w:rFonts w:ascii="Arial" w:hAnsi="Arial"/>
                <w:b/>
                <w:sz w:val="20"/>
              </w:rPr>
            </w:pPr>
            <w:r>
              <w:rPr>
                <w:rFonts w:ascii="Arial" w:hAnsi="Arial"/>
                <w:b/>
                <w:sz w:val="20"/>
              </w:rPr>
              <w:t>X</w:t>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Performance of (942) Basis Points</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GRESB Score of 92</w:t>
            </w:r>
          </w:p>
        </w:tc>
        <w:tc>
          <w:tcPr>
            <w:tcW w:w="240" w:type="dxa"/>
            <w:tcBorders>
              <w:bottom w:val="single" w:sz="8" w:space="0" w:color="5B5975"/>
            </w:tcBorders>
            <w:shd w:fill="auto" w:val="clear"/>
            <w:vAlign w:val="center"/>
          </w:tcPr>
          <w:p>
            <w:pPr>
              <w:pStyle w:val="TableContents"/>
              <w:spacing w:before="0" w:after="283"/>
              <w:jc w:val="center"/>
              <w:rPr>
                <w:rFonts w:ascii="Arial" w:hAnsi="Arial"/>
                <w:b/>
                <w:sz w:val="20"/>
              </w:rPr>
            </w:pPr>
            <w:r>
              <w:rPr>
                <w:rFonts w:ascii="Arial" w:hAnsi="Arial"/>
                <w:b/>
                <w:sz w:val="20"/>
              </w:rPr>
              <w:t>X</w:t>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GRESB Score of 89</w:t>
            </w:r>
          </w:p>
        </w:tc>
      </w:tr>
      <w:tr>
        <w:trPr/>
        <w:tc>
          <w:tcPr>
            <w:tcW w:w="5257"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Further Diversify Board</w:t>
            </w:r>
          </w:p>
        </w:tc>
        <w:tc>
          <w:tcPr>
            <w:tcW w:w="240" w:type="dxa"/>
            <w:tcBorders>
              <w:bottom w:val="single" w:sz="8" w:space="0" w:color="5B5975"/>
            </w:tcBorders>
            <w:shd w:fill="auto" w:val="clear"/>
            <w:vAlign w:val="center"/>
          </w:tcPr>
          <w:p>
            <w:pPr>
              <w:pStyle w:val="TableContents"/>
              <w:spacing w:before="0" w:after="283"/>
              <w:rPr/>
            </w:pPr>
            <w:r>
              <w:rPr/>
              <w:drawing>
                <wp:inline distT="0" distB="0" distL="0" distR="0">
                  <wp:extent cx="152400" cy="161925"/>
                  <wp:effectExtent l="0" t="0" r="0" b="0"/>
                  <wp:docPr id="426"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93" descr=""/>
                          <pic:cNvPicPr>
                            <a:picLocks noChangeAspect="1" noChangeArrowheads="1"/>
                          </pic:cNvPicPr>
                        </pic:nvPicPr>
                        <pic:blipFill>
                          <a:blip r:embed="rId294"/>
                          <a:srcRect l="-6619" t="-6222" r="-6619" b="-6222"/>
                          <a:stretch>
                            <a:fillRect/>
                          </a:stretch>
                        </pic:blipFill>
                        <pic:spPr bwMode="auto">
                          <a:xfrm>
                            <a:off x="0" y="0"/>
                            <a:ext cx="152400" cy="161925"/>
                          </a:xfrm>
                          <a:prstGeom prst="rect">
                            <a:avLst/>
                          </a:prstGeom>
                          <a:ln w="635">
                            <a:solidFill>
                              <a:srgbClr val="000000"/>
                            </a:solidFill>
                          </a:ln>
                        </pic:spPr>
                      </pic:pic>
                    </a:graphicData>
                  </a:graphic>
                </wp:inline>
              </w:drawing>
            </w:r>
          </w:p>
        </w:tc>
        <w:tc>
          <w:tcPr>
            <w:tcW w:w="4708" w:type="dxa"/>
            <w:tcBorders>
              <w:left w:val="single" w:sz="24" w:space="0" w:color="8EAD3C"/>
              <w:bottom w:val="single" w:sz="8" w:space="0" w:color="5B5975"/>
              <w:right w:val="single" w:sz="24" w:space="0" w:color="8EAD3C"/>
            </w:tcBorders>
            <w:shd w:fill="auto" w:val="clear"/>
            <w:tcMar>
              <w:left w:w="80" w:type="dxa"/>
              <w:right w:w="80" w:type="dxa"/>
            </w:tcMar>
            <w:vAlign w:val="center"/>
          </w:tcPr>
          <w:p>
            <w:pPr>
              <w:pStyle w:val="TableContents"/>
              <w:spacing w:before="0" w:after="283"/>
              <w:jc w:val="left"/>
              <w:rPr>
                <w:rFonts w:ascii="Arial" w:hAnsi="Arial"/>
                <w:sz w:val="20"/>
              </w:rPr>
            </w:pPr>
            <w:r>
              <w:rPr>
                <w:rFonts w:ascii="Arial" w:hAnsi="Arial"/>
                <w:sz w:val="20"/>
              </w:rPr>
              <w:t>Achieved</w:t>
            </w:r>
          </w:p>
        </w:tc>
      </w:tr>
      <w:tr>
        <w:trPr/>
        <w:tc>
          <w:tcPr>
            <w:tcW w:w="5257" w:type="dxa"/>
            <w:tcBorders>
              <w:bottom w:val="single" w:sz="12" w:space="0" w:color="1A2343"/>
            </w:tcBorders>
            <w:shd w:fill="auto" w:val="clear"/>
            <w:tcMar>
              <w:bottom w:w="80" w:type="dxa"/>
            </w:tcMar>
            <w:vAlign w:val="center"/>
          </w:tcPr>
          <w:p>
            <w:pPr>
              <w:pStyle w:val="TableContents"/>
              <w:spacing w:before="0" w:after="283"/>
              <w:jc w:val="left"/>
              <w:rPr>
                <w:rFonts w:ascii="Arial" w:hAnsi="Arial"/>
                <w:sz w:val="20"/>
              </w:rPr>
            </w:pPr>
            <w:r>
              <w:rPr>
                <w:rFonts w:ascii="Arial" w:hAnsi="Arial"/>
                <w:sz w:val="20"/>
              </w:rPr>
              <w:t>Obtain Downstate Casino License</w:t>
            </w:r>
          </w:p>
        </w:tc>
        <w:tc>
          <w:tcPr>
            <w:tcW w:w="240" w:type="dxa"/>
            <w:tcBorders>
              <w:bottom w:val="single" w:sz="12" w:space="0" w:color="1A2343"/>
            </w:tcBorders>
            <w:shd w:fill="auto" w:val="clear"/>
            <w:tcMar>
              <w:bottom w:w="80" w:type="dxa"/>
            </w:tcMar>
            <w:vAlign w:val="center"/>
          </w:tcPr>
          <w:p>
            <w:pPr>
              <w:pStyle w:val="TableContents"/>
              <w:spacing w:before="0" w:after="283"/>
              <w:rPr/>
            </w:pPr>
            <w:r>
              <w:rPr/>
              <w:t></w:t>
            </w:r>
          </w:p>
        </w:tc>
        <w:tc>
          <w:tcPr>
            <w:tcW w:w="4708" w:type="dxa"/>
            <w:tcBorders>
              <w:left w:val="single" w:sz="24" w:space="0" w:color="8EAD3C"/>
              <w:bottom w:val="single" w:sz="24" w:space="0" w:color="8EAD3C"/>
              <w:right w:val="single" w:sz="24" w:space="0" w:color="8EAD3C"/>
            </w:tcBorders>
            <w:shd w:fill="auto" w:val="clear"/>
            <w:tcMar>
              <w:left w:w="80" w:type="dxa"/>
              <w:bottom w:w="80" w:type="dxa"/>
              <w:right w:w="80" w:type="dxa"/>
            </w:tcMar>
            <w:vAlign w:val="center"/>
          </w:tcPr>
          <w:p>
            <w:pPr>
              <w:pStyle w:val="TableContents"/>
              <w:spacing w:before="0" w:after="283"/>
              <w:jc w:val="left"/>
              <w:rPr>
                <w:rFonts w:ascii="Arial" w:hAnsi="Arial"/>
                <w:sz w:val="20"/>
              </w:rPr>
            </w:pPr>
            <w:r>
              <w:rPr>
                <w:rFonts w:ascii="Arial" w:hAnsi="Arial"/>
                <w:sz w:val="20"/>
              </w:rPr>
              <w:t>New York State Issued Request For Proposal in 2023</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283"/>
              <w:rPr>
                <w:sz w:val="14"/>
              </w:rPr>
            </w:pPr>
            <w:r>
              <w:rPr>
                <w:sz w:val="14"/>
              </w:rPr>
              <w:t>(1)</w:t>
            </w:r>
          </w:p>
        </w:tc>
        <w:tc>
          <w:tcPr>
            <w:tcW w:w="10046" w:type="dxa"/>
            <w:tcBorders/>
            <w:shd w:fill="auto" w:val="clear"/>
            <w:vAlign w:val="center"/>
          </w:tcPr>
          <w:p>
            <w:pPr>
              <w:pStyle w:val="TableContents"/>
              <w:spacing w:before="0" w:after="283"/>
              <w:rPr/>
            </w:pPr>
            <w:r>
              <w:rPr/>
              <w:t>Refer to Appendix A to this proxy statement for reconciliations of Normalized FFO Per Share, Funds Available for Distribution and Same Store Cash NOI. Same Store Cash NOI is presented excluding lease termination income.</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44</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b/>
          <w:color w:val="1A2343"/>
          <w:sz w:val="26"/>
        </w:rPr>
      </w:pPr>
      <w:r>
        <w:rPr>
          <w:rFonts w:ascii="Arial" w:hAnsi="Arial"/>
          <w:b/>
          <w:color w:val="1A2343"/>
          <w:sz w:val="26"/>
        </w:rPr>
        <w:t>Compensation Program Overview</w:t>
      </w:r>
    </w:p>
    <w:p>
      <w:pPr>
        <w:pStyle w:val="TextBody"/>
        <w:jc w:val="left"/>
        <w:rPr>
          <w:rFonts w:ascii="Arial" w:hAnsi="Arial"/>
          <w:sz w:val="20"/>
        </w:rPr>
      </w:pPr>
      <w:r>
        <w:rPr>
          <w:rFonts w:ascii="Arial" w:hAnsi="Arial"/>
          <w:sz w:val="20"/>
        </w:rPr>
        <w:t>At the heart of our executive compensation philosophy is a commitment to variable, incentive-based pay that aligns stockholder value with the economic interests of our management team. The percentages below reflect the total direct compensation awarded to our named executive officers for 2022, which we believe best reflects the actual compensation decisions made by the Committee.</w:t>
      </w:r>
    </w:p>
    <w:p>
      <w:pPr>
        <w:pStyle w:val="TextBody"/>
        <w:jc w:val="left"/>
        <w:rPr>
          <w:rFonts w:ascii="Arial" w:hAnsi="Arial"/>
          <w:b/>
          <w:color w:val="8EAD3C"/>
          <w:sz w:val="22"/>
        </w:rPr>
      </w:pPr>
      <w:r>
        <w:rPr>
          <w:rFonts w:ascii="Arial" w:hAnsi="Arial"/>
          <w:b/>
          <w:color w:val="8EAD3C"/>
          <w:sz w:val="22"/>
        </w:rPr>
        <w:t>Majority of 2022 Pay at Risk</w:t>
      </w:r>
    </w:p>
    <w:p>
      <w:pPr>
        <w:pStyle w:val="TextBody"/>
        <w:jc w:val="center"/>
        <w:rPr/>
      </w:pPr>
      <w:r>
        <w:rPr/>
        <w:drawing>
          <wp:inline distT="0" distB="0" distL="0" distR="0">
            <wp:extent cx="6191250" cy="8553450"/>
            <wp:effectExtent l="0" t="0" r="0" b="0"/>
            <wp:docPr id="427"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294" descr=""/>
                    <pic:cNvPicPr>
                      <a:picLocks noChangeAspect="1" noChangeArrowheads="1"/>
                    </pic:cNvPicPr>
                  </pic:nvPicPr>
                  <pic:blipFill>
                    <a:blip r:embed="rId295"/>
                    <a:srcRect l="-50" t="-117" r="-50" b="-117"/>
                    <a:stretch>
                      <a:fillRect/>
                    </a:stretch>
                  </pic:blipFill>
                  <pic:spPr bwMode="auto">
                    <a:xfrm>
                      <a:off x="0" y="0"/>
                      <a:ext cx="6191250" cy="8553450"/>
                    </a:xfrm>
                    <a:prstGeom prst="rect">
                      <a:avLst/>
                    </a:prstGeom>
                    <a:ln w="635">
                      <a:solidFill>
                        <a:srgbClr val="000000"/>
                      </a:solidFill>
                    </a:ln>
                  </pic:spPr>
                </pic:pic>
              </a:graphicData>
            </a:graphic>
          </wp:inline>
        </w:drawing>
      </w:r>
    </w:p>
    <w:p>
      <w:pPr>
        <w:pStyle w:val="TextBody"/>
        <w:spacing w:before="0" w:after="160"/>
        <w:jc w:val="left"/>
        <w:rPr>
          <w:rFonts w:ascii="Arial" w:hAnsi="Arial"/>
          <w:b/>
          <w:color w:val="8EAD3C"/>
          <w:sz w:val="22"/>
        </w:rPr>
      </w:pPr>
      <w:r>
        <w:rPr>
          <w:rFonts w:ascii="Arial" w:hAnsi="Arial"/>
          <w:b/>
          <w:color w:val="8EAD3C"/>
          <w:sz w:val="22"/>
        </w:rPr>
        <w:t>Majority of 2022 Compensation Paid in Equity</w:t>
      </w:r>
    </w:p>
    <w:tbl>
      <w:tblPr>
        <w:tblW w:w="5145" w:type="dxa"/>
        <w:jc w:val="left"/>
        <w:tblInd w:w="0" w:type="dxa"/>
        <w:tblCellMar>
          <w:top w:w="0" w:type="dxa"/>
          <w:left w:w="0" w:type="dxa"/>
          <w:bottom w:w="28" w:type="dxa"/>
          <w:right w:w="0" w:type="dxa"/>
        </w:tblCellMar>
      </w:tblPr>
      <w:tblGrid>
        <w:gridCol w:w="2585"/>
        <w:gridCol w:w="300"/>
        <w:gridCol w:w="980"/>
        <w:gridCol w:w="300"/>
        <w:gridCol w:w="980"/>
      </w:tblGrid>
      <w:tr>
        <w:trPr/>
        <w:tc>
          <w:tcPr>
            <w:tcW w:w="2585"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jc w:val="left"/>
              <w:rPr/>
            </w:pPr>
            <w:r>
              <w:rPr/>
              <w:t>     </w:t>
            </w:r>
          </w:p>
        </w:tc>
        <w:tc>
          <w:tcPr>
            <w:tcW w:w="980" w:type="dxa"/>
            <w:tcBorders>
              <w:bottom w:val="single" w:sz="12" w:space="0" w:color="1A2343"/>
            </w:tcBorders>
            <w:shd w:fill="auto" w:val="clear"/>
            <w:vAlign w:val="center"/>
          </w:tcPr>
          <w:p>
            <w:pPr>
              <w:pStyle w:val="TableContents"/>
              <w:spacing w:before="0" w:after="283"/>
              <w:jc w:val="center"/>
              <w:rPr>
                <w:rFonts w:ascii="Arial" w:hAnsi="Arial"/>
                <w:color w:val="1A2343"/>
                <w:sz w:val="15"/>
              </w:rPr>
            </w:pPr>
            <w:r>
              <w:rPr>
                <w:rFonts w:ascii="Arial" w:hAnsi="Arial"/>
                <w:color w:val="1A2343"/>
                <w:sz w:val="15"/>
              </w:rPr>
              <w:t>CEO</w:t>
            </w:r>
          </w:p>
        </w:tc>
        <w:tc>
          <w:tcPr>
            <w:tcW w:w="300" w:type="dxa"/>
            <w:tcBorders/>
            <w:shd w:fill="auto" w:val="clear"/>
            <w:tcMar>
              <w:bottom w:w="0" w:type="dxa"/>
            </w:tcMar>
            <w:vAlign w:val="center"/>
          </w:tcPr>
          <w:p>
            <w:pPr>
              <w:pStyle w:val="TableContents"/>
              <w:spacing w:before="0" w:after="283"/>
              <w:jc w:val="left"/>
              <w:rPr/>
            </w:pPr>
            <w:r>
              <w:rPr/>
              <w:t>     </w:t>
            </w:r>
          </w:p>
        </w:tc>
        <w:tc>
          <w:tcPr>
            <w:tcW w:w="980" w:type="dxa"/>
            <w:tcBorders>
              <w:bottom w:val="single" w:sz="12" w:space="0" w:color="1A2343"/>
            </w:tcBorders>
            <w:shd w:fill="auto" w:val="clear"/>
            <w:vAlign w:val="center"/>
          </w:tcPr>
          <w:p>
            <w:pPr>
              <w:pStyle w:val="TableContents"/>
              <w:spacing w:before="0" w:after="283"/>
              <w:jc w:val="center"/>
              <w:rPr>
                <w:rFonts w:ascii="Arial" w:hAnsi="Arial"/>
                <w:color w:val="1A2343"/>
                <w:sz w:val="15"/>
              </w:rPr>
            </w:pPr>
            <w:r>
              <w:rPr>
                <w:rFonts w:ascii="Arial" w:hAnsi="Arial"/>
                <w:color w:val="1A2343"/>
                <w:sz w:val="15"/>
              </w:rPr>
              <w:t>Other NEOs</w:t>
            </w:r>
          </w:p>
        </w:tc>
      </w:tr>
      <w:tr>
        <w:trPr/>
        <w:tc>
          <w:tcPr>
            <w:tcW w:w="2585" w:type="dxa"/>
            <w:tcBorders>
              <w:bottom w:val="single" w:sz="12" w:space="0" w:color="1A2343"/>
            </w:tcBorders>
            <w:shd w:fill="auto" w:val="clear"/>
            <w:vAlign w:val="center"/>
          </w:tcPr>
          <w:p>
            <w:pPr>
              <w:pStyle w:val="TableContents"/>
              <w:spacing w:before="0" w:after="0"/>
              <w:jc w:val="left"/>
              <w:rPr>
                <w:rFonts w:ascii="Arial" w:hAnsi="Arial"/>
                <w:b/>
                <w:color w:val="1A2343"/>
                <w:sz w:val="20"/>
              </w:rPr>
            </w:pPr>
            <w:r>
              <w:rPr>
                <w:rFonts w:ascii="Arial" w:hAnsi="Arial"/>
                <w:b/>
                <w:color w:val="1A2343"/>
                <w:sz w:val="20"/>
              </w:rPr>
              <w:t>Equity Compensation</w:t>
            </w:r>
          </w:p>
          <w:p>
            <w:pPr>
              <w:pStyle w:val="TableContents"/>
              <w:spacing w:before="0" w:after="0"/>
              <w:ind w:left="0" w:right="0" w:hanging="290"/>
              <w:jc w:val="left"/>
              <w:rPr/>
            </w:pPr>
            <w:r>
              <w:rPr>
                <w:color w:val="1A2343"/>
              </w:rPr>
              <w:t>●</w:t>
            </w:r>
            <w:r>
              <w:rPr>
                <w:rFonts w:ascii="arial" w:hAnsi="arial"/>
                <w:sz w:val="15"/>
              </w:rPr>
              <w:t>Performance-Based Equity Awards</w:t>
            </w:r>
          </w:p>
          <w:p>
            <w:pPr>
              <w:pStyle w:val="TableContents"/>
              <w:spacing w:before="0" w:after="0"/>
              <w:ind w:left="0" w:right="0" w:hanging="290"/>
              <w:jc w:val="left"/>
              <w:rPr/>
            </w:pPr>
            <w:r>
              <w:rPr>
                <w:color w:val="1A2343"/>
              </w:rPr>
              <w:t>●</w:t>
            </w:r>
            <w:r>
              <w:rPr>
                <w:rFonts w:ascii="arial" w:hAnsi="arial"/>
                <w:sz w:val="15"/>
              </w:rPr>
              <w:t>Time-Based Equity Awards</w:t>
            </w:r>
          </w:p>
        </w:tc>
        <w:tc>
          <w:tcPr>
            <w:tcW w:w="300" w:type="dxa"/>
            <w:tcBorders/>
            <w:shd w:fill="auto" w:val="clear"/>
            <w:tcMar>
              <w:bottom w:w="0" w:type="dxa"/>
            </w:tcMar>
            <w:vAlign w:val="center"/>
          </w:tcPr>
          <w:p>
            <w:pPr>
              <w:pStyle w:val="TableContents"/>
              <w:spacing w:before="0" w:after="283"/>
              <w:jc w:val="left"/>
              <w:rPr/>
            </w:pPr>
            <w:r>
              <w:rPr/>
              <w:t> </w:t>
            </w:r>
          </w:p>
        </w:tc>
        <w:tc>
          <w:tcPr>
            <w:tcW w:w="980" w:type="dxa"/>
            <w:tcBorders>
              <w:bottom w:val="single" w:sz="12" w:space="0" w:color="1A2343"/>
            </w:tcBorders>
            <w:shd w:fill="auto" w:val="clear"/>
            <w:vAlign w:val="center"/>
          </w:tcPr>
          <w:p>
            <w:pPr>
              <w:pStyle w:val="TableContents"/>
              <w:spacing w:before="0" w:after="283"/>
              <w:jc w:val="center"/>
              <w:rPr>
                <w:rFonts w:ascii="Arial" w:hAnsi="Arial"/>
                <w:color w:val="1A2343"/>
                <w:sz w:val="48"/>
              </w:rPr>
            </w:pPr>
            <w:r>
              <w:rPr>
                <w:rFonts w:ascii="Arial" w:hAnsi="Arial"/>
                <w:color w:val="1A2343"/>
                <w:sz w:val="48"/>
              </w:rPr>
              <w:t>78%</w:t>
            </w:r>
          </w:p>
        </w:tc>
        <w:tc>
          <w:tcPr>
            <w:tcW w:w="300" w:type="dxa"/>
            <w:tcBorders/>
            <w:shd w:fill="auto" w:val="clear"/>
            <w:tcMar>
              <w:bottom w:w="0" w:type="dxa"/>
            </w:tcMar>
            <w:vAlign w:val="center"/>
          </w:tcPr>
          <w:p>
            <w:pPr>
              <w:pStyle w:val="TableContents"/>
              <w:spacing w:before="0" w:after="283"/>
              <w:jc w:val="left"/>
              <w:rPr/>
            </w:pPr>
            <w:r>
              <w:rPr/>
              <w:t> </w:t>
            </w:r>
          </w:p>
        </w:tc>
        <w:tc>
          <w:tcPr>
            <w:tcW w:w="980" w:type="dxa"/>
            <w:tcBorders>
              <w:bottom w:val="single" w:sz="12" w:space="0" w:color="1A2343"/>
            </w:tcBorders>
            <w:shd w:fill="auto" w:val="clear"/>
            <w:vAlign w:val="center"/>
          </w:tcPr>
          <w:p>
            <w:pPr>
              <w:pStyle w:val="TableContents"/>
              <w:spacing w:before="0" w:after="283"/>
              <w:jc w:val="center"/>
              <w:rPr>
                <w:rFonts w:ascii="Arial" w:hAnsi="Arial"/>
                <w:color w:val="1A2343"/>
                <w:sz w:val="48"/>
              </w:rPr>
            </w:pPr>
            <w:r>
              <w:rPr>
                <w:rFonts w:ascii="Arial" w:hAnsi="Arial"/>
                <w:color w:val="1A2343"/>
                <w:sz w:val="48"/>
              </w:rPr>
              <w:t>72%</w:t>
            </w:r>
          </w:p>
        </w:tc>
      </w:tr>
      <w:tr>
        <w:trPr/>
        <w:tc>
          <w:tcPr>
            <w:tcW w:w="2585" w:type="dxa"/>
            <w:tcBorders>
              <w:bottom w:val="single" w:sz="12" w:space="0" w:color="1A2343"/>
            </w:tcBorders>
            <w:shd w:fill="auto" w:val="clear"/>
            <w:vAlign w:val="center"/>
          </w:tcPr>
          <w:p>
            <w:pPr>
              <w:pStyle w:val="TableContents"/>
              <w:spacing w:before="0" w:after="0"/>
              <w:jc w:val="left"/>
              <w:rPr>
                <w:rFonts w:ascii="Arial" w:hAnsi="Arial"/>
                <w:b/>
                <w:color w:val="1A2343"/>
                <w:sz w:val="20"/>
              </w:rPr>
            </w:pPr>
            <w:r>
              <w:rPr>
                <w:rFonts w:ascii="Arial" w:hAnsi="Arial"/>
                <w:b/>
                <w:color w:val="1A2343"/>
                <w:sz w:val="20"/>
              </w:rPr>
              <w:t>Cash Compensation</w:t>
            </w:r>
          </w:p>
          <w:p>
            <w:pPr>
              <w:pStyle w:val="TableContents"/>
              <w:spacing w:before="0" w:after="0"/>
              <w:ind w:left="0" w:right="0" w:hanging="290"/>
              <w:jc w:val="left"/>
              <w:rPr/>
            </w:pPr>
            <w:r>
              <w:rPr>
                <w:color w:val="1A2343"/>
              </w:rPr>
              <w:t>●</w:t>
            </w:r>
            <w:r>
              <w:rPr>
                <w:rFonts w:ascii="arial" w:hAnsi="arial"/>
                <w:sz w:val="15"/>
              </w:rPr>
              <w:t>Base Salary</w:t>
            </w:r>
          </w:p>
          <w:p>
            <w:pPr>
              <w:pStyle w:val="TableContents"/>
              <w:spacing w:before="0" w:after="0"/>
              <w:ind w:left="0" w:right="0" w:hanging="290"/>
              <w:jc w:val="left"/>
              <w:rPr/>
            </w:pPr>
            <w:r>
              <w:rPr>
                <w:color w:val="1A2343"/>
              </w:rPr>
              <w:t>●</w:t>
            </w:r>
            <w:r>
              <w:rPr>
                <w:rFonts w:ascii="arial" w:hAnsi="arial"/>
                <w:sz w:val="15"/>
              </w:rPr>
              <w:t>Cash Bonus</w:t>
            </w:r>
          </w:p>
        </w:tc>
        <w:tc>
          <w:tcPr>
            <w:tcW w:w="300" w:type="dxa"/>
            <w:tcBorders/>
            <w:shd w:fill="auto" w:val="clear"/>
            <w:tcMar>
              <w:bottom w:w="0" w:type="dxa"/>
            </w:tcMar>
            <w:vAlign w:val="center"/>
          </w:tcPr>
          <w:p>
            <w:pPr>
              <w:pStyle w:val="TableContents"/>
              <w:spacing w:before="0" w:after="283"/>
              <w:jc w:val="left"/>
              <w:rPr/>
            </w:pPr>
            <w:r>
              <w:rPr/>
              <w:t> </w:t>
            </w:r>
          </w:p>
        </w:tc>
        <w:tc>
          <w:tcPr>
            <w:tcW w:w="980" w:type="dxa"/>
            <w:tcBorders>
              <w:bottom w:val="single" w:sz="12" w:space="0" w:color="1A2343"/>
            </w:tcBorders>
            <w:shd w:fill="auto" w:val="clear"/>
            <w:vAlign w:val="center"/>
          </w:tcPr>
          <w:p>
            <w:pPr>
              <w:pStyle w:val="TableContents"/>
              <w:spacing w:before="0" w:after="283"/>
              <w:jc w:val="center"/>
              <w:rPr>
                <w:rFonts w:ascii="Arial" w:hAnsi="Arial"/>
                <w:color w:val="1A2343"/>
                <w:sz w:val="48"/>
              </w:rPr>
            </w:pPr>
            <w:r>
              <w:rPr>
                <w:rFonts w:ascii="Arial" w:hAnsi="Arial"/>
                <w:color w:val="1A2343"/>
                <w:sz w:val="48"/>
              </w:rPr>
              <w:t>22%</w:t>
            </w:r>
          </w:p>
        </w:tc>
        <w:tc>
          <w:tcPr>
            <w:tcW w:w="300" w:type="dxa"/>
            <w:tcBorders/>
            <w:shd w:fill="auto" w:val="clear"/>
            <w:tcMar>
              <w:bottom w:w="0" w:type="dxa"/>
            </w:tcMar>
            <w:vAlign w:val="center"/>
          </w:tcPr>
          <w:p>
            <w:pPr>
              <w:pStyle w:val="TableContents"/>
              <w:spacing w:before="0" w:after="283"/>
              <w:jc w:val="left"/>
              <w:rPr/>
            </w:pPr>
            <w:r>
              <w:rPr/>
              <w:t> </w:t>
            </w:r>
          </w:p>
        </w:tc>
        <w:tc>
          <w:tcPr>
            <w:tcW w:w="980" w:type="dxa"/>
            <w:tcBorders>
              <w:bottom w:val="single" w:sz="12" w:space="0" w:color="1A2343"/>
            </w:tcBorders>
            <w:shd w:fill="auto" w:val="clear"/>
            <w:vAlign w:val="center"/>
          </w:tcPr>
          <w:p>
            <w:pPr>
              <w:pStyle w:val="TableContents"/>
              <w:spacing w:before="0" w:after="283"/>
              <w:jc w:val="center"/>
              <w:rPr>
                <w:rFonts w:ascii="Arial" w:hAnsi="Arial"/>
                <w:color w:val="1A2343"/>
                <w:sz w:val="48"/>
              </w:rPr>
            </w:pPr>
            <w:r>
              <w:rPr>
                <w:rFonts w:ascii="Arial" w:hAnsi="Arial"/>
                <w:color w:val="1A2343"/>
                <w:sz w:val="48"/>
              </w:rPr>
              <w:t>28%</w:t>
            </w:r>
          </w:p>
        </w:tc>
      </w:tr>
    </w:tbl>
    <w:p>
      <w:pPr>
        <w:pStyle w:val="TextBody"/>
        <w:spacing w:before="240" w:after="283"/>
        <w:jc w:val="left"/>
        <w:rPr>
          <w:rFonts w:ascii="Arial" w:hAnsi="Arial"/>
          <w:b/>
          <w:color w:val="8EAD3C"/>
          <w:sz w:val="22"/>
        </w:rPr>
      </w:pPr>
      <w:r>
        <w:rPr>
          <w:rFonts w:ascii="Arial" w:hAnsi="Arial"/>
          <w:b/>
          <w:color w:val="8EAD3C"/>
          <w:sz w:val="22"/>
        </w:rPr>
        <w:t>Board Commitment to Stockholder Engagement; Consideration of Say on Pay Vote</w:t>
      </w:r>
    </w:p>
    <w:p>
      <w:pPr>
        <w:pStyle w:val="TextBody"/>
        <w:jc w:val="left"/>
        <w:rPr/>
      </w:pPr>
      <w:r>
        <w:rPr>
          <w:rFonts w:ascii="Arial" w:hAnsi="Arial"/>
          <w:sz w:val="20"/>
        </w:rPr>
        <w:t xml:space="preserve">For several years, our Compensation Committee has included </w:t>
      </w:r>
      <w:r>
        <w:rPr>
          <w:rFonts w:ascii="Arial" w:hAnsi="Arial"/>
          <w:b/>
          <w:sz w:val="20"/>
        </w:rPr>
        <w:t>a robust stockholder outreach</w:t>
      </w:r>
      <w:r>
        <w:rPr>
          <w:rFonts w:ascii="Arial" w:hAnsi="Arial"/>
          <w:sz w:val="20"/>
        </w:rPr>
        <w:t xml:space="preserve"> program as part of its executive compensation practices. The feedback received from stockholders has served as a key input to compensation </w:t>
      </w:r>
      <w:r>
        <w:rPr>
          <w:rFonts w:ascii="Arial" w:hAnsi="Arial"/>
          <w:b/>
          <w:sz w:val="20"/>
        </w:rPr>
        <w:t>design and structural upgrades</w:t>
      </w:r>
      <w:r>
        <w:rPr>
          <w:rFonts w:ascii="Arial" w:hAnsi="Arial"/>
          <w:sz w:val="20"/>
        </w:rPr>
        <w:t xml:space="preserve"> implemented since 2018. The success of the engagement program is evidenced by the </w:t>
      </w:r>
      <w:r>
        <w:rPr>
          <w:rFonts w:ascii="Arial" w:hAnsi="Arial"/>
          <w:b/>
          <w:sz w:val="20"/>
        </w:rPr>
        <w:t>significant changes</w:t>
      </w:r>
      <w:r>
        <w:rPr>
          <w:rFonts w:ascii="Arial" w:hAnsi="Arial"/>
          <w:sz w:val="20"/>
        </w:rPr>
        <w:t xml:space="preserve"> adopted as a direct result of the feedback received and the </w:t>
      </w:r>
      <w:r>
        <w:rPr>
          <w:rFonts w:ascii="Arial" w:hAnsi="Arial"/>
          <w:b/>
          <w:sz w:val="20"/>
        </w:rPr>
        <w:t xml:space="preserve">significant changes implemented </w:t>
      </w:r>
      <w:r>
        <w:rPr>
          <w:rFonts w:ascii="Arial" w:hAnsi="Arial"/>
          <w:sz w:val="20"/>
        </w:rPr>
        <w:t>in response to stockholder feedback over the last several years. While stockholder support for the 2022 advisory vote on executive compensation (“Say on Pay”) increased by 39% relative to 2021, which the Committee viewed favorably, the Committee remains firmly committed to further enhancing our compensation programs.</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455" w:type="dxa"/>
        <w:jc w:val="left"/>
        <w:tblInd w:w="0" w:type="dxa"/>
        <w:tblCellMar>
          <w:top w:w="0" w:type="dxa"/>
          <w:left w:w="0" w:type="dxa"/>
          <w:bottom w:w="0" w:type="dxa"/>
          <w:right w:w="0" w:type="dxa"/>
        </w:tblCellMar>
      </w:tblPr>
      <w:tblGrid>
        <w:gridCol w:w="2165"/>
        <w:gridCol w:w="290"/>
      </w:tblGrid>
      <w:tr>
        <w:trPr/>
        <w:tc>
          <w:tcPr>
            <w:tcW w:w="2165" w:type="dxa"/>
            <w:tcBorders/>
            <w:shd w:fill="auto" w:val="clear"/>
            <w:vAlign w:val="center"/>
          </w:tcPr>
          <w:p>
            <w:pPr>
              <w:pStyle w:val="TableContents"/>
              <w:spacing w:before="0" w:after="283"/>
              <w:jc w:val="left"/>
              <w:rPr>
                <w:rFonts w:ascii="Arial" w:hAnsi="Arial"/>
                <w:b/>
                <w:sz w:val="15"/>
              </w:rPr>
            </w:pPr>
            <w:r>
              <w:rPr>
                <w:rFonts w:ascii="Arial" w:hAnsi="Arial"/>
                <w:b/>
                <w:sz w:val="15"/>
              </w:rPr>
              <w:t>EXECUTIVE COMPENSATION</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45</w:t>
            </w:r>
          </w:p>
        </w:tc>
      </w:tr>
    </w:tbl>
    <w:p>
      <w:pPr>
        <w:pStyle w:val="TextBody"/>
        <w:spacing w:before="240" w:after="283"/>
        <w:jc w:val="left"/>
        <w:rPr/>
      </w:pPr>
      <w:r>
        <w:rPr>
          <w:rFonts w:ascii="Arial" w:hAnsi="Arial"/>
          <w:sz w:val="20"/>
        </w:rPr>
        <w:t xml:space="preserve">Following our 2022 annual meeting, we contacted stockholders collectively representing </w:t>
      </w:r>
      <w:r>
        <w:rPr>
          <w:rFonts w:ascii="Arial" w:hAnsi="Arial"/>
          <w:b/>
          <w:sz w:val="20"/>
        </w:rPr>
        <w:t>66% of outstanding shares</w:t>
      </w:r>
      <w:r>
        <w:rPr>
          <w:rFonts w:ascii="Arial" w:hAnsi="Arial"/>
          <w:sz w:val="20"/>
        </w:rPr>
        <w:t xml:space="preserve">, and had substantive conversations with all stockholders who responded to our outreach, which represented 30% of outstanding shares. Directors, including the </w:t>
      </w:r>
      <w:r>
        <w:rPr>
          <w:rFonts w:ascii="Arial" w:hAnsi="Arial"/>
          <w:b/>
          <w:sz w:val="20"/>
        </w:rPr>
        <w:t>Chair</w:t>
      </w:r>
      <w:r>
        <w:rPr>
          <w:rFonts w:ascii="Arial" w:hAnsi="Arial"/>
          <w:sz w:val="20"/>
        </w:rPr>
        <w:t xml:space="preserve"> of our </w:t>
      </w:r>
      <w:r>
        <w:rPr>
          <w:rFonts w:ascii="Arial" w:hAnsi="Arial"/>
          <w:b/>
          <w:sz w:val="20"/>
        </w:rPr>
        <w:t>Compensation Committee</w:t>
      </w:r>
      <w:r>
        <w:rPr>
          <w:rFonts w:ascii="Arial" w:hAnsi="Arial"/>
          <w:sz w:val="20"/>
        </w:rPr>
        <w:t xml:space="preserve">, led </w:t>
      </w:r>
      <w:r>
        <w:rPr>
          <w:rFonts w:ascii="Arial" w:hAnsi="Arial"/>
          <w:b/>
          <w:sz w:val="20"/>
        </w:rPr>
        <w:t>several stockholder discussions</w:t>
      </w:r>
      <w:r>
        <w:rPr>
          <w:rFonts w:ascii="Arial" w:hAnsi="Arial"/>
          <w:sz w:val="20"/>
        </w:rPr>
        <w:t>, as well as the conversations with both proxy advisors.</w:t>
      </w:r>
    </w:p>
    <w:tbl>
      <w:tblPr>
        <w:tblW w:w="10205" w:type="dxa"/>
        <w:jc w:val="left"/>
        <w:tblInd w:w="0" w:type="dxa"/>
        <w:tblCellMar>
          <w:top w:w="0" w:type="dxa"/>
          <w:left w:w="0" w:type="dxa"/>
          <w:bottom w:w="0" w:type="dxa"/>
          <w:right w:w="0" w:type="dxa"/>
        </w:tblCellMar>
      </w:tblPr>
      <w:tblGrid>
        <w:gridCol w:w="334"/>
        <w:gridCol w:w="2235"/>
        <w:gridCol w:w="3219"/>
        <w:gridCol w:w="4212"/>
        <w:gridCol w:w="180"/>
        <w:gridCol w:w="25"/>
      </w:tblGrid>
      <w:tr>
        <w:trPr/>
        <w:tc>
          <w:tcPr>
            <w:tcW w:w="334" w:type="dxa"/>
            <w:tcBorders/>
            <w:shd w:fill="auto" w:val="clear"/>
            <w:vAlign w:val="center"/>
          </w:tcPr>
          <w:p>
            <w:pPr>
              <w:pStyle w:val="TableContents"/>
              <w:spacing w:before="0" w:after="283"/>
              <w:rPr/>
            </w:pPr>
            <w:r>
              <w:rPr/>
              <w:t>   </w:t>
            </w:r>
          </w:p>
        </w:tc>
        <w:tc>
          <w:tcPr>
            <w:tcW w:w="2235" w:type="dxa"/>
            <w:tcBorders>
              <w:top w:val="single" w:sz="24" w:space="0" w:color="8EAD3C"/>
              <w:left w:val="single" w:sz="24" w:space="0" w:color="8EAD3C"/>
            </w:tcBorders>
            <w:shd w:fill="auto" w:val="clear"/>
            <w:tcMar>
              <w:top w:w="28" w:type="dxa"/>
              <w:left w:w="28" w:type="dxa"/>
            </w:tcMar>
            <w:vAlign w:val="center"/>
          </w:tcPr>
          <w:p>
            <w:pPr>
              <w:pStyle w:val="TableContents"/>
              <w:spacing w:before="0" w:after="283"/>
              <w:rPr/>
            </w:pPr>
            <w:r>
              <w:rPr/>
              <w:t>                    </w:t>
            </w:r>
          </w:p>
        </w:tc>
        <w:tc>
          <w:tcPr>
            <w:tcW w:w="7636" w:type="dxa"/>
            <w:gridSpan w:val="4"/>
            <w:tcBorders>
              <w:top w:val="single" w:sz="24" w:space="0" w:color="8EAD3C"/>
              <w:right w:val="single" w:sz="24" w:space="0" w:color="8EAD3C"/>
            </w:tcBorders>
            <w:shd w:fill="auto" w:val="clear"/>
            <w:tcMar>
              <w:top w:w="28" w:type="dxa"/>
              <w:right w:w="28" w:type="dxa"/>
            </w:tcMar>
            <w:vAlign w:val="center"/>
          </w:tcPr>
          <w:p>
            <w:pPr>
              <w:pStyle w:val="TableContents"/>
              <w:spacing w:before="0" w:after="283"/>
              <w:rPr/>
            </w:pPr>
            <w:r>
              <w:rPr/>
              <w:t> </w:t>
            </w:r>
          </w:p>
        </w:tc>
      </w:tr>
      <w:tr>
        <w:trPr/>
        <w:tc>
          <w:tcPr>
            <w:tcW w:w="2569" w:type="dxa"/>
            <w:gridSpan w:val="2"/>
            <w:tcBorders/>
            <w:shd w:fill="EDEBEF" w:val="clear"/>
            <w:vAlign w:val="center"/>
          </w:tcPr>
          <w:p>
            <w:pPr>
              <w:pStyle w:val="TableContents"/>
              <w:spacing w:before="0" w:after="283"/>
              <w:rPr/>
            </w:pPr>
            <w:r>
              <w:rPr/>
              <w:t> </w:t>
            </w:r>
          </w:p>
        </w:tc>
        <w:tc>
          <w:tcPr>
            <w:tcW w:w="3219" w:type="dxa"/>
            <w:tcBorders/>
            <w:shd w:fill="EDEBEF" w:val="clear"/>
            <w:vAlign w:val="center"/>
          </w:tcPr>
          <w:p>
            <w:pPr>
              <w:pStyle w:val="TableContents"/>
              <w:spacing w:before="0" w:after="283"/>
              <w:rPr/>
            </w:pPr>
            <w:r>
              <w:rPr/>
              <w:t> </w:t>
            </w:r>
          </w:p>
        </w:tc>
        <w:tc>
          <w:tcPr>
            <w:tcW w:w="4212" w:type="dxa"/>
            <w:tcBorders/>
            <w:shd w:fill="EDEBEF" w:val="clear"/>
            <w:vAlign w:val="center"/>
          </w:tcPr>
          <w:p>
            <w:pPr>
              <w:pStyle w:val="TableContents"/>
              <w:spacing w:before="0" w:after="283"/>
              <w:rPr/>
            </w:pPr>
            <w:r>
              <w:rPr/>
              <w:t> </w:t>
            </w:r>
          </w:p>
        </w:tc>
        <w:tc>
          <w:tcPr>
            <w:tcW w:w="180" w:type="dxa"/>
            <w:tcBorders>
              <w:right w:val="single" w:sz="24" w:space="0" w:color="8EAD3C"/>
            </w:tcBorders>
            <w:shd w:fill="auto" w:val="clear"/>
            <w:tcMar>
              <w:right w:w="28" w:type="dxa"/>
            </w:tcMar>
            <w:vAlign w:val="center"/>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2569" w:type="dxa"/>
            <w:gridSpan w:val="2"/>
            <w:tcBorders>
              <w:right w:val="single" w:sz="8" w:space="0" w:color="1A2343"/>
            </w:tcBorders>
            <w:shd w:fill="EDEBEF" w:val="clear"/>
            <w:tcMar>
              <w:right w:w="300" w:type="dxa"/>
            </w:tcMar>
            <w:vAlign w:val="center"/>
          </w:tcPr>
          <w:p>
            <w:pPr>
              <w:pStyle w:val="TableContents"/>
              <w:spacing w:before="0" w:after="283"/>
              <w:jc w:val="left"/>
              <w:rPr>
                <w:rFonts w:ascii="Arial" w:hAnsi="Arial"/>
                <w:b/>
                <w:sz w:val="20"/>
              </w:rPr>
            </w:pPr>
            <w:r>
              <w:rPr>
                <w:rFonts w:ascii="Arial" w:hAnsi="Arial"/>
                <w:b/>
                <w:sz w:val="20"/>
              </w:rPr>
              <w:t>Offered Engagement with approximately</w:t>
            </w:r>
          </w:p>
        </w:tc>
        <w:tc>
          <w:tcPr>
            <w:tcW w:w="3219" w:type="dxa"/>
            <w:tcBorders>
              <w:right w:val="single" w:sz="8" w:space="0" w:color="1A2343"/>
            </w:tcBorders>
            <w:shd w:fill="EDEBEF" w:val="clear"/>
            <w:tcMar>
              <w:right w:w="300" w:type="dxa"/>
            </w:tcMar>
            <w:vAlign w:val="center"/>
          </w:tcPr>
          <w:p>
            <w:pPr>
              <w:pStyle w:val="TableContents"/>
              <w:spacing w:before="0" w:after="283"/>
              <w:jc w:val="left"/>
              <w:rPr>
                <w:rFonts w:ascii="Arial" w:hAnsi="Arial"/>
                <w:b/>
                <w:sz w:val="20"/>
              </w:rPr>
            </w:pPr>
            <w:r>
              <w:rPr>
                <w:rFonts w:ascii="Arial" w:hAnsi="Arial"/>
                <w:b/>
                <w:sz w:val="20"/>
              </w:rPr>
              <w:t>Had direct one-on-one discussions with approximately</w:t>
            </w:r>
          </w:p>
        </w:tc>
        <w:tc>
          <w:tcPr>
            <w:tcW w:w="4212" w:type="dxa"/>
            <w:tcBorders/>
            <w:shd w:fill="EDEBEF" w:val="clear"/>
            <w:vAlign w:val="center"/>
          </w:tcPr>
          <w:p>
            <w:pPr>
              <w:pStyle w:val="TableContents"/>
              <w:spacing w:before="0" w:after="283"/>
              <w:jc w:val="left"/>
              <w:rPr>
                <w:rFonts w:ascii="Arial" w:hAnsi="Arial"/>
                <w:b/>
                <w:sz w:val="20"/>
              </w:rPr>
            </w:pPr>
            <w:r>
              <w:rPr>
                <w:rFonts w:ascii="Arial" w:hAnsi="Arial"/>
                <w:b/>
                <w:sz w:val="20"/>
              </w:rPr>
              <w:t>Directors participated in calls with stockholders representing approximately</w:t>
            </w:r>
          </w:p>
        </w:tc>
        <w:tc>
          <w:tcPr>
            <w:tcW w:w="180" w:type="dxa"/>
            <w:tcBorders>
              <w:right w:val="single" w:sz="24" w:space="0" w:color="8EAD3C"/>
            </w:tcBorders>
            <w:shd w:fill="auto" w:val="clear"/>
            <w:tcMar>
              <w:right w:w="28" w:type="dxa"/>
            </w:tcMar>
            <w:vAlign w:val="center"/>
          </w:tcPr>
          <w:p>
            <w:pPr>
              <w:pStyle w:val="TableContents"/>
              <w:spacing w:before="0" w:after="283"/>
              <w:jc w:val="left"/>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2569" w:type="dxa"/>
            <w:gridSpan w:val="2"/>
            <w:tcBorders>
              <w:right w:val="single" w:sz="8" w:space="0" w:color="1A2343"/>
            </w:tcBorders>
            <w:shd w:fill="EDEBEF" w:val="clear"/>
            <w:tcMar>
              <w:right w:w="160" w:type="dxa"/>
            </w:tcMar>
            <w:vAlign w:val="center"/>
          </w:tcPr>
          <w:p>
            <w:pPr>
              <w:pStyle w:val="TableContents"/>
              <w:spacing w:before="0" w:after="283"/>
              <w:jc w:val="left"/>
              <w:rPr/>
            </w:pPr>
            <w:r>
              <w:rPr>
                <w:rFonts w:ascii="Arial" w:hAnsi="Arial"/>
                <w:sz w:val="36"/>
              </w:rPr>
              <w:t>66%</w:t>
              <w:br/>
            </w:r>
            <w:r>
              <w:rPr>
                <w:rFonts w:ascii="Arial" w:hAnsi="Arial"/>
                <w:b/>
                <w:sz w:val="20"/>
              </w:rPr>
              <w:t>of Outstanding Shares</w:t>
            </w:r>
          </w:p>
        </w:tc>
        <w:tc>
          <w:tcPr>
            <w:tcW w:w="3219" w:type="dxa"/>
            <w:tcBorders>
              <w:right w:val="single" w:sz="8" w:space="0" w:color="1A2343"/>
            </w:tcBorders>
            <w:shd w:fill="EDEBEF" w:val="clear"/>
            <w:tcMar>
              <w:right w:w="160" w:type="dxa"/>
            </w:tcMar>
            <w:vAlign w:val="center"/>
          </w:tcPr>
          <w:p>
            <w:pPr>
              <w:pStyle w:val="TableContents"/>
              <w:spacing w:before="0" w:after="283"/>
              <w:jc w:val="left"/>
              <w:rPr/>
            </w:pPr>
            <w:r>
              <w:rPr>
                <w:rFonts w:ascii="Arial" w:hAnsi="Arial"/>
                <w:sz w:val="36"/>
              </w:rPr>
              <w:t>30%</w:t>
              <w:br/>
            </w:r>
            <w:r>
              <w:rPr>
                <w:rFonts w:ascii="Arial" w:hAnsi="Arial"/>
                <w:b/>
                <w:sz w:val="20"/>
              </w:rPr>
              <w:t>of Outstanding Shares</w:t>
            </w:r>
          </w:p>
        </w:tc>
        <w:tc>
          <w:tcPr>
            <w:tcW w:w="4212" w:type="dxa"/>
            <w:tcBorders/>
            <w:shd w:fill="EDEBEF" w:val="clear"/>
            <w:vAlign w:val="center"/>
          </w:tcPr>
          <w:p>
            <w:pPr>
              <w:pStyle w:val="TableContents"/>
              <w:spacing w:before="0" w:after="283"/>
              <w:jc w:val="left"/>
              <w:rPr/>
            </w:pPr>
            <w:r>
              <w:rPr>
                <w:rFonts w:ascii="Arial" w:hAnsi="Arial"/>
                <w:sz w:val="36"/>
              </w:rPr>
              <w:t>29%</w:t>
              <w:br/>
            </w:r>
            <w:r>
              <w:rPr>
                <w:rFonts w:ascii="Arial" w:hAnsi="Arial"/>
                <w:b/>
                <w:sz w:val="20"/>
              </w:rPr>
              <w:t>of Outstanding Shares</w:t>
            </w:r>
          </w:p>
        </w:tc>
        <w:tc>
          <w:tcPr>
            <w:tcW w:w="180" w:type="dxa"/>
            <w:tcBorders>
              <w:right w:val="single" w:sz="24" w:space="0" w:color="8EAD3C"/>
            </w:tcBorders>
            <w:shd w:fill="auto" w:val="clear"/>
            <w:tcMar>
              <w:right w:w="160" w:type="dxa"/>
            </w:tcMar>
            <w:vAlign w:val="center"/>
          </w:tcPr>
          <w:p>
            <w:pPr>
              <w:pStyle w:val="TableContents"/>
              <w:spacing w:before="0" w:after="283"/>
              <w:jc w:val="left"/>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2569" w:type="dxa"/>
            <w:gridSpan w:val="2"/>
            <w:tcBorders/>
            <w:shd w:fill="EDEBEF" w:val="clear"/>
            <w:vAlign w:val="center"/>
          </w:tcPr>
          <w:p>
            <w:pPr>
              <w:pStyle w:val="TableContents"/>
              <w:spacing w:before="0" w:after="283"/>
              <w:rPr/>
            </w:pPr>
            <w:r>
              <w:rPr/>
              <w:t> </w:t>
            </w:r>
          </w:p>
        </w:tc>
        <w:tc>
          <w:tcPr>
            <w:tcW w:w="3219" w:type="dxa"/>
            <w:tcBorders/>
            <w:shd w:fill="EDEBEF" w:val="clear"/>
            <w:vAlign w:val="center"/>
          </w:tcPr>
          <w:p>
            <w:pPr>
              <w:pStyle w:val="TableContents"/>
              <w:spacing w:before="0" w:after="283"/>
              <w:rPr/>
            </w:pPr>
            <w:r>
              <w:rPr/>
              <w:t> </w:t>
            </w:r>
          </w:p>
        </w:tc>
        <w:tc>
          <w:tcPr>
            <w:tcW w:w="4212" w:type="dxa"/>
            <w:tcBorders/>
            <w:shd w:fill="EDEBEF" w:val="clear"/>
            <w:vAlign w:val="center"/>
          </w:tcPr>
          <w:p>
            <w:pPr>
              <w:pStyle w:val="TableContents"/>
              <w:spacing w:before="0" w:after="283"/>
              <w:rPr/>
            </w:pPr>
            <w:r>
              <w:rPr/>
              <w:t> </w:t>
            </w:r>
          </w:p>
        </w:tc>
        <w:tc>
          <w:tcPr>
            <w:tcW w:w="180" w:type="dxa"/>
            <w:tcBorders>
              <w:right w:val="single" w:sz="24" w:space="0" w:color="8EAD3C"/>
            </w:tcBorders>
            <w:shd w:fill="auto" w:val="clear"/>
            <w:tcMar>
              <w:right w:w="28" w:type="dxa"/>
            </w:tcMar>
            <w:vAlign w:val="center"/>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334" w:type="dxa"/>
            <w:tcBorders/>
            <w:shd w:fill="auto" w:val="clear"/>
            <w:vAlign w:val="center"/>
          </w:tcPr>
          <w:p>
            <w:pPr>
              <w:pStyle w:val="TableContents"/>
              <w:spacing w:before="0" w:after="283"/>
              <w:rPr/>
            </w:pPr>
            <w:r>
              <w:rPr/>
              <w:t>   </w:t>
            </w:r>
          </w:p>
        </w:tc>
        <w:tc>
          <w:tcPr>
            <w:tcW w:w="2235" w:type="dxa"/>
            <w:tcBorders>
              <w:left w:val="single" w:sz="24" w:space="0" w:color="8EAD3C"/>
              <w:bottom w:val="single" w:sz="24" w:space="0" w:color="8EAD3C"/>
            </w:tcBorders>
            <w:shd w:fill="auto" w:val="clear"/>
            <w:tcMar>
              <w:left w:w="28" w:type="dxa"/>
              <w:bottom w:w="28" w:type="dxa"/>
            </w:tcMar>
            <w:vAlign w:val="center"/>
          </w:tcPr>
          <w:p>
            <w:pPr>
              <w:pStyle w:val="TableContents"/>
              <w:spacing w:before="0" w:after="283"/>
              <w:rPr/>
            </w:pPr>
            <w:r>
              <w:rPr/>
              <w:t>                    </w:t>
            </w:r>
          </w:p>
        </w:tc>
        <w:tc>
          <w:tcPr>
            <w:tcW w:w="7636" w:type="dxa"/>
            <w:gridSpan w:val="4"/>
            <w:tcBorders>
              <w:bottom w:val="single" w:sz="24" w:space="0" w:color="8EAD3C"/>
              <w:right w:val="single" w:sz="24" w:space="0" w:color="8EAD3C"/>
            </w:tcBorders>
            <w:shd w:fill="auto" w:val="clear"/>
            <w:tcMar>
              <w:bottom w:w="28" w:type="dxa"/>
              <w:right w:w="28" w:type="dxa"/>
            </w:tcMar>
            <w:vAlign w:val="center"/>
          </w:tcPr>
          <w:p>
            <w:pPr>
              <w:pStyle w:val="TableContents"/>
              <w:spacing w:before="0" w:after="283"/>
              <w:rPr/>
            </w:pPr>
            <w:r>
              <w:rPr/>
              <w:t> </w:t>
            </w:r>
          </w:p>
        </w:tc>
      </w:tr>
    </w:tbl>
    <w:p>
      <w:pPr>
        <w:pStyle w:val="TextBody"/>
        <w:spacing w:before="240" w:after="283"/>
        <w:jc w:val="left"/>
        <w:rPr>
          <w:rFonts w:ascii="Arial" w:hAnsi="Arial"/>
          <w:b/>
          <w:color w:val="8EAD3C"/>
          <w:sz w:val="22"/>
        </w:rPr>
      </w:pPr>
      <w:r>
        <w:rPr>
          <w:rFonts w:ascii="Arial" w:hAnsi="Arial"/>
          <w:b/>
          <w:color w:val="8EAD3C"/>
          <w:sz w:val="22"/>
        </w:rPr>
        <w:t>Evolution of Compensation Program – Pay for Performance in Action</w:t>
      </w:r>
    </w:p>
    <w:p>
      <w:pPr>
        <w:pStyle w:val="TextBody"/>
        <w:jc w:val="left"/>
        <w:rPr/>
      </w:pPr>
      <w:r>
        <w:rPr>
          <w:rFonts w:ascii="Arial" w:hAnsi="Arial"/>
          <w:sz w:val="20"/>
        </w:rPr>
        <w:t xml:space="preserve">In </w:t>
      </w:r>
      <w:r>
        <w:rPr>
          <w:rFonts w:ascii="Arial" w:hAnsi="Arial"/>
          <w:b/>
          <w:sz w:val="20"/>
        </w:rPr>
        <w:t>response to stockholder feedback</w:t>
      </w:r>
      <w:r>
        <w:rPr>
          <w:rFonts w:ascii="Arial" w:hAnsi="Arial"/>
          <w:sz w:val="20"/>
        </w:rPr>
        <w:t xml:space="preserve">, we have </w:t>
      </w:r>
      <w:r>
        <w:rPr>
          <w:rFonts w:ascii="Arial" w:hAnsi="Arial"/>
          <w:b/>
          <w:sz w:val="20"/>
        </w:rPr>
        <w:t>transformed</w:t>
      </w:r>
      <w:r>
        <w:rPr>
          <w:rFonts w:ascii="Arial" w:hAnsi="Arial"/>
          <w:sz w:val="20"/>
        </w:rPr>
        <w:t xml:space="preserve"> our executive compensation program over a period of several years from what was perceived to be a complex pay program to a </w:t>
      </w:r>
      <w:r>
        <w:rPr>
          <w:rFonts w:ascii="Arial" w:hAnsi="Arial"/>
          <w:b/>
          <w:sz w:val="20"/>
        </w:rPr>
        <w:t xml:space="preserve">simple, transparent </w:t>
      </w:r>
      <w:r>
        <w:rPr>
          <w:rFonts w:ascii="Arial" w:hAnsi="Arial"/>
          <w:sz w:val="20"/>
        </w:rPr>
        <w:t xml:space="preserve">pay program that </w:t>
      </w:r>
      <w:r>
        <w:rPr>
          <w:rFonts w:ascii="Arial" w:hAnsi="Arial"/>
          <w:b/>
          <w:sz w:val="20"/>
        </w:rPr>
        <w:t>strongly links pay outcomes to Company performance measured against preset goals</w:t>
      </w:r>
      <w:r>
        <w:rPr>
          <w:rFonts w:ascii="Arial" w:hAnsi="Arial"/>
          <w:sz w:val="20"/>
        </w:rPr>
        <w:t>.</w:t>
      </w:r>
    </w:p>
    <w:tbl>
      <w:tblPr>
        <w:tblW w:w="10205" w:type="dxa"/>
        <w:jc w:val="left"/>
        <w:tblInd w:w="0" w:type="dxa"/>
        <w:tblCellMar>
          <w:top w:w="80" w:type="dxa"/>
          <w:left w:w="0" w:type="dxa"/>
          <w:bottom w:w="80" w:type="dxa"/>
          <w:right w:w="0" w:type="dxa"/>
        </w:tblCellMar>
      </w:tblPr>
      <w:tblGrid>
        <w:gridCol w:w="663"/>
        <w:gridCol w:w="9542"/>
      </w:tblGrid>
      <w:tr>
        <w:trPr/>
        <w:tc>
          <w:tcPr>
            <w:tcW w:w="663" w:type="dxa"/>
            <w:tcBorders>
              <w:top w:val="single" w:sz="12" w:space="0" w:color="000000"/>
              <w:bottom w:val="single" w:sz="8" w:space="0" w:color="000000"/>
            </w:tcBorders>
            <w:shd w:fill="auto" w:val="clear"/>
            <w:vAlign w:val="center"/>
          </w:tcPr>
          <w:p>
            <w:pPr>
              <w:pStyle w:val="TableContents"/>
              <w:spacing w:before="0" w:after="283"/>
              <w:jc w:val="left"/>
              <w:rPr>
                <w:rFonts w:ascii="Arial" w:hAnsi="Arial"/>
                <w:b/>
                <w:color w:val="1A2343"/>
                <w:sz w:val="20"/>
              </w:rPr>
            </w:pPr>
            <w:r>
              <w:rPr>
                <w:rFonts w:ascii="Arial" w:hAnsi="Arial"/>
                <w:b/>
                <w:color w:val="1A2343"/>
                <w:sz w:val="20"/>
              </w:rPr>
              <w:t>2020 / 2021</w:t>
            </w:r>
          </w:p>
        </w:tc>
        <w:tc>
          <w:tcPr>
            <w:tcW w:w="9542" w:type="dxa"/>
            <w:tcBorders>
              <w:top w:val="single" w:sz="12" w:space="0" w:color="000000"/>
              <w:left w:val="single" w:sz="8" w:space="0" w:color="000000"/>
              <w:bottom w:val="single" w:sz="8" w:space="0" w:color="000000"/>
            </w:tcBorders>
            <w:shd w:fill="auto" w:val="clear"/>
            <w:tcMar>
              <w:left w:w="300" w:type="dxa"/>
            </w:tcMar>
            <w:vAlign w:val="center"/>
          </w:tcPr>
          <w:p>
            <w:pPr>
              <w:pStyle w:val="TableContents"/>
              <w:jc w:val="left"/>
              <w:rPr/>
            </w:pPr>
            <w:r>
              <w:rPr>
                <w:rFonts w:ascii="Arial" w:hAnsi="Arial"/>
                <w:sz w:val="20"/>
              </w:rPr>
              <w:t xml:space="preserve">When the linkage between pay and performance was stress-tested by the impact of the pandemic, the Committee determined that it was </w:t>
            </w:r>
            <w:r>
              <w:rPr>
                <w:rFonts w:ascii="Arial" w:hAnsi="Arial"/>
                <w:b/>
                <w:sz w:val="20"/>
              </w:rPr>
              <w:t xml:space="preserve">inappropriate to revise the preset goals </w:t>
            </w:r>
            <w:r>
              <w:rPr>
                <w:rFonts w:ascii="Arial" w:hAnsi="Arial"/>
                <w:sz w:val="20"/>
              </w:rPr>
              <w:t>despite the Company lowering 2020 financial guidance and the recognition that targets initially adopted for our 2020 performance-based cash and equity incentives were unlikely to be achieved or appropriately measure our executives’ performance for 2020.</w:t>
            </w:r>
          </w:p>
          <w:p>
            <w:pPr>
              <w:pStyle w:val="TableContents"/>
              <w:jc w:val="left"/>
              <w:rPr/>
            </w:pPr>
            <w:r>
              <w:rPr>
                <w:rFonts w:ascii="Arial" w:hAnsi="Arial"/>
                <w:sz w:val="20"/>
              </w:rPr>
              <w:t xml:space="preserve">After significant deliberations, the Committee utilized the discretion permitted under the program to right-size the annual incentive awards but </w:t>
            </w:r>
            <w:r>
              <w:rPr>
                <w:rFonts w:ascii="Arial" w:hAnsi="Arial"/>
                <w:b/>
                <w:sz w:val="20"/>
              </w:rPr>
              <w:t>capped annual incentive payouts at target, and approximately 20% lower than 2019</w:t>
            </w:r>
            <w:r>
              <w:rPr>
                <w:rFonts w:ascii="Arial" w:hAnsi="Arial"/>
                <w:sz w:val="20"/>
              </w:rPr>
              <w:t>, to balance formulaic outcomes with a recognition of management’s significant efforts to protect stockholder value during the unprecedented business impact.</w:t>
            </w:r>
          </w:p>
          <w:p>
            <w:pPr>
              <w:pStyle w:val="TableContents"/>
              <w:spacing w:before="0" w:after="283"/>
              <w:jc w:val="left"/>
              <w:rPr/>
            </w:pPr>
            <w:r>
              <w:rPr>
                <w:rFonts w:ascii="Arial" w:hAnsi="Arial"/>
                <w:sz w:val="20"/>
              </w:rPr>
              <w:t xml:space="preserve">The Committee also determined it was </w:t>
            </w:r>
            <w:r>
              <w:rPr>
                <w:rFonts w:ascii="Arial" w:hAnsi="Arial"/>
                <w:b/>
                <w:sz w:val="20"/>
              </w:rPr>
              <w:t>not appropriate to adjust any of these targets or modify the structure of any outstanding performance-based compensation elements</w:t>
            </w:r>
            <w:r>
              <w:rPr>
                <w:rFonts w:ascii="Arial" w:hAnsi="Arial"/>
                <w:sz w:val="20"/>
              </w:rPr>
              <w:t>. Instead, the Committee reviewed our executives’ compensation on a holistic basis at the end of the year, at which point it could assess whether formulaic payouts were commensurate with the Company’s and executives’ achievements.</w:t>
            </w:r>
          </w:p>
        </w:tc>
      </w:tr>
      <w:tr>
        <w:trPr/>
        <w:tc>
          <w:tcPr>
            <w:tcW w:w="663" w:type="dxa"/>
            <w:tcBorders>
              <w:bottom w:val="single" w:sz="8" w:space="0" w:color="000000"/>
            </w:tcBorders>
            <w:shd w:fill="auto" w:val="clear"/>
            <w:tcMar>
              <w:top w:w="0" w:type="dxa"/>
            </w:tcMar>
            <w:vAlign w:val="center"/>
          </w:tcPr>
          <w:p>
            <w:pPr>
              <w:pStyle w:val="TableContents"/>
              <w:spacing w:before="0" w:after="283"/>
              <w:jc w:val="left"/>
              <w:rPr>
                <w:rFonts w:ascii="Arial" w:hAnsi="Arial"/>
                <w:b/>
                <w:color w:val="1A2343"/>
                <w:sz w:val="20"/>
              </w:rPr>
            </w:pPr>
            <w:r>
              <w:rPr>
                <w:rFonts w:ascii="Arial" w:hAnsi="Arial"/>
                <w:b/>
                <w:color w:val="1A2343"/>
                <w:sz w:val="20"/>
              </w:rPr>
              <w:t>2022</w:t>
            </w:r>
          </w:p>
        </w:tc>
        <w:tc>
          <w:tcPr>
            <w:tcW w:w="9542" w:type="dxa"/>
            <w:tcBorders>
              <w:left w:val="single" w:sz="8" w:space="0" w:color="000000"/>
              <w:bottom w:val="single" w:sz="8" w:space="0" w:color="000000"/>
            </w:tcBorders>
            <w:shd w:fill="auto" w:val="clear"/>
            <w:tcMar>
              <w:top w:w="0" w:type="dxa"/>
              <w:left w:w="300" w:type="dxa"/>
            </w:tcMar>
            <w:vAlign w:val="center"/>
          </w:tcPr>
          <w:p>
            <w:pPr>
              <w:pStyle w:val="TableContents"/>
              <w:spacing w:before="0" w:after="283"/>
              <w:jc w:val="left"/>
              <w:rPr/>
            </w:pPr>
            <w:r>
              <w:rPr>
                <w:rFonts w:ascii="Arial" w:hAnsi="Arial"/>
                <w:sz w:val="20"/>
              </w:rPr>
              <w:t xml:space="preserve">In 2022, based on stockholder feedback, the Committee committed to </w:t>
            </w:r>
            <w:r>
              <w:rPr>
                <w:rFonts w:ascii="Arial" w:hAnsi="Arial"/>
                <w:b/>
                <w:sz w:val="20"/>
              </w:rPr>
              <w:t xml:space="preserve">not make one-time awards </w:t>
            </w:r>
            <w:r>
              <w:rPr>
                <w:rFonts w:ascii="Arial" w:hAnsi="Arial"/>
                <w:sz w:val="20"/>
              </w:rPr>
              <w:t xml:space="preserve">to our NEOs absent extraordinary circumstances, and that it will </w:t>
            </w:r>
            <w:r>
              <w:rPr>
                <w:rFonts w:ascii="Arial" w:hAnsi="Arial"/>
                <w:b/>
                <w:sz w:val="20"/>
              </w:rPr>
              <w:t xml:space="preserve">provide appropriate transparency </w:t>
            </w:r>
            <w:r>
              <w:rPr>
                <w:rFonts w:ascii="Arial" w:hAnsi="Arial"/>
                <w:sz w:val="20"/>
              </w:rPr>
              <w:t>to stockholders in advance of any such future awards should any such extraordinary circumstances arise.</w:t>
            </w:r>
          </w:p>
        </w:tc>
      </w:tr>
      <w:tr>
        <w:trPr/>
        <w:tc>
          <w:tcPr>
            <w:tcW w:w="663" w:type="dxa"/>
            <w:tcBorders>
              <w:bottom w:val="single" w:sz="12" w:space="0" w:color="000000"/>
            </w:tcBorders>
            <w:shd w:fill="auto" w:val="clear"/>
            <w:tcMar>
              <w:top w:w="0" w:type="dxa"/>
            </w:tcMar>
            <w:vAlign w:val="center"/>
          </w:tcPr>
          <w:p>
            <w:pPr>
              <w:pStyle w:val="TableContents"/>
              <w:spacing w:before="0" w:after="283"/>
              <w:jc w:val="left"/>
              <w:rPr>
                <w:rFonts w:ascii="Arial" w:hAnsi="Arial"/>
                <w:b/>
                <w:color w:val="1A2343"/>
                <w:sz w:val="20"/>
              </w:rPr>
            </w:pPr>
            <w:r>
              <w:rPr>
                <w:rFonts w:ascii="Arial" w:hAnsi="Arial"/>
                <w:b/>
                <w:color w:val="1A2343"/>
                <w:sz w:val="20"/>
              </w:rPr>
              <w:t>2023</w:t>
            </w:r>
          </w:p>
        </w:tc>
        <w:tc>
          <w:tcPr>
            <w:tcW w:w="9542" w:type="dxa"/>
            <w:tcBorders>
              <w:left w:val="single" w:sz="8" w:space="0" w:color="000000"/>
              <w:bottom w:val="single" w:sz="12" w:space="0" w:color="000000"/>
            </w:tcBorders>
            <w:shd w:fill="auto" w:val="clear"/>
            <w:tcMar>
              <w:top w:w="0" w:type="dxa"/>
              <w:left w:w="300" w:type="dxa"/>
            </w:tcMar>
            <w:vAlign w:val="center"/>
          </w:tcPr>
          <w:p>
            <w:pPr>
              <w:pStyle w:val="TableContents"/>
              <w:spacing w:before="0" w:after="0"/>
              <w:jc w:val="left"/>
              <w:rPr>
                <w:rFonts w:ascii="Arial" w:hAnsi="Arial"/>
                <w:sz w:val="20"/>
              </w:rPr>
            </w:pPr>
            <w:r>
              <w:rPr>
                <w:rFonts w:ascii="Arial" w:hAnsi="Arial"/>
                <w:sz w:val="20"/>
              </w:rPr>
              <w:t>Effective 2023, also in response to stockholder feedback, the Committee approved the following updates to our executive compensation program to further strengthen the pay-for-performance alignment:</w:t>
            </w:r>
          </w:p>
          <w:p>
            <w:pPr>
              <w:pStyle w:val="TableContents"/>
              <w:spacing w:before="0" w:after="0"/>
              <w:ind w:left="0" w:right="0" w:hanging="290"/>
              <w:jc w:val="left"/>
              <w:rPr/>
            </w:pPr>
            <w:r>
              <w:rPr/>
              <w:t>●</w:t>
            </w:r>
            <w:r>
              <w:rPr>
                <w:rFonts w:ascii="arial" w:hAnsi="arial"/>
                <w:b/>
                <w:sz w:val="20"/>
              </w:rPr>
              <w:t>Implemented a vesting cap for performance-based awards</w:t>
            </w:r>
            <w:r>
              <w:rPr>
                <w:rFonts w:ascii="arial" w:hAnsi="arial"/>
                <w:sz w:val="20"/>
              </w:rPr>
              <w:t xml:space="preserve"> </w:t>
            </w:r>
            <w:r>
              <w:rPr>
                <w:rFonts w:ascii="Arial" w:hAnsi="Arial"/>
                <w:sz w:val="20"/>
              </w:rPr>
              <w:t>subject to relative TSR performance such that the awards cannot be earned above target level when absolute TSR is negative even if relative TSR outperforms peers.</w:t>
            </w:r>
          </w:p>
          <w:p>
            <w:pPr>
              <w:pStyle w:val="TableContents"/>
              <w:spacing w:before="0" w:after="0"/>
              <w:ind w:left="0" w:right="0" w:hanging="290"/>
              <w:jc w:val="left"/>
              <w:rPr/>
            </w:pPr>
            <w:r>
              <w:rPr/>
              <w:t>●</w:t>
            </w:r>
            <w:r>
              <w:rPr>
                <w:rFonts w:ascii="arial" w:hAnsi="arial"/>
                <w:b/>
                <w:sz w:val="20"/>
              </w:rPr>
              <w:t xml:space="preserve">Introduced a formulaic cash bonus component for our CFO’s annual cash bonus </w:t>
            </w:r>
            <w:r>
              <w:rPr>
                <w:rFonts w:ascii="Arial" w:hAnsi="Arial"/>
                <w:sz w:val="20"/>
              </w:rPr>
              <w:t>that accounts for 60% of his annual bonus (instead of a 100% discretionary annual bonus).</w:t>
            </w:r>
          </w:p>
          <w:p>
            <w:pPr>
              <w:pStyle w:val="TableContents"/>
              <w:spacing w:before="0" w:after="0"/>
              <w:ind w:left="0" w:right="0" w:hanging="290"/>
              <w:jc w:val="left"/>
              <w:rPr/>
            </w:pPr>
            <w:r>
              <w:rPr/>
              <w:t>●</w:t>
            </w:r>
            <w:r>
              <w:rPr>
                <w:rFonts w:ascii="arial" w:hAnsi="arial"/>
                <w:b/>
                <w:sz w:val="20"/>
              </w:rPr>
              <w:t xml:space="preserve">Eliminated automobile benefits </w:t>
            </w:r>
            <w:r>
              <w:rPr>
                <w:rFonts w:ascii="Arial" w:hAnsi="Arial"/>
                <w:sz w:val="20"/>
              </w:rPr>
              <w:t>for leased and company-owned vehicles for all NEOs.</w:t>
            </w:r>
          </w:p>
          <w:p>
            <w:pPr>
              <w:pStyle w:val="TableContents"/>
              <w:spacing w:before="0" w:after="0"/>
              <w:jc w:val="left"/>
              <w:rPr>
                <w:rFonts w:ascii="Arial" w:hAnsi="Arial"/>
                <w:sz w:val="20"/>
              </w:rPr>
            </w:pPr>
            <w:r>
              <w:rPr>
                <w:rFonts w:ascii="Arial" w:hAnsi="Arial"/>
                <w:sz w:val="20"/>
              </w:rPr>
              <w:t>In addition, the Committee intends to:</w:t>
            </w:r>
          </w:p>
          <w:p>
            <w:pPr>
              <w:pStyle w:val="TableContents"/>
              <w:spacing w:before="0" w:after="0"/>
              <w:ind w:left="0" w:right="0" w:hanging="290"/>
              <w:jc w:val="left"/>
              <w:rPr/>
            </w:pPr>
            <w:r>
              <w:rPr/>
              <w:t>●</w:t>
            </w:r>
            <w:r>
              <w:rPr>
                <w:rFonts w:ascii="Arial" w:hAnsi="Arial"/>
                <w:b/>
                <w:sz w:val="20"/>
              </w:rPr>
              <w:t>Eliminate short-term measurement periods</w:t>
            </w:r>
            <w:r>
              <w:rPr>
                <w:rFonts w:ascii="Arial" w:hAnsi="Arial"/>
                <w:sz w:val="20"/>
              </w:rPr>
              <w:t xml:space="preserve"> from long-term performance-based equity awards, upon subsequent renewal of employment agreements with our CEO and President.</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46</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120" w:after="120"/>
        <w:jc w:val="left"/>
        <w:rPr>
          <w:rFonts w:ascii="Arial" w:hAnsi="Arial"/>
          <w:b/>
          <w:color w:val="1A2343"/>
          <w:sz w:val="26"/>
        </w:rPr>
      </w:pPr>
      <w:r>
        <w:rPr>
          <w:rFonts w:ascii="Arial" w:hAnsi="Arial"/>
          <w:b/>
          <w:color w:val="1A2343"/>
          <w:sz w:val="26"/>
        </w:rPr>
        <w:t>Our 2022 Executive Compensation Program</w:t>
      </w:r>
    </w:p>
    <w:p>
      <w:pPr>
        <w:pStyle w:val="TextBody"/>
        <w:spacing w:before="120" w:after="120"/>
        <w:jc w:val="left"/>
        <w:rPr>
          <w:rFonts w:ascii="Arial" w:hAnsi="Arial"/>
          <w:b/>
          <w:color w:val="8EAD3C"/>
          <w:sz w:val="22"/>
        </w:rPr>
      </w:pPr>
      <w:r>
        <w:rPr>
          <w:rFonts w:ascii="Arial" w:hAnsi="Arial"/>
          <w:b/>
          <w:color w:val="8EAD3C"/>
          <w:sz w:val="22"/>
        </w:rPr>
        <w:t>Elements of Compensation</w:t>
      </w:r>
    </w:p>
    <w:p>
      <w:pPr>
        <w:pStyle w:val="TextBody"/>
        <w:spacing w:before="120" w:after="120"/>
        <w:jc w:val="left"/>
        <w:rPr>
          <w:rFonts w:ascii="Arial" w:hAnsi="Arial"/>
          <w:sz w:val="20"/>
        </w:rPr>
      </w:pPr>
      <w:r>
        <w:rPr>
          <w:rFonts w:ascii="Arial" w:hAnsi="Arial"/>
          <w:sz w:val="20"/>
        </w:rPr>
        <w:t>Since 2019, our executive compensation program has been updated in line with stockholder feedback to comprise only the following four pay elements:</w:t>
      </w:r>
    </w:p>
    <w:tbl>
      <w:tblPr>
        <w:tblW w:w="10205" w:type="dxa"/>
        <w:jc w:val="left"/>
        <w:tblInd w:w="0" w:type="dxa"/>
        <w:tblCellMar>
          <w:top w:w="0" w:type="dxa"/>
          <w:left w:w="0" w:type="dxa"/>
          <w:bottom w:w="40" w:type="dxa"/>
          <w:right w:w="0" w:type="dxa"/>
        </w:tblCellMar>
      </w:tblPr>
      <w:tblGrid>
        <w:gridCol w:w="418"/>
        <w:gridCol w:w="1270"/>
        <w:gridCol w:w="2018"/>
        <w:gridCol w:w="6499"/>
      </w:tblGrid>
      <w:tr>
        <w:trPr/>
        <w:tc>
          <w:tcPr>
            <w:tcW w:w="418" w:type="dxa"/>
            <w:tcBorders>
              <w:bottom w:val="single" w:sz="12" w:space="0" w:color="1A2343"/>
            </w:tcBorders>
            <w:shd w:fill="auto" w:val="clear"/>
            <w:vAlign w:val="center"/>
          </w:tcPr>
          <w:p>
            <w:pPr>
              <w:pStyle w:val="TableContents"/>
              <w:spacing w:before="0" w:after="283"/>
              <w:jc w:val="center"/>
              <w:rPr/>
            </w:pPr>
            <w:r>
              <w:rPr/>
              <w:t> </w:t>
            </w:r>
          </w:p>
        </w:tc>
        <w:tc>
          <w:tcPr>
            <w:tcW w:w="127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Percentage</w:t>
              <w:br/>
              <w:t>(all NEOs)</w:t>
            </w:r>
          </w:p>
        </w:tc>
        <w:tc>
          <w:tcPr>
            <w:tcW w:w="2018"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Pay Element</w:t>
            </w:r>
          </w:p>
        </w:tc>
        <w:tc>
          <w:tcPr>
            <w:tcW w:w="6499"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Purpose and Key Characteristics</w:t>
            </w:r>
          </w:p>
        </w:tc>
      </w:tr>
      <w:tr>
        <w:trPr/>
        <w:tc>
          <w:tcPr>
            <w:tcW w:w="418" w:type="dxa"/>
            <w:tcBorders/>
            <w:shd w:fill="0E173F" w:val="clear"/>
            <w:tcMar>
              <w:bottom w:w="0" w:type="dxa"/>
            </w:tcMar>
            <w:vAlign w:val="center"/>
          </w:tcPr>
          <w:p>
            <w:pPr>
              <w:pStyle w:val="TableContents"/>
              <w:spacing w:before="0" w:after="283"/>
              <w:jc w:val="center"/>
              <w:rPr/>
            </w:pPr>
            <w:r>
              <w:rPr/>
              <w:drawing>
                <wp:inline distT="0" distB="0" distL="0" distR="0">
                  <wp:extent cx="216535" cy="511175"/>
                  <wp:effectExtent l="0" t="0" r="0" b="0"/>
                  <wp:docPr id="428"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95" descr=""/>
                          <pic:cNvPicPr>
                            <a:picLocks noChangeAspect="1" noChangeArrowheads="1"/>
                          </pic:cNvPicPr>
                        </pic:nvPicPr>
                        <pic:blipFill>
                          <a:blip r:embed="rId296"/>
                          <a:srcRect l="-4658" t="-1971" r="-4658" b="-1971"/>
                          <a:stretch>
                            <a:fillRect/>
                          </a:stretch>
                        </pic:blipFill>
                        <pic:spPr bwMode="auto">
                          <a:xfrm>
                            <a:off x="0" y="0"/>
                            <a:ext cx="216535" cy="511175"/>
                          </a:xfrm>
                          <a:prstGeom prst="rect">
                            <a:avLst/>
                          </a:prstGeom>
                          <a:ln w="635">
                            <a:solidFill>
                              <a:srgbClr val="000000"/>
                            </a:solidFill>
                          </a:ln>
                        </pic:spPr>
                      </pic:pic>
                    </a:graphicData>
                  </a:graphic>
                </wp:inline>
              </w:drawing>
            </w:r>
          </w:p>
        </w:tc>
        <w:tc>
          <w:tcPr>
            <w:tcW w:w="1270" w:type="dxa"/>
            <w:tcBorders>
              <w:bottom w:val="single" w:sz="8" w:space="0" w:color="1A2343"/>
            </w:tcBorders>
            <w:shd w:fill="auto" w:val="clear"/>
            <w:tcMar>
              <w:bottom w:w="80" w:type="dxa"/>
            </w:tcMar>
            <w:vAlign w:val="center"/>
          </w:tcPr>
          <w:p>
            <w:pPr>
              <w:pStyle w:val="TableContents"/>
              <w:spacing w:before="0" w:after="283"/>
              <w:jc w:val="left"/>
              <w:rPr/>
            </w:pPr>
            <w:r>
              <w:rPr/>
              <w:drawing>
                <wp:inline distT="0" distB="0" distL="0" distR="0">
                  <wp:extent cx="747395" cy="737235"/>
                  <wp:effectExtent l="0" t="0" r="0" b="0"/>
                  <wp:docPr id="429"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296" descr=""/>
                          <pic:cNvPicPr>
                            <a:picLocks noChangeAspect="1" noChangeArrowheads="1"/>
                          </pic:cNvPicPr>
                        </pic:nvPicPr>
                        <pic:blipFill>
                          <a:blip r:embed="rId297"/>
                          <a:srcRect l="-1348" t="-1367" r="-1348" b="-1367"/>
                          <a:stretch>
                            <a:fillRect/>
                          </a:stretch>
                        </pic:blipFill>
                        <pic:spPr bwMode="auto">
                          <a:xfrm>
                            <a:off x="0" y="0"/>
                            <a:ext cx="747395" cy="737235"/>
                          </a:xfrm>
                          <a:prstGeom prst="rect">
                            <a:avLst/>
                          </a:prstGeom>
                          <a:ln w="635">
                            <a:solidFill>
                              <a:srgbClr val="000000"/>
                            </a:solidFill>
                          </a:ln>
                        </pic:spPr>
                      </pic:pic>
                    </a:graphicData>
                  </a:graphic>
                </wp:inline>
              </w:drawing>
            </w:r>
          </w:p>
        </w:tc>
        <w:tc>
          <w:tcPr>
            <w:tcW w:w="2018" w:type="dxa"/>
            <w:tcBorders>
              <w:bottom w:val="single" w:sz="8" w:space="0" w:color="1A2343"/>
            </w:tcBorders>
            <w:shd w:fill="auto" w:val="clear"/>
            <w:tcMar>
              <w:bottom w:w="80" w:type="dxa"/>
            </w:tcMar>
            <w:vAlign w:val="center"/>
          </w:tcPr>
          <w:p>
            <w:pPr>
              <w:pStyle w:val="TableContents"/>
              <w:spacing w:before="0" w:after="283"/>
              <w:jc w:val="left"/>
              <w:rPr>
                <w:rFonts w:ascii="Arial" w:hAnsi="Arial"/>
                <w:b/>
                <w:color w:val="1A2343"/>
                <w:sz w:val="20"/>
              </w:rPr>
            </w:pPr>
            <w:r>
              <w:rPr>
                <w:rFonts w:ascii="Arial" w:hAnsi="Arial"/>
                <w:b/>
                <w:color w:val="1A2343"/>
                <w:sz w:val="20"/>
              </w:rPr>
              <w:t>Annual Base Salary</w:t>
            </w:r>
          </w:p>
        </w:tc>
        <w:tc>
          <w:tcPr>
            <w:tcW w:w="6499" w:type="dxa"/>
            <w:tcBorders>
              <w:bottom w:val="single" w:sz="8" w:space="0" w:color="1A2343"/>
            </w:tcBorders>
            <w:shd w:fill="auto" w:val="clear"/>
            <w:tcMar>
              <w:bottom w:w="80" w:type="dxa"/>
            </w:tcMar>
            <w:vAlign w:val="center"/>
          </w:tcPr>
          <w:p>
            <w:pPr>
              <w:pStyle w:val="TableContents"/>
              <w:spacing w:before="0" w:after="283"/>
              <w:jc w:val="left"/>
              <w:rPr>
                <w:rFonts w:ascii="Arial" w:hAnsi="Arial"/>
                <w:sz w:val="20"/>
              </w:rPr>
            </w:pPr>
            <w:r>
              <w:rPr>
                <w:rFonts w:ascii="Arial" w:hAnsi="Arial"/>
                <w:sz w:val="20"/>
              </w:rPr>
              <w:t>Competitive annual base salaries encourage the retention and attraction of talented leadership Reflects the scope of each executive officer’s duties and responsibilities, taking into account the competitive market compensation paid by other companies for similar positions</w:t>
            </w:r>
          </w:p>
        </w:tc>
      </w:tr>
      <w:tr>
        <w:trPr/>
        <w:tc>
          <w:tcPr>
            <w:tcW w:w="418" w:type="dxa"/>
            <w:vMerge w:val="restart"/>
            <w:tcBorders>
              <w:bottom w:val="single" w:sz="12" w:space="0" w:color="1A2343"/>
            </w:tcBorders>
            <w:shd w:fill="8EAD3C" w:val="clear"/>
            <w:tcMar>
              <w:bottom w:w="28" w:type="dxa"/>
            </w:tcMar>
            <w:vAlign w:val="center"/>
          </w:tcPr>
          <w:p>
            <w:pPr>
              <w:pStyle w:val="TableContents"/>
              <w:spacing w:before="0" w:after="283"/>
              <w:jc w:val="center"/>
              <w:rPr/>
            </w:pPr>
            <w:r>
              <w:rPr/>
              <w:drawing>
                <wp:inline distT="0" distB="0" distL="0" distR="0">
                  <wp:extent cx="265430" cy="609600"/>
                  <wp:effectExtent l="0" t="0" r="0" b="0"/>
                  <wp:docPr id="430"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97" descr=""/>
                          <pic:cNvPicPr>
                            <a:picLocks noChangeAspect="1" noChangeArrowheads="1"/>
                          </pic:cNvPicPr>
                        </pic:nvPicPr>
                        <pic:blipFill>
                          <a:blip r:embed="rId298"/>
                          <a:srcRect l="-3799" t="-1653" r="-3799" b="-1653"/>
                          <a:stretch>
                            <a:fillRect/>
                          </a:stretch>
                        </pic:blipFill>
                        <pic:spPr bwMode="auto">
                          <a:xfrm>
                            <a:off x="0" y="0"/>
                            <a:ext cx="265430" cy="609600"/>
                          </a:xfrm>
                          <a:prstGeom prst="rect">
                            <a:avLst/>
                          </a:prstGeom>
                          <a:ln w="635">
                            <a:solidFill>
                              <a:srgbClr val="000000"/>
                            </a:solidFill>
                          </a:ln>
                        </pic:spPr>
                      </pic:pic>
                    </a:graphicData>
                  </a:graphic>
                </wp:inline>
              </w:drawing>
            </w:r>
          </w:p>
        </w:tc>
        <w:tc>
          <w:tcPr>
            <w:tcW w:w="1270" w:type="dxa"/>
            <w:tcBorders>
              <w:bottom w:val="single" w:sz="8" w:space="0" w:color="1A2343"/>
            </w:tcBorders>
            <w:shd w:fill="auto" w:val="clear"/>
            <w:tcMar>
              <w:bottom w:w="80" w:type="dxa"/>
            </w:tcMar>
            <w:vAlign w:val="center"/>
          </w:tcPr>
          <w:p>
            <w:pPr>
              <w:pStyle w:val="TableContents"/>
              <w:spacing w:before="0" w:after="283"/>
              <w:jc w:val="left"/>
              <w:rPr/>
            </w:pPr>
            <w:r>
              <w:rPr/>
              <w:drawing>
                <wp:inline distT="0" distB="0" distL="0" distR="0">
                  <wp:extent cx="717550" cy="796290"/>
                  <wp:effectExtent l="0" t="0" r="0" b="0"/>
                  <wp:docPr id="431"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298" descr=""/>
                          <pic:cNvPicPr>
                            <a:picLocks noChangeAspect="1" noChangeArrowheads="1"/>
                          </pic:cNvPicPr>
                        </pic:nvPicPr>
                        <pic:blipFill>
                          <a:blip r:embed="rId299"/>
                          <a:srcRect l="-1404" t="-1265" r="-1404" b="-1265"/>
                          <a:stretch>
                            <a:fillRect/>
                          </a:stretch>
                        </pic:blipFill>
                        <pic:spPr bwMode="auto">
                          <a:xfrm>
                            <a:off x="0" y="0"/>
                            <a:ext cx="717550" cy="796290"/>
                          </a:xfrm>
                          <a:prstGeom prst="rect">
                            <a:avLst/>
                          </a:prstGeom>
                          <a:ln w="635">
                            <a:solidFill>
                              <a:srgbClr val="000000"/>
                            </a:solidFill>
                          </a:ln>
                        </pic:spPr>
                      </pic:pic>
                    </a:graphicData>
                  </a:graphic>
                </wp:inline>
              </w:drawing>
            </w:r>
          </w:p>
        </w:tc>
        <w:tc>
          <w:tcPr>
            <w:tcW w:w="2018" w:type="dxa"/>
            <w:tcBorders>
              <w:bottom w:val="single" w:sz="8" w:space="0" w:color="1A2343"/>
            </w:tcBorders>
            <w:shd w:fill="auto" w:val="clear"/>
            <w:tcMar>
              <w:bottom w:w="80" w:type="dxa"/>
            </w:tcMar>
            <w:vAlign w:val="center"/>
          </w:tcPr>
          <w:p>
            <w:pPr>
              <w:pStyle w:val="TableContents"/>
              <w:spacing w:before="0" w:after="283"/>
              <w:jc w:val="left"/>
              <w:rPr>
                <w:rFonts w:ascii="Arial" w:hAnsi="Arial"/>
                <w:b/>
                <w:color w:val="1A2343"/>
                <w:sz w:val="20"/>
              </w:rPr>
            </w:pPr>
            <w:r>
              <w:rPr>
                <w:rFonts w:ascii="Arial" w:hAnsi="Arial"/>
                <w:b/>
                <w:color w:val="1A2343"/>
                <w:sz w:val="20"/>
              </w:rPr>
              <w:t>Annual Cash Bonus</w:t>
            </w:r>
          </w:p>
        </w:tc>
        <w:tc>
          <w:tcPr>
            <w:tcW w:w="6499" w:type="dxa"/>
            <w:tcBorders>
              <w:bottom w:val="single" w:sz="8" w:space="0" w:color="1A2343"/>
            </w:tcBorders>
            <w:shd w:fill="auto" w:val="clear"/>
            <w:tcMar>
              <w:bottom w:w="80" w:type="dxa"/>
            </w:tcMar>
            <w:vAlign w:val="center"/>
          </w:tcPr>
          <w:p>
            <w:pPr>
              <w:pStyle w:val="TableContents"/>
              <w:spacing w:before="40" w:after="120"/>
              <w:jc w:val="left"/>
              <w:rPr>
                <w:rFonts w:ascii="Arial" w:hAnsi="Arial"/>
                <w:sz w:val="20"/>
              </w:rPr>
            </w:pPr>
            <w:r>
              <w:rPr>
                <w:rFonts w:ascii="Arial" w:hAnsi="Arial"/>
                <w:sz w:val="20"/>
              </w:rPr>
              <w:t xml:space="preserve">Bonus awards incentivize our named executive officers to achieve annual financial and strategic goals </w:t>
            </w:r>
          </w:p>
          <w:p>
            <w:pPr>
              <w:pStyle w:val="TableContents"/>
              <w:spacing w:before="0" w:after="120"/>
              <w:jc w:val="left"/>
              <w:rPr>
                <w:rFonts w:ascii="Arial" w:hAnsi="Arial"/>
                <w:sz w:val="20"/>
              </w:rPr>
            </w:pPr>
            <w:r>
              <w:rPr>
                <w:rFonts w:ascii="Arial" w:hAnsi="Arial"/>
                <w:sz w:val="20"/>
              </w:rPr>
              <w:t xml:space="preserve">Entirely formulaic and performance-based for both our CEO and President, providing an opportunity to earn at target up to 200% and 175%, respectively, of annual base salary </w:t>
            </w:r>
          </w:p>
          <w:p>
            <w:pPr>
              <w:pStyle w:val="TableContents"/>
              <w:spacing w:before="0" w:after="120"/>
              <w:jc w:val="left"/>
              <w:rPr>
                <w:rFonts w:ascii="Arial" w:hAnsi="Arial"/>
                <w:sz w:val="20"/>
              </w:rPr>
            </w:pPr>
            <w:r>
              <w:rPr>
                <w:rFonts w:ascii="Arial" w:hAnsi="Arial"/>
                <w:sz w:val="20"/>
              </w:rPr>
              <w:t>For 2022, discretionary for our CFO and General Counsel based on the same performance criteria as were used for our formulaic annual cash bonus program, as well as specific company goals and objectives for 2022 that were presented at our annual investor conference in December 2021</w:t>
            </w:r>
          </w:p>
          <w:p>
            <w:pPr>
              <w:pStyle w:val="TableContents"/>
              <w:jc w:val="left"/>
              <w:rPr>
                <w:rFonts w:ascii="Arial" w:hAnsi="Arial"/>
                <w:sz w:val="20"/>
                <w:highlight w:val="yellow"/>
              </w:rPr>
            </w:pPr>
            <w:r>
              <w:rPr>
                <w:rFonts w:ascii="Arial" w:hAnsi="Arial"/>
                <w:sz w:val="20"/>
                <w:highlight w:val="yellow"/>
              </w:rPr>
              <w:t xml:space="preserve">Beginning in 2023, in connection with the extension of our CFO’s employment agreement, he will also participate in a cash bonus program that will provide an opportunity to earn at target up to 175% of annual base salary, 60% of which will be determined in a formulaic manner, with our General Counsel expected to also begin participating in a formulaic cash bonus program in connection with the extension of his next employment agreement </w:t>
            </w:r>
          </w:p>
          <w:p>
            <w:pPr>
              <w:pStyle w:val="TableContents"/>
              <w:spacing w:before="120" w:after="40"/>
              <w:jc w:val="left"/>
              <w:rPr>
                <w:rFonts w:ascii="Arial" w:hAnsi="Arial"/>
                <w:sz w:val="20"/>
              </w:rPr>
            </w:pPr>
            <w:r>
              <w:rPr>
                <w:rFonts w:ascii="Arial" w:hAnsi="Arial"/>
                <w:sz w:val="20"/>
              </w:rPr>
              <w:t>Our executives may receive all or a portion of annual bonuses in the form of equity, further increasing alignment with stockholders</w:t>
            </w:r>
          </w:p>
        </w:tc>
      </w:tr>
      <w:tr>
        <w:trPr/>
        <w:tc>
          <w:tcPr>
            <w:tcW w:w="418" w:type="dxa"/>
            <w:vMerge w:val="continue"/>
            <w:tcBorders>
              <w:bottom w:val="single" w:sz="12" w:space="0" w:color="1A2343"/>
            </w:tcBorders>
            <w:shd w:fill="8EAD3C" w:val="clear"/>
            <w:tcMar>
              <w:bottom w:w="28" w:type="dxa"/>
            </w:tcMar>
            <w:vAlign w:val="center"/>
          </w:tcPr>
          <w:p>
            <w:pPr>
              <w:pStyle w:val="Normal"/>
              <w:rPr/>
            </w:pPr>
            <w:r>
              <w:rPr/>
            </w:r>
          </w:p>
        </w:tc>
        <w:tc>
          <w:tcPr>
            <w:tcW w:w="1270" w:type="dxa"/>
            <w:tcBorders>
              <w:bottom w:val="single" w:sz="8" w:space="0" w:color="000000"/>
            </w:tcBorders>
            <w:shd w:fill="auto" w:val="clear"/>
            <w:tcMar>
              <w:bottom w:w="80" w:type="dxa"/>
            </w:tcMar>
            <w:vAlign w:val="center"/>
          </w:tcPr>
          <w:p>
            <w:pPr>
              <w:pStyle w:val="TableContents"/>
              <w:spacing w:before="0" w:after="283"/>
              <w:jc w:val="left"/>
              <w:rPr/>
            </w:pPr>
            <w:r>
              <w:rPr/>
              <w:drawing>
                <wp:inline distT="0" distB="0" distL="0" distR="0">
                  <wp:extent cx="806450" cy="835660"/>
                  <wp:effectExtent l="0" t="0" r="0" b="0"/>
                  <wp:docPr id="432"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99" descr=""/>
                          <pic:cNvPicPr>
                            <a:picLocks noChangeAspect="1" noChangeArrowheads="1"/>
                          </pic:cNvPicPr>
                        </pic:nvPicPr>
                        <pic:blipFill>
                          <a:blip r:embed="rId300"/>
                          <a:srcRect l="-1250" t="-1205" r="-1250" b="-1205"/>
                          <a:stretch>
                            <a:fillRect/>
                          </a:stretch>
                        </pic:blipFill>
                        <pic:spPr bwMode="auto">
                          <a:xfrm>
                            <a:off x="0" y="0"/>
                            <a:ext cx="806450" cy="835660"/>
                          </a:xfrm>
                          <a:prstGeom prst="rect">
                            <a:avLst/>
                          </a:prstGeom>
                          <a:ln w="635">
                            <a:solidFill>
                              <a:srgbClr val="000000"/>
                            </a:solidFill>
                          </a:ln>
                        </pic:spPr>
                      </pic:pic>
                    </a:graphicData>
                  </a:graphic>
                </wp:inline>
              </w:drawing>
            </w:r>
          </w:p>
        </w:tc>
        <w:tc>
          <w:tcPr>
            <w:tcW w:w="2018" w:type="dxa"/>
            <w:tcBorders>
              <w:bottom w:val="single" w:sz="8" w:space="0" w:color="000000"/>
            </w:tcBorders>
            <w:shd w:fill="auto" w:val="clear"/>
            <w:tcMar>
              <w:bottom w:w="80" w:type="dxa"/>
            </w:tcMar>
            <w:vAlign w:val="center"/>
          </w:tcPr>
          <w:p>
            <w:pPr>
              <w:pStyle w:val="TableContents"/>
              <w:spacing w:before="0" w:after="283"/>
              <w:jc w:val="left"/>
              <w:rPr>
                <w:rFonts w:ascii="Arial" w:hAnsi="Arial"/>
                <w:b/>
                <w:color w:val="1A2343"/>
                <w:sz w:val="20"/>
              </w:rPr>
            </w:pPr>
            <w:r>
              <w:rPr>
                <w:rFonts w:ascii="Arial" w:hAnsi="Arial"/>
                <w:b/>
                <w:color w:val="1A2343"/>
                <w:sz w:val="20"/>
              </w:rPr>
              <w:t>Performance-Based Equity Awards</w:t>
            </w:r>
          </w:p>
        </w:tc>
        <w:tc>
          <w:tcPr>
            <w:tcW w:w="6499" w:type="dxa"/>
            <w:tcBorders>
              <w:bottom w:val="single" w:sz="8" w:space="0" w:color="000000"/>
            </w:tcBorders>
            <w:shd w:fill="auto" w:val="clear"/>
            <w:tcMar>
              <w:bottom w:w="80" w:type="dxa"/>
            </w:tcMar>
            <w:vAlign w:val="center"/>
          </w:tcPr>
          <w:p>
            <w:pPr>
              <w:pStyle w:val="TableContents"/>
              <w:spacing w:before="40" w:after="120"/>
              <w:jc w:val="left"/>
              <w:rPr>
                <w:rFonts w:ascii="Arial" w:hAnsi="Arial"/>
                <w:sz w:val="20"/>
              </w:rPr>
            </w:pPr>
            <w:r>
              <w:rPr>
                <w:rFonts w:ascii="Arial" w:hAnsi="Arial"/>
                <w:sz w:val="20"/>
              </w:rPr>
              <w:t xml:space="preserve">Performance-based equity awards provide short-term and long-term incentives to drive stockholder value </w:t>
            </w:r>
          </w:p>
          <w:p>
            <w:pPr>
              <w:pStyle w:val="TableContents"/>
              <w:spacing w:before="0" w:after="120"/>
              <w:jc w:val="left"/>
              <w:rPr>
                <w:rFonts w:ascii="Arial" w:hAnsi="Arial"/>
                <w:sz w:val="20"/>
              </w:rPr>
            </w:pPr>
            <w:r>
              <w:rPr>
                <w:rFonts w:ascii="Arial" w:hAnsi="Arial"/>
                <w:sz w:val="20"/>
              </w:rPr>
              <w:t xml:space="preserve">50% of the awards are currently based on performance against annual operating goals subject to a modifier measured on absolute TSR over a three-year performance period </w:t>
            </w:r>
          </w:p>
          <w:p>
            <w:pPr>
              <w:pStyle w:val="TableContents"/>
              <w:jc w:val="left"/>
              <w:rPr>
                <w:rFonts w:ascii="Arial" w:hAnsi="Arial"/>
                <w:sz w:val="20"/>
                <w:highlight w:val="yellow"/>
              </w:rPr>
            </w:pPr>
            <w:r>
              <w:rPr>
                <w:rFonts w:ascii="Arial" w:hAnsi="Arial"/>
                <w:sz w:val="20"/>
                <w:highlight w:val="yellow"/>
              </w:rPr>
              <w:t>We intend to eliminate short-term measurement periods from long-term performance-based equity awards, in future employment agreements with the Company’s CEO and President</w:t>
            </w:r>
          </w:p>
          <w:p>
            <w:pPr>
              <w:pStyle w:val="TableContents"/>
              <w:spacing w:before="120" w:after="40"/>
              <w:jc w:val="left"/>
              <w:rPr>
                <w:rFonts w:ascii="Arial" w:hAnsi="Arial"/>
                <w:sz w:val="20"/>
              </w:rPr>
            </w:pPr>
            <w:r>
              <w:rPr>
                <w:rFonts w:ascii="Arial" w:hAnsi="Arial"/>
                <w:sz w:val="20"/>
              </w:rPr>
              <w:t>50% of the awards are based on relative TSR over a three-year performance period</w:t>
            </w:r>
          </w:p>
        </w:tc>
      </w:tr>
      <w:tr>
        <w:trPr/>
        <w:tc>
          <w:tcPr>
            <w:tcW w:w="418" w:type="dxa"/>
            <w:vMerge w:val="continue"/>
            <w:tcBorders>
              <w:bottom w:val="single" w:sz="12" w:space="0" w:color="1A2343"/>
            </w:tcBorders>
            <w:shd w:fill="8EAD3C" w:val="clear"/>
            <w:tcMar>
              <w:bottom w:w="28" w:type="dxa"/>
            </w:tcMar>
            <w:vAlign w:val="center"/>
          </w:tcPr>
          <w:p>
            <w:pPr>
              <w:pStyle w:val="Normal"/>
              <w:rPr/>
            </w:pPr>
            <w:r>
              <w:rPr/>
            </w:r>
          </w:p>
        </w:tc>
        <w:tc>
          <w:tcPr>
            <w:tcW w:w="1270" w:type="dxa"/>
            <w:tcBorders>
              <w:bottom w:val="single" w:sz="12" w:space="0" w:color="1A2343"/>
            </w:tcBorders>
            <w:shd w:fill="auto" w:val="clear"/>
            <w:tcMar>
              <w:bottom w:w="80" w:type="dxa"/>
            </w:tcMar>
            <w:vAlign w:val="center"/>
          </w:tcPr>
          <w:p>
            <w:pPr>
              <w:pStyle w:val="TableContents"/>
              <w:spacing w:before="0" w:after="283"/>
              <w:jc w:val="left"/>
              <w:rPr/>
            </w:pPr>
            <w:r>
              <w:rPr/>
              <w:drawing>
                <wp:inline distT="0" distB="0" distL="0" distR="0">
                  <wp:extent cx="786765" cy="806450"/>
                  <wp:effectExtent l="0" t="0" r="0" b="0"/>
                  <wp:docPr id="433"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300" descr=""/>
                          <pic:cNvPicPr>
                            <a:picLocks noChangeAspect="1" noChangeArrowheads="1"/>
                          </pic:cNvPicPr>
                        </pic:nvPicPr>
                        <pic:blipFill>
                          <a:blip r:embed="rId301"/>
                          <a:srcRect l="-1281" t="-1250" r="-1281" b="-1250"/>
                          <a:stretch>
                            <a:fillRect/>
                          </a:stretch>
                        </pic:blipFill>
                        <pic:spPr bwMode="auto">
                          <a:xfrm>
                            <a:off x="0" y="0"/>
                            <a:ext cx="786765" cy="806450"/>
                          </a:xfrm>
                          <a:prstGeom prst="rect">
                            <a:avLst/>
                          </a:prstGeom>
                          <a:ln w="635">
                            <a:solidFill>
                              <a:srgbClr val="000000"/>
                            </a:solidFill>
                          </a:ln>
                        </pic:spPr>
                      </pic:pic>
                    </a:graphicData>
                  </a:graphic>
                </wp:inline>
              </w:drawing>
            </w:r>
          </w:p>
        </w:tc>
        <w:tc>
          <w:tcPr>
            <w:tcW w:w="2018" w:type="dxa"/>
            <w:tcBorders>
              <w:bottom w:val="single" w:sz="12" w:space="0" w:color="1A2343"/>
            </w:tcBorders>
            <w:shd w:fill="auto" w:val="clear"/>
            <w:tcMar>
              <w:bottom w:w="80" w:type="dxa"/>
            </w:tcMar>
            <w:vAlign w:val="center"/>
          </w:tcPr>
          <w:p>
            <w:pPr>
              <w:pStyle w:val="TableContents"/>
              <w:spacing w:before="0" w:after="283"/>
              <w:jc w:val="left"/>
              <w:rPr>
                <w:rFonts w:ascii="Arial" w:hAnsi="Arial"/>
                <w:b/>
                <w:color w:val="1A2343"/>
                <w:sz w:val="20"/>
              </w:rPr>
            </w:pPr>
            <w:r>
              <w:rPr>
                <w:rFonts w:ascii="Arial" w:hAnsi="Arial"/>
                <w:b/>
                <w:color w:val="1A2343"/>
                <w:sz w:val="20"/>
              </w:rPr>
              <w:t>Time-Based Equity Awards</w:t>
            </w:r>
          </w:p>
        </w:tc>
        <w:tc>
          <w:tcPr>
            <w:tcW w:w="6499" w:type="dxa"/>
            <w:tcBorders>
              <w:bottom w:val="single" w:sz="12" w:space="0" w:color="1A2343"/>
            </w:tcBorders>
            <w:shd w:fill="auto" w:val="clear"/>
            <w:tcMar>
              <w:bottom w:w="80" w:type="dxa"/>
            </w:tcMar>
            <w:vAlign w:val="center"/>
          </w:tcPr>
          <w:p>
            <w:pPr>
              <w:pStyle w:val="TableContents"/>
              <w:spacing w:before="40" w:after="120"/>
              <w:jc w:val="left"/>
              <w:rPr>
                <w:rFonts w:ascii="Arial" w:hAnsi="Arial"/>
                <w:sz w:val="20"/>
              </w:rPr>
            </w:pPr>
            <w:r>
              <w:rPr>
                <w:rFonts w:ascii="Arial" w:hAnsi="Arial"/>
                <w:sz w:val="20"/>
              </w:rPr>
              <w:t xml:space="preserve">Time-based equity awards that are granted annually based on an assessment of each executive’s performance during the most recent fiscal year and other factors ensure the alignment of the interests of our executives with those of long-term stockholders </w:t>
            </w:r>
          </w:p>
          <w:p>
            <w:pPr>
              <w:pStyle w:val="TableContents"/>
              <w:spacing w:before="0" w:after="40"/>
              <w:jc w:val="left"/>
              <w:rPr>
                <w:rFonts w:ascii="Arial" w:hAnsi="Arial"/>
                <w:sz w:val="20"/>
              </w:rPr>
            </w:pPr>
            <w:r>
              <w:rPr>
                <w:rFonts w:ascii="Arial" w:hAnsi="Arial"/>
                <w:sz w:val="20"/>
              </w:rPr>
              <w:t>The realized value of equity awards is based on the market value of our common stock</w:t>
            </w:r>
          </w:p>
        </w:tc>
      </w:tr>
    </w:tbl>
    <w:p>
      <w:pPr>
        <w:pStyle w:val="TextBody"/>
        <w:spacing w:before="120" w:after="120"/>
        <w:jc w:val="left"/>
        <w:rPr>
          <w:rFonts w:ascii="Arial" w:hAnsi="Arial"/>
          <w:sz w:val="20"/>
        </w:rPr>
      </w:pPr>
      <w:r>
        <w:rPr>
          <w:rFonts w:ascii="Arial" w:hAnsi="Arial"/>
          <w:sz w:val="20"/>
        </w:rPr>
        <w:t>This simplified, performance-focused structure is the result of a multi-year stockholder engagement effort. These elements of compensation are built into the employment agreements with our CEO, President and General Counsel, which were in effect during 2022, as well as the new employment agreement we entered into with our CFO in March 2023.</w:t>
      </w:r>
    </w:p>
    <w:p>
      <w:pPr>
        <w:pStyle w:val="TextBody"/>
        <w:spacing w:before="120" w:after="120"/>
        <w:jc w:val="left"/>
        <w:rPr>
          <w:rFonts w:ascii="Arial" w:hAnsi="Arial"/>
          <w:sz w:val="20"/>
        </w:rPr>
      </w:pPr>
      <w:r>
        <w:rPr>
          <w:rFonts w:ascii="Arial" w:hAnsi="Arial"/>
          <w:sz w:val="20"/>
        </w:rPr>
        <w:t>Variable and at-risk pay is the cornerstone of our pay-for-performance philosophy and allows the Committee to reward superior performance, while the substantial long-term equity incentive portions of our compensation programs serve to align the interests of our named executive officers with those of our stockholders.</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500" w:type="dxa"/>
        <w:jc w:val="left"/>
        <w:tblInd w:w="0" w:type="dxa"/>
        <w:tblCellMar>
          <w:top w:w="0" w:type="dxa"/>
          <w:left w:w="0" w:type="dxa"/>
          <w:bottom w:w="0" w:type="dxa"/>
          <w:right w:w="0" w:type="dxa"/>
        </w:tblCellMar>
      </w:tblPr>
      <w:tblGrid>
        <w:gridCol w:w="2210"/>
        <w:gridCol w:w="290"/>
      </w:tblGrid>
      <w:tr>
        <w:trPr/>
        <w:tc>
          <w:tcPr>
            <w:tcW w:w="2210" w:type="dxa"/>
            <w:tcBorders/>
            <w:shd w:fill="auto" w:val="clear"/>
            <w:vAlign w:val="center"/>
          </w:tcPr>
          <w:p>
            <w:pPr>
              <w:pStyle w:val="TableContents"/>
              <w:spacing w:before="0" w:after="283"/>
              <w:jc w:val="left"/>
              <w:rPr>
                <w:rFonts w:ascii="Arial" w:hAnsi="Arial"/>
                <w:sz w:val="15"/>
              </w:rPr>
            </w:pPr>
            <w:r>
              <w:rPr>
                <w:rFonts w:ascii="Arial" w:hAnsi="Arial"/>
                <w:b/>
                <w:sz w:val="15"/>
              </w:rPr>
              <w:t>EXECUTIVE COMPENSATION</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47</w:t>
            </w:r>
          </w:p>
        </w:tc>
      </w:tr>
    </w:tbl>
    <w:p>
      <w:pPr>
        <w:pStyle w:val="TextBody"/>
        <w:spacing w:before="240" w:after="283"/>
        <w:jc w:val="left"/>
        <w:rPr>
          <w:rFonts w:ascii="Arial" w:hAnsi="Arial"/>
          <w:b/>
          <w:color w:val="8EAD3C"/>
          <w:sz w:val="22"/>
        </w:rPr>
      </w:pPr>
      <w:r>
        <w:rPr>
          <w:rFonts w:ascii="Arial" w:hAnsi="Arial"/>
          <w:b/>
          <w:color w:val="8EAD3C"/>
          <w:sz w:val="22"/>
        </w:rPr>
        <w:t>Summary of 2022 Compensation</w:t>
      </w:r>
    </w:p>
    <w:p>
      <w:pPr>
        <w:pStyle w:val="TextBody"/>
        <w:jc w:val="left"/>
        <w:rPr>
          <w:rFonts w:ascii="Arial" w:hAnsi="Arial"/>
          <w:sz w:val="20"/>
        </w:rPr>
      </w:pPr>
      <w:r>
        <w:rPr>
          <w:rFonts w:ascii="Arial" w:hAnsi="Arial"/>
          <w:sz w:val="20"/>
        </w:rPr>
        <w:t>The Committee makes compensation decisions intended to recognize our executives for their contributions to our financial and operating performance, ensure retention and motivation of key leaders in a highly competitive environment and align the economic interests of our management team with our stockholders. In each case, the Committee allocates the various elements of compensation described above based on our pay-for-performance compensation philosophy and by reference to the terms of the employment agreements we have entered into with each of our named executive officers.</w:t>
      </w:r>
    </w:p>
    <w:p>
      <w:pPr>
        <w:pStyle w:val="TextBody"/>
        <w:jc w:val="left"/>
        <w:rPr>
          <w:rFonts w:ascii="Arial" w:hAnsi="Arial"/>
          <w:b/>
          <w:color w:val="1A2343"/>
          <w:sz w:val="22"/>
        </w:rPr>
      </w:pPr>
      <w:r>
        <w:rPr>
          <w:rFonts w:ascii="Arial" w:hAnsi="Arial"/>
          <w:b/>
          <w:color w:val="1A2343"/>
          <w:sz w:val="22"/>
        </w:rPr>
        <w:t>TOTAL DIRECT COMPENSATION FOR 2022</w:t>
      </w:r>
    </w:p>
    <w:p>
      <w:pPr>
        <w:pStyle w:val="TextBody"/>
        <w:jc w:val="left"/>
        <w:rPr>
          <w:rFonts w:ascii="Arial" w:hAnsi="Arial"/>
          <w:sz w:val="20"/>
        </w:rPr>
      </w:pPr>
      <w:r>
        <w:rPr>
          <w:rFonts w:ascii="Arial" w:hAnsi="Arial"/>
          <w:sz w:val="20"/>
        </w:rPr>
        <w:t>We present the “total direct compensation” for each of our named executive officers, which reflects the actual amounts awarded by the Committee for a given year. We believe this presentation provides investors with the most accurate understanding of the compensation decisions made by the Committee.</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F3F6EA" w:val="clear"/>
            <w:vAlign w:val="center"/>
          </w:tcPr>
          <w:p>
            <w:pPr>
              <w:pStyle w:val="TableContents"/>
              <w:spacing w:before="0" w:after="283"/>
              <w:jc w:val="left"/>
              <w:rPr>
                <w:rFonts w:ascii="Arial" w:hAnsi="Arial"/>
                <w:sz w:val="20"/>
              </w:rPr>
            </w:pPr>
            <w:r>
              <w:rPr>
                <w:rFonts w:ascii="Arial" w:hAnsi="Arial"/>
                <w:sz w:val="20"/>
              </w:rPr>
              <w:t>The methodology used to make compensation decisions and the amounts of compensation awarded for 2022 were generally consistent with the methodology and amounts used for 2021. Due to the timing of time-based equity award grants and bonus determinations, certain amounts reported in the Summary Compensation Table for 2022 do not match the compensation actually approved by the Committee.</w:t>
            </w:r>
          </w:p>
        </w:tc>
      </w:tr>
    </w:tbl>
    <w:p>
      <w:pPr>
        <w:pStyle w:val="TextBody"/>
        <w:spacing w:before="0" w:after="0"/>
        <w:rPr/>
      </w:pPr>
      <w:r>
        <w:rPr/>
      </w:r>
    </w:p>
    <w:tbl>
      <w:tblPr>
        <w:tblW w:w="7980" w:type="dxa"/>
        <w:jc w:val="left"/>
        <w:tblInd w:w="0" w:type="dxa"/>
        <w:tblCellMar>
          <w:top w:w="0" w:type="dxa"/>
          <w:left w:w="0" w:type="dxa"/>
          <w:bottom w:w="0" w:type="dxa"/>
          <w:right w:w="0" w:type="dxa"/>
        </w:tblCellMar>
      </w:tblPr>
      <w:tblGrid>
        <w:gridCol w:w="1925"/>
        <w:gridCol w:w="180"/>
        <w:gridCol w:w="125"/>
        <w:gridCol w:w="875"/>
        <w:gridCol w:w="120"/>
        <w:gridCol w:w="125"/>
        <w:gridCol w:w="875"/>
        <w:gridCol w:w="230"/>
        <w:gridCol w:w="120"/>
        <w:gridCol w:w="125"/>
        <w:gridCol w:w="875"/>
        <w:gridCol w:w="120"/>
        <w:gridCol w:w="125"/>
        <w:gridCol w:w="935"/>
        <w:gridCol w:w="120"/>
        <w:gridCol w:w="125"/>
        <w:gridCol w:w="980"/>
      </w:tblGrid>
      <w:tr>
        <w:trPr/>
        <w:tc>
          <w:tcPr>
            <w:tcW w:w="192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875" w:type="dxa"/>
            <w:gridSpan w:val="15"/>
            <w:tcBorders>
              <w:bottom w:val="single" w:sz="12" w:space="0" w:color="1A2343"/>
            </w:tcBorders>
            <w:shd w:fill="auto" w:val="clear"/>
            <w:tcMar>
              <w:bottom w:w="40" w:type="dxa"/>
            </w:tcMar>
            <w:vAlign w:val="center"/>
          </w:tcPr>
          <w:p>
            <w:pPr>
              <w:pStyle w:val="TableContents"/>
              <w:spacing w:before="0" w:after="283"/>
              <w:jc w:val="center"/>
              <w:rPr>
                <w:rFonts w:ascii="Arial" w:hAnsi="Arial"/>
                <w:color w:val="1A2343"/>
                <w:sz w:val="15"/>
              </w:rPr>
            </w:pPr>
            <w:r>
              <w:rPr>
                <w:rFonts w:ascii="Arial" w:hAnsi="Arial"/>
                <w:color w:val="1A2343"/>
                <w:sz w:val="15"/>
              </w:rPr>
              <w:t>2022 Direct Compensation</w:t>
            </w:r>
          </w:p>
        </w:tc>
      </w:tr>
      <w:tr>
        <w:trPr/>
        <w:tc>
          <w:tcPr>
            <w:tcW w:w="1925" w:type="dxa"/>
            <w:tcBorders>
              <w:bottom w:val="single" w:sz="12" w:space="0" w:color="1A2343"/>
            </w:tcBorders>
            <w:shd w:fill="auto" w:val="clear"/>
            <w:tcMar>
              <w:bottom w:w="40" w:type="dxa"/>
            </w:tcMar>
            <w:vAlign w:val="center"/>
          </w:tcPr>
          <w:p>
            <w:pPr>
              <w:pStyle w:val="TableContents"/>
              <w:spacing w:before="0" w:after="283"/>
              <w:jc w:val="left"/>
              <w:rPr>
                <w:rFonts w:ascii="Arial" w:hAnsi="Arial"/>
                <w:color w:val="1A2343"/>
                <w:sz w:val="15"/>
              </w:rPr>
            </w:pPr>
            <w:r>
              <w:rPr>
                <w:rFonts w:ascii="Arial" w:hAnsi="Arial"/>
                <w:color w:val="1A2343"/>
                <w:sz w:val="15"/>
              </w:rPr>
              <w:t>Name</w:t>
            </w:r>
          </w:p>
        </w:tc>
        <w:tc>
          <w:tcPr>
            <w:tcW w:w="180" w:type="dxa"/>
            <w:tcBorders/>
            <w:shd w:fill="auto" w:val="clear"/>
            <w:vAlign w:val="center"/>
          </w:tcPr>
          <w:p>
            <w:pPr>
              <w:pStyle w:val="TableContents"/>
              <w:spacing w:before="0" w:after="283"/>
              <w:rPr>
                <w:sz w:val="4"/>
                <w:szCs w:val="4"/>
              </w:rPr>
            </w:pPr>
            <w:r>
              <w:rPr>
                <w:sz w:val="4"/>
                <w:szCs w:val="4"/>
              </w:rPr>
            </w:r>
          </w:p>
        </w:tc>
        <w:tc>
          <w:tcPr>
            <w:tcW w:w="1000" w:type="dxa"/>
            <w:gridSpan w:val="2"/>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Base Salary</w:t>
            </w:r>
          </w:p>
        </w:tc>
        <w:tc>
          <w:tcPr>
            <w:tcW w:w="120" w:type="dxa"/>
            <w:tcBorders/>
            <w:shd w:fill="auto" w:val="clear"/>
            <w:vAlign w:val="center"/>
          </w:tcPr>
          <w:p>
            <w:pPr>
              <w:pStyle w:val="TableContents"/>
              <w:spacing w:before="0" w:after="283"/>
              <w:rPr>
                <w:sz w:val="4"/>
                <w:szCs w:val="4"/>
              </w:rPr>
            </w:pPr>
            <w:r>
              <w:rPr>
                <w:sz w:val="4"/>
                <w:szCs w:val="4"/>
              </w:rPr>
            </w:r>
          </w:p>
        </w:tc>
        <w:tc>
          <w:tcPr>
            <w:tcW w:w="1230" w:type="dxa"/>
            <w:gridSpan w:val="3"/>
            <w:tcBorders>
              <w:bottom w:val="single" w:sz="12" w:space="0" w:color="1A2343"/>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Cash Bonus</w:t>
            </w:r>
            <w:r>
              <w:rPr>
                <w:rFonts w:ascii="Arial" w:hAnsi="Arial"/>
                <w:position w:val="5"/>
                <w:sz w:val="12"/>
                <w:sz w:val="15"/>
              </w:rPr>
              <w:t>(1)</w:t>
            </w:r>
          </w:p>
        </w:tc>
        <w:tc>
          <w:tcPr>
            <w:tcW w:w="120" w:type="dxa"/>
            <w:tcBorders/>
            <w:shd w:fill="auto" w:val="clear"/>
            <w:vAlign w:val="center"/>
          </w:tcPr>
          <w:p>
            <w:pPr>
              <w:pStyle w:val="TableContents"/>
              <w:spacing w:before="0" w:after="283"/>
              <w:rPr>
                <w:sz w:val="4"/>
                <w:szCs w:val="4"/>
              </w:rPr>
            </w:pPr>
            <w:r>
              <w:rPr>
                <w:sz w:val="4"/>
                <w:szCs w:val="4"/>
              </w:rPr>
            </w:r>
          </w:p>
        </w:tc>
        <w:tc>
          <w:tcPr>
            <w:tcW w:w="1000" w:type="dxa"/>
            <w:gridSpan w:val="2"/>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Performance-</w:t>
              <w:br/>
              <w:t>Based Equity</w:t>
              <w:br/>
              <w:t>Awards</w:t>
            </w:r>
            <w:r>
              <w:rPr>
                <w:rFonts w:ascii="Arial" w:hAnsi="Arial"/>
                <w:color w:val="1A2343"/>
                <w:position w:val="5"/>
                <w:sz w:val="12"/>
                <w:sz w:val="15"/>
              </w:rPr>
              <w:t>(2)</w:t>
            </w:r>
          </w:p>
        </w:tc>
        <w:tc>
          <w:tcPr>
            <w:tcW w:w="120" w:type="dxa"/>
            <w:tcBorders/>
            <w:shd w:fill="auto" w:val="clear"/>
            <w:vAlign w:val="center"/>
          </w:tcPr>
          <w:p>
            <w:pPr>
              <w:pStyle w:val="TableContents"/>
              <w:spacing w:before="0" w:after="283"/>
              <w:rPr>
                <w:sz w:val="4"/>
                <w:szCs w:val="4"/>
              </w:rPr>
            </w:pPr>
            <w:r>
              <w:rPr>
                <w:sz w:val="4"/>
                <w:szCs w:val="4"/>
              </w:rPr>
            </w:r>
          </w:p>
        </w:tc>
        <w:tc>
          <w:tcPr>
            <w:tcW w:w="1060" w:type="dxa"/>
            <w:gridSpan w:val="2"/>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 xml:space="preserve">Time-Based </w:t>
              <w:br/>
              <w:t>Equity</w:t>
              <w:br/>
              <w:t>Awards</w:t>
            </w:r>
            <w:r>
              <w:rPr>
                <w:rFonts w:ascii="Arial" w:hAnsi="Arial"/>
                <w:color w:val="1A2343"/>
                <w:position w:val="5"/>
                <w:sz w:val="12"/>
                <w:sz w:val="15"/>
              </w:rPr>
              <w:t>(2)</w:t>
            </w:r>
          </w:p>
        </w:tc>
        <w:tc>
          <w:tcPr>
            <w:tcW w:w="120" w:type="dxa"/>
            <w:tcBorders/>
            <w:shd w:fill="auto" w:val="clear"/>
            <w:vAlign w:val="center"/>
          </w:tcPr>
          <w:p>
            <w:pPr>
              <w:pStyle w:val="TableContents"/>
              <w:spacing w:before="0" w:after="283"/>
              <w:rPr>
                <w:sz w:val="4"/>
                <w:szCs w:val="4"/>
              </w:rPr>
            </w:pPr>
            <w:r>
              <w:rPr>
                <w:sz w:val="4"/>
                <w:szCs w:val="4"/>
              </w:rPr>
            </w:r>
          </w:p>
        </w:tc>
        <w:tc>
          <w:tcPr>
            <w:tcW w:w="1105" w:type="dxa"/>
            <w:gridSpan w:val="2"/>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Total</w:t>
            </w:r>
            <w:r>
              <w:rPr>
                <w:rFonts w:ascii="Arial" w:hAnsi="Arial"/>
                <w:color w:val="1A2343"/>
                <w:position w:val="5"/>
                <w:sz w:val="12"/>
                <w:sz w:val="15"/>
              </w:rPr>
              <w:t>(3)</w:t>
            </w:r>
          </w:p>
        </w:tc>
      </w:tr>
      <w:tr>
        <w:trPr/>
        <w:tc>
          <w:tcPr>
            <w:tcW w:w="192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Marc Holliday</w:t>
            </w:r>
          </w:p>
        </w:tc>
        <w:tc>
          <w:tcPr>
            <w:tcW w:w="180" w:type="dxa"/>
            <w:tcBorders/>
            <w:shd w:fill="auto" w:val="clear"/>
            <w:vAlign w:val="center"/>
          </w:tcPr>
          <w:p>
            <w:pPr>
              <w:pStyle w:val="TableContents"/>
              <w:spacing w:before="0" w:after="283"/>
              <w:jc w:val="left"/>
              <w:rPr/>
            </w:pPr>
            <w:r>
              <w:rPr/>
              <w:t>   </w:t>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1,250,000</w:t>
            </w:r>
          </w:p>
        </w:tc>
        <w:tc>
          <w:tcPr>
            <w:tcW w:w="120" w:type="dxa"/>
            <w:tcBorders/>
            <w:shd w:fill="auto" w:val="clear"/>
            <w:vAlign w:val="center"/>
          </w:tcPr>
          <w:p>
            <w:pPr>
              <w:pStyle w:val="TableContents"/>
              <w:spacing w:before="0" w:after="283"/>
              <w:jc w:val="left"/>
              <w:rPr/>
            </w:pPr>
            <w:r>
              <w:rPr/>
              <w:t>  </w:t>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2,102,187</w:t>
            </w:r>
          </w:p>
        </w:tc>
        <w:tc>
          <w:tcPr>
            <w:tcW w:w="230" w:type="dxa"/>
            <w:tcBorders>
              <w:bottom w:val="single" w:sz="8" w:space="0" w:color="5B5975"/>
            </w:tcBorders>
            <w:shd w:fill="auto" w:val="clear"/>
            <w:tcMar>
              <w:bottom w:w="28" w:type="dxa"/>
            </w:tcMar>
            <w:vAlign w:val="center"/>
          </w:tcPr>
          <w:p>
            <w:pPr>
              <w:pStyle w:val="TableContents"/>
              <w:spacing w:before="0" w:after="283"/>
              <w:rPr>
                <w:rFonts w:ascii="Arial" w:hAnsi="Arial"/>
                <w:position w:val="7"/>
                <w:sz w:val="16"/>
                <w:sz w:val="20"/>
              </w:rPr>
            </w:pPr>
            <w:r>
              <w:rPr>
                <w:rFonts w:ascii="Arial" w:hAnsi="Arial"/>
                <w:position w:val="7"/>
                <w:sz w:val="16"/>
                <w:sz w:val="20"/>
              </w:rPr>
              <w:t>(4)</w:t>
            </w:r>
          </w:p>
        </w:tc>
        <w:tc>
          <w:tcPr>
            <w:tcW w:w="120" w:type="dxa"/>
            <w:tcBorders/>
            <w:shd w:fill="auto" w:val="clear"/>
            <w:vAlign w:val="center"/>
          </w:tcPr>
          <w:p>
            <w:pPr>
              <w:pStyle w:val="TableContents"/>
              <w:spacing w:before="0" w:after="283"/>
              <w:jc w:val="right"/>
              <w:rPr/>
            </w:pPr>
            <w:r>
              <w:rPr/>
              <w:t>  </w:t>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7,500,000</w:t>
            </w:r>
          </w:p>
        </w:tc>
        <w:tc>
          <w:tcPr>
            <w:tcW w:w="120" w:type="dxa"/>
            <w:tcBorders/>
            <w:shd w:fill="auto" w:val="clear"/>
            <w:vAlign w:val="center"/>
          </w:tcPr>
          <w:p>
            <w:pPr>
              <w:pStyle w:val="TableContents"/>
              <w:spacing w:before="0" w:after="283"/>
              <w:jc w:val="left"/>
              <w:rPr/>
            </w:pPr>
            <w:r>
              <w:rPr/>
              <w:t>  </w:t>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3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4,500,000</w:t>
            </w:r>
          </w:p>
        </w:tc>
        <w:tc>
          <w:tcPr>
            <w:tcW w:w="120" w:type="dxa"/>
            <w:tcBorders/>
            <w:shd w:fill="auto" w:val="clear"/>
            <w:vAlign w:val="center"/>
          </w:tcPr>
          <w:p>
            <w:pPr>
              <w:pStyle w:val="TableContents"/>
              <w:spacing w:before="0" w:after="283"/>
              <w:jc w:val="left"/>
              <w:rPr/>
            </w:pPr>
            <w:r>
              <w:rPr/>
              <w:t>  </w:t>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15,427,247</w:t>
            </w:r>
          </w:p>
        </w:tc>
      </w:tr>
      <w:tr>
        <w:trPr/>
        <w:tc>
          <w:tcPr>
            <w:tcW w:w="192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Andrew Mathias</w:t>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950,000</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1,361,469</w:t>
            </w:r>
          </w:p>
        </w:tc>
        <w:tc>
          <w:tcPr>
            <w:tcW w:w="230" w:type="dxa"/>
            <w:tcBorders>
              <w:bottom w:val="single" w:sz="8" w:space="0" w:color="5B5975"/>
            </w:tcBorders>
            <w:shd w:fill="auto" w:val="clear"/>
            <w:tcMar>
              <w:bottom w:w="28" w:type="dxa"/>
            </w:tcMar>
            <w:vAlign w:val="center"/>
          </w:tcPr>
          <w:p>
            <w:pPr>
              <w:pStyle w:val="TableContents"/>
              <w:spacing w:before="0" w:after="283"/>
              <w:rPr>
                <w:rFonts w:ascii="Arial" w:hAnsi="Arial"/>
                <w:position w:val="7"/>
                <w:sz w:val="16"/>
                <w:sz w:val="20"/>
              </w:rPr>
            </w:pPr>
            <w:r>
              <w:rPr>
                <w:rFonts w:ascii="Arial" w:hAnsi="Arial"/>
                <w:position w:val="7"/>
                <w:sz w:val="16"/>
                <w:sz w:val="20"/>
              </w:rPr>
              <w:t>(4)</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6,000,000</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3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3,500,000</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11,867,039</w:t>
            </w:r>
          </w:p>
        </w:tc>
      </w:tr>
      <w:tr>
        <w:trPr/>
        <w:tc>
          <w:tcPr>
            <w:tcW w:w="192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Matthew J. DiLiberto</w:t>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575,000</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1,450,000</w:t>
            </w:r>
          </w:p>
        </w:tc>
        <w:tc>
          <w:tcPr>
            <w:tcW w:w="230" w:type="dxa"/>
            <w:tcBorders>
              <w:bottom w:val="single" w:sz="8" w:space="0" w:color="5B5975"/>
            </w:tcBorders>
            <w:shd w:fill="auto" w:val="clear"/>
            <w:tcMar>
              <w:bottom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555,556</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3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 xml:space="preserve">2,400,000 </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4,992,756</w:t>
            </w:r>
          </w:p>
        </w:tc>
      </w:tr>
      <w:tr>
        <w:trPr/>
        <w:tc>
          <w:tcPr>
            <w:tcW w:w="1925" w:type="dxa"/>
            <w:tcBorders>
              <w:bottom w:val="single" w:sz="12" w:space="0" w:color="1A2343"/>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Andrew S. Levine</w:t>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87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580,000</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87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950,000</w:t>
            </w:r>
          </w:p>
        </w:tc>
        <w:tc>
          <w:tcPr>
            <w:tcW w:w="230" w:type="dxa"/>
            <w:tcBorders>
              <w:bottom w:val="single" w:sz="12" w:space="0" w:color="1A2343"/>
            </w:tcBorders>
            <w:shd w:fill="auto" w:val="clear"/>
            <w:tcMar>
              <w:bottom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87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555,556</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3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 xml:space="preserve">2,300,000 </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4,397,756</w:t>
            </w:r>
          </w:p>
        </w:tc>
      </w:tr>
    </w:tbl>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10032" w:type="dxa"/>
            <w:tcBorders/>
            <w:shd w:fill="auto" w:val="clear"/>
            <w:vAlign w:val="center"/>
          </w:tcPr>
          <w:p>
            <w:pPr>
              <w:pStyle w:val="TableContents"/>
              <w:spacing w:before="0" w:after="283"/>
              <w:jc w:val="left"/>
              <w:rPr>
                <w:rFonts w:ascii="Arial" w:hAnsi="Arial"/>
                <w:sz w:val="15"/>
              </w:rPr>
            </w:pPr>
            <w:r>
              <w:rPr>
                <w:rFonts w:ascii="Arial" w:hAnsi="Arial"/>
                <w:sz w:val="15"/>
              </w:rPr>
              <w:t>Determined formulaically for Messrs. Holliday and Mathias and on a discretionary basis for Messrs. DiLiberto and Levine.</w:t>
            </w:r>
          </w:p>
        </w:tc>
      </w:tr>
      <w:tr>
        <w:trPr/>
        <w:tc>
          <w:tcPr>
            <w:tcW w:w="173" w:type="dxa"/>
            <w:tcBorders/>
            <w:shd w:fill="auto" w:val="clear"/>
            <w:vAlign w:val="center"/>
          </w:tcPr>
          <w:p>
            <w:pPr>
              <w:pStyle w:val="TableContents"/>
              <w:spacing w:before="0" w:after="283"/>
              <w:jc w:val="left"/>
              <w:rPr>
                <w:rFonts w:ascii="Arial" w:hAnsi="Arial"/>
                <w:sz w:val="15"/>
              </w:rPr>
            </w:pPr>
            <w:r>
              <w:rPr>
                <w:rFonts w:ascii="Arial" w:hAnsi="Arial"/>
                <w:sz w:val="15"/>
              </w:rPr>
              <w:t>(2)</w:t>
            </w:r>
          </w:p>
        </w:tc>
        <w:tc>
          <w:tcPr>
            <w:tcW w:w="10032" w:type="dxa"/>
            <w:tcBorders/>
            <w:shd w:fill="auto" w:val="clear"/>
            <w:vAlign w:val="center"/>
          </w:tcPr>
          <w:p>
            <w:pPr>
              <w:pStyle w:val="TableContents"/>
              <w:spacing w:before="0" w:after="283"/>
              <w:jc w:val="left"/>
              <w:rPr>
                <w:rFonts w:ascii="Arial" w:hAnsi="Arial"/>
                <w:sz w:val="15"/>
              </w:rPr>
            </w:pPr>
            <w:r>
              <w:rPr>
                <w:rFonts w:ascii="Arial" w:hAnsi="Arial"/>
                <w:sz w:val="15"/>
              </w:rPr>
              <w:t>Represents target values of equity awards. For Messrs. DiLiberto and Levine, includes the value of one-time, incentive-based LTIP units awarded in 2022 in connection with our One Madison Development project.</w:t>
            </w:r>
          </w:p>
        </w:tc>
      </w:tr>
      <w:tr>
        <w:trPr/>
        <w:tc>
          <w:tcPr>
            <w:tcW w:w="173" w:type="dxa"/>
            <w:tcBorders/>
            <w:shd w:fill="auto" w:val="clear"/>
            <w:vAlign w:val="center"/>
          </w:tcPr>
          <w:p>
            <w:pPr>
              <w:pStyle w:val="TableContents"/>
              <w:spacing w:before="0" w:after="283"/>
              <w:jc w:val="left"/>
              <w:rPr>
                <w:rFonts w:ascii="Arial" w:hAnsi="Arial"/>
                <w:sz w:val="15"/>
              </w:rPr>
            </w:pPr>
            <w:r>
              <w:rPr>
                <w:rFonts w:ascii="Arial" w:hAnsi="Arial"/>
                <w:sz w:val="15"/>
              </w:rPr>
              <w:t>(3)</w:t>
            </w:r>
          </w:p>
        </w:tc>
        <w:tc>
          <w:tcPr>
            <w:tcW w:w="10032" w:type="dxa"/>
            <w:tcBorders/>
            <w:shd w:fill="auto" w:val="clear"/>
            <w:vAlign w:val="center"/>
          </w:tcPr>
          <w:p>
            <w:pPr>
              <w:pStyle w:val="TableContents"/>
              <w:spacing w:before="0" w:after="283"/>
              <w:jc w:val="left"/>
              <w:rPr>
                <w:rFonts w:ascii="Arial" w:hAnsi="Arial"/>
                <w:sz w:val="15"/>
              </w:rPr>
            </w:pPr>
            <w:r>
              <w:rPr>
                <w:rFonts w:ascii="Arial" w:hAnsi="Arial"/>
                <w:sz w:val="15"/>
              </w:rPr>
              <w:t>Includes the following compensation categorized as “Other Compensation” as reflected in the Summary Compensation Table: Mr. Holliday—$75,060; Mr. Mathias—$55,570; Mr. DiLiberto—$12,200; and Mr. Levine—$12,200, respectively.</w:t>
            </w:r>
          </w:p>
        </w:tc>
      </w:tr>
      <w:tr>
        <w:trPr/>
        <w:tc>
          <w:tcPr>
            <w:tcW w:w="173" w:type="dxa"/>
            <w:tcBorders/>
            <w:shd w:fill="auto" w:val="clear"/>
            <w:vAlign w:val="center"/>
          </w:tcPr>
          <w:p>
            <w:pPr>
              <w:pStyle w:val="TableContents"/>
              <w:spacing w:before="0" w:after="283"/>
              <w:jc w:val="left"/>
              <w:rPr>
                <w:rFonts w:ascii="Arial" w:hAnsi="Arial"/>
                <w:sz w:val="15"/>
              </w:rPr>
            </w:pPr>
            <w:r>
              <w:rPr>
                <w:rFonts w:ascii="Arial" w:hAnsi="Arial"/>
                <w:sz w:val="15"/>
              </w:rPr>
              <w:t>(4)</w:t>
            </w:r>
          </w:p>
        </w:tc>
        <w:tc>
          <w:tcPr>
            <w:tcW w:w="10032" w:type="dxa"/>
            <w:tcBorders/>
            <w:shd w:fill="auto" w:val="clear"/>
            <w:vAlign w:val="center"/>
          </w:tcPr>
          <w:p>
            <w:pPr>
              <w:pStyle w:val="TableContents"/>
              <w:spacing w:before="0" w:after="283"/>
              <w:jc w:val="left"/>
              <w:rPr>
                <w:rFonts w:ascii="Arial" w:hAnsi="Arial"/>
                <w:sz w:val="15"/>
              </w:rPr>
            </w:pPr>
            <w:r>
              <w:rPr>
                <w:rFonts w:ascii="Arial" w:hAnsi="Arial"/>
                <w:sz w:val="15"/>
              </w:rPr>
              <w:t>Represents 2022 cash bonus amounts earned in a formulaic manner less a true-up adjustment based on actual 2021 performance. Each year, we determine annual cash bonuses for Messrs. Holliday and Mathias in December based on projected results, which may result in adjustments if actual results differ from our projections.</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48</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sz w:val="20"/>
        </w:rPr>
      </w:pPr>
      <w:r>
        <w:rPr>
          <w:rFonts w:ascii="Arial" w:hAnsi="Arial"/>
          <w:sz w:val="20"/>
        </w:rPr>
        <w:t>Using our CEO’s 2022 compensation, the table below illustrates the differences between total direct compensation and the Summary Compensation Table that appears later in this proxy statement.</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F3F6EA" w:val="clear"/>
            <w:vAlign w:val="center"/>
          </w:tcPr>
          <w:p>
            <w:pPr>
              <w:pStyle w:val="TableContents"/>
              <w:spacing w:before="0" w:after="283"/>
              <w:jc w:val="left"/>
              <w:rPr/>
            </w:pPr>
            <w:r>
              <w:rPr>
                <w:rFonts w:ascii="Arial" w:hAnsi="Arial"/>
                <w:sz w:val="20"/>
              </w:rPr>
              <w:t xml:space="preserve">As described on Mr. Holliday’s 2022 NEO Scorecard, below, the “projected realizable compensation” for Mr. Holliday in 2022 was </w:t>
            </w:r>
            <w:r>
              <w:rPr>
                <w:rFonts w:ascii="Arial" w:hAnsi="Arial"/>
                <w:b/>
                <w:sz w:val="20"/>
              </w:rPr>
              <w:t>$10,002,202</w:t>
            </w:r>
            <w:r>
              <w:rPr>
                <w:rFonts w:ascii="Arial" w:hAnsi="Arial"/>
                <w:sz w:val="20"/>
              </w:rPr>
              <w:t xml:space="preserve">, which is approximately </w:t>
            </w:r>
            <w:r>
              <w:rPr>
                <w:rFonts w:ascii="Arial" w:hAnsi="Arial"/>
                <w:b/>
                <w:sz w:val="20"/>
              </w:rPr>
              <w:t>35% lower</w:t>
            </w:r>
            <w:r>
              <w:rPr>
                <w:rFonts w:ascii="Arial" w:hAnsi="Arial"/>
                <w:sz w:val="20"/>
              </w:rPr>
              <w:t xml:space="preserve"> than the Total Direct Compensation amount and approximately </w:t>
            </w:r>
            <w:r>
              <w:rPr>
                <w:rFonts w:ascii="Arial" w:hAnsi="Arial"/>
                <w:b/>
                <w:sz w:val="20"/>
              </w:rPr>
              <w:t xml:space="preserve">40% lower </w:t>
            </w:r>
            <w:r>
              <w:rPr>
                <w:rFonts w:ascii="Arial" w:hAnsi="Arial"/>
                <w:sz w:val="20"/>
              </w:rPr>
              <w:t xml:space="preserve">than the amount reported in the Summary Compensation Table. The Total Direct Compensation approved by the Committee for Mr. Holliday for 2022 was approximately </w:t>
            </w:r>
            <w:r>
              <w:rPr>
                <w:rFonts w:ascii="Arial" w:hAnsi="Arial"/>
                <w:b/>
                <w:sz w:val="20"/>
              </w:rPr>
              <w:t xml:space="preserve">7.4% lower </w:t>
            </w:r>
            <w:r>
              <w:rPr>
                <w:rFonts w:ascii="Arial" w:hAnsi="Arial"/>
                <w:sz w:val="20"/>
              </w:rPr>
              <w:t>than the total compensation amount set forth in the Summary Compensation Table.</w:t>
            </w:r>
          </w:p>
        </w:tc>
      </w:tr>
    </w:tbl>
    <w:p>
      <w:pPr>
        <w:pStyle w:val="TextBody"/>
        <w:spacing w:before="0" w:after="0"/>
        <w:rPr/>
      </w:pPr>
      <w:r>
        <w:rPr/>
      </w:r>
    </w:p>
    <w:tbl>
      <w:tblPr>
        <w:tblW w:w="5980" w:type="dxa"/>
        <w:jc w:val="left"/>
        <w:tblInd w:w="0" w:type="dxa"/>
        <w:tblCellMar>
          <w:top w:w="0" w:type="dxa"/>
          <w:left w:w="0" w:type="dxa"/>
          <w:bottom w:w="40" w:type="dxa"/>
          <w:right w:w="0" w:type="dxa"/>
        </w:tblCellMar>
      </w:tblPr>
      <w:tblGrid>
        <w:gridCol w:w="3410"/>
        <w:gridCol w:w="180"/>
        <w:gridCol w:w="125"/>
        <w:gridCol w:w="980"/>
        <w:gridCol w:w="180"/>
        <w:gridCol w:w="125"/>
        <w:gridCol w:w="980"/>
      </w:tblGrid>
      <w:tr>
        <w:trPr/>
        <w:tc>
          <w:tcPr>
            <w:tcW w:w="5980" w:type="dxa"/>
            <w:gridSpan w:val="7"/>
            <w:tcBorders>
              <w:bottom w:val="single" w:sz="12" w:space="0" w:color="1A2343"/>
            </w:tcBorders>
            <w:shd w:fill="auto" w:val="clear"/>
            <w:vAlign w:val="center"/>
          </w:tcPr>
          <w:p>
            <w:pPr>
              <w:pStyle w:val="TableContents"/>
              <w:spacing w:before="0" w:after="283"/>
              <w:jc w:val="center"/>
              <w:rPr>
                <w:rFonts w:ascii="Arial" w:hAnsi="Arial"/>
                <w:color w:val="1A2343"/>
                <w:sz w:val="15"/>
              </w:rPr>
            </w:pPr>
            <w:r>
              <w:rPr>
                <w:rFonts w:ascii="Arial" w:hAnsi="Arial"/>
                <w:color w:val="1A2343"/>
                <w:sz w:val="15"/>
              </w:rPr>
              <w:t>2022 CEO Direct Compensation vs. Summary Compensation Table</w:t>
            </w:r>
          </w:p>
        </w:tc>
      </w:tr>
      <w:tr>
        <w:trPr/>
        <w:tc>
          <w:tcPr>
            <w:tcW w:w="341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Element of Compensation</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10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Total Direct</w:t>
              <w:br/>
              <w:t>Compensation</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10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Summary</w:t>
              <w:br/>
              <w:t>Compensation</w:t>
              <w:br/>
              <w:t>Table</w:t>
            </w:r>
          </w:p>
        </w:tc>
      </w:tr>
      <w:tr>
        <w:trPr/>
        <w:tc>
          <w:tcPr>
            <w:tcW w:w="3410"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Base Salary</w:t>
            </w:r>
          </w:p>
        </w:tc>
        <w:tc>
          <w:tcPr>
            <w:tcW w:w="180" w:type="dxa"/>
            <w:tcBorders/>
            <w:shd w:fill="auto" w:val="clear"/>
            <w:tcMar>
              <w:bottom w:w="0" w:type="dxa"/>
            </w:tcMar>
            <w:vAlign w:val="center"/>
          </w:tcPr>
          <w:p>
            <w:pPr>
              <w:pStyle w:val="TableContents"/>
              <w:spacing w:before="0" w:after="283"/>
              <w:jc w:val="left"/>
              <w:rPr/>
            </w:pPr>
            <w:r>
              <w:rPr/>
              <w:t>   </w:t>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1,250,000</w:t>
            </w:r>
          </w:p>
        </w:tc>
        <w:tc>
          <w:tcPr>
            <w:tcW w:w="180" w:type="dxa"/>
            <w:tcBorders/>
            <w:shd w:fill="auto" w:val="clear"/>
            <w:tcMar>
              <w:bottom w:w="0" w:type="dxa"/>
            </w:tcMar>
            <w:vAlign w:val="center"/>
          </w:tcPr>
          <w:p>
            <w:pPr>
              <w:pStyle w:val="TableContents"/>
              <w:spacing w:before="0" w:after="283"/>
              <w:jc w:val="left"/>
              <w:rPr/>
            </w:pPr>
            <w:r>
              <w:rPr/>
              <w:t>   </w:t>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1,250,000</w:t>
            </w:r>
          </w:p>
        </w:tc>
      </w:tr>
      <w:tr>
        <w:trPr/>
        <w:tc>
          <w:tcPr>
            <w:tcW w:w="3410"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Annual Cash Bonus</w:t>
            </w:r>
            <w:r>
              <w:rPr>
                <w:rFonts w:ascii="Arial" w:hAnsi="Arial"/>
                <w:b/>
                <w:color w:val="1A2343"/>
                <w:position w:val="7"/>
                <w:sz w:val="16"/>
                <w:sz w:val="20"/>
              </w:rPr>
              <w:t>(1)</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2,102,187</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1,734,428</w:t>
            </w:r>
          </w:p>
        </w:tc>
      </w:tr>
      <w:tr>
        <w:trPr/>
        <w:tc>
          <w:tcPr>
            <w:tcW w:w="3410"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Annual Performance-Based Award</w:t>
            </w:r>
            <w:r>
              <w:rPr>
                <w:rFonts w:ascii="Arial" w:hAnsi="Arial"/>
                <w:b/>
                <w:color w:val="1A2343"/>
                <w:position w:val="7"/>
                <w:sz w:val="16"/>
                <w:sz w:val="20"/>
              </w:rPr>
              <w:t>(2)</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7,500,000</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9,339,258</w:t>
            </w:r>
          </w:p>
        </w:tc>
      </w:tr>
      <w:tr>
        <w:trPr/>
        <w:tc>
          <w:tcPr>
            <w:tcW w:w="3410"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Annual Time-Based Award</w:t>
            </w:r>
            <w:r>
              <w:rPr>
                <w:rFonts w:ascii="Arial" w:hAnsi="Arial"/>
                <w:b/>
                <w:color w:val="1A2343"/>
                <w:position w:val="7"/>
                <w:sz w:val="16"/>
                <w:sz w:val="20"/>
              </w:rPr>
              <w:t>(2)</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4,500,000</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4,262,109</w:t>
            </w:r>
          </w:p>
        </w:tc>
      </w:tr>
      <w:tr>
        <w:trPr/>
        <w:tc>
          <w:tcPr>
            <w:tcW w:w="3410"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Other Compensation</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75,060</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75,060</w:t>
            </w:r>
          </w:p>
        </w:tc>
      </w:tr>
      <w:tr>
        <w:trPr/>
        <w:tc>
          <w:tcPr>
            <w:tcW w:w="3410" w:type="dxa"/>
            <w:tcBorders>
              <w:bottom w:val="single" w:sz="12" w:space="0" w:color="1A2343"/>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Total</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jc w:val="left"/>
              <w:rPr>
                <w:rFonts w:ascii="Arial" w:hAnsi="Arial"/>
                <w:color w:val="1A2343"/>
                <w:sz w:val="20"/>
              </w:rPr>
            </w:pPr>
            <w:r>
              <w:rPr>
                <w:rFonts w:ascii="Arial" w:hAnsi="Arial"/>
                <w:color w:val="1A2343"/>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b/>
                <w:color w:val="1A2343"/>
                <w:sz w:val="20"/>
              </w:rPr>
            </w:pPr>
            <w:r>
              <w:rPr>
                <w:rFonts w:ascii="Arial" w:hAnsi="Arial"/>
                <w:b/>
                <w:color w:val="1A2343"/>
                <w:sz w:val="20"/>
              </w:rPr>
              <w:t>15,427,247</w:t>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jc w:val="left"/>
              <w:rPr>
                <w:rFonts w:ascii="Arial" w:hAnsi="Arial"/>
                <w:color w:val="1A2343"/>
                <w:sz w:val="20"/>
              </w:rPr>
            </w:pPr>
            <w:r>
              <w:rPr>
                <w:rFonts w:ascii="Arial" w:hAnsi="Arial"/>
                <w:color w:val="1A2343"/>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b/>
                <w:color w:val="1A2343"/>
                <w:sz w:val="20"/>
              </w:rPr>
            </w:pPr>
            <w:r>
              <w:rPr>
                <w:rFonts w:ascii="Arial" w:hAnsi="Arial"/>
                <w:b/>
                <w:color w:val="1A2343"/>
                <w:sz w:val="20"/>
              </w:rPr>
              <w:t>16,660,855</w:t>
            </w:r>
          </w:p>
        </w:tc>
      </w:tr>
    </w:tbl>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10041" w:type="dxa"/>
            <w:tcBorders/>
            <w:shd w:fill="auto" w:val="clear"/>
            <w:vAlign w:val="center"/>
          </w:tcPr>
          <w:p>
            <w:pPr>
              <w:pStyle w:val="TableContents"/>
              <w:spacing w:before="0" w:after="283"/>
              <w:jc w:val="left"/>
              <w:rPr>
                <w:rFonts w:ascii="Arial" w:hAnsi="Arial"/>
                <w:sz w:val="15"/>
              </w:rPr>
            </w:pPr>
            <w:r>
              <w:rPr>
                <w:rFonts w:ascii="Arial" w:hAnsi="Arial"/>
                <w:sz w:val="15"/>
              </w:rPr>
              <w:t>The “Total Direct Compensation” column represents the cash bonus amount earned in a formulaic manner less a true-up adjustment based on actual 2021 performance. Because Mr. Holliday’s 2022 annual cash bonus was paid 50% in cash and 50% in equity, the “Summary Compensation Table” column reflects the actual value of the cash portion of the bonus and, for the remaining 50% granted in equity, the grant date value of LTIP units granted in December 2022. The “Summary Compensation Table” column excludes the value of LTIP units granted in January 2023 as a true-up based on actual 2022 performance.</w:t>
            </w:r>
          </w:p>
        </w:tc>
      </w:tr>
      <w:tr>
        <w:trPr/>
        <w:tc>
          <w:tcPr>
            <w:tcW w:w="164" w:type="dxa"/>
            <w:tcBorders/>
            <w:shd w:fill="auto" w:val="clear"/>
            <w:vAlign w:val="center"/>
          </w:tcPr>
          <w:p>
            <w:pPr>
              <w:pStyle w:val="TableContents"/>
              <w:spacing w:before="0" w:after="283"/>
              <w:jc w:val="left"/>
              <w:rPr>
                <w:rFonts w:ascii="Arial" w:hAnsi="Arial"/>
                <w:sz w:val="15"/>
              </w:rPr>
            </w:pPr>
            <w:r>
              <w:rPr>
                <w:rFonts w:ascii="Arial" w:hAnsi="Arial"/>
                <w:sz w:val="15"/>
              </w:rPr>
              <w:t>(2)</w:t>
            </w:r>
          </w:p>
        </w:tc>
        <w:tc>
          <w:tcPr>
            <w:tcW w:w="10041" w:type="dxa"/>
            <w:tcBorders/>
            <w:shd w:fill="auto" w:val="clear"/>
            <w:vAlign w:val="center"/>
          </w:tcPr>
          <w:p>
            <w:pPr>
              <w:pStyle w:val="TableContents"/>
              <w:spacing w:before="0" w:after="283"/>
              <w:jc w:val="left"/>
              <w:rPr>
                <w:rFonts w:ascii="Arial" w:hAnsi="Arial"/>
                <w:sz w:val="15"/>
              </w:rPr>
            </w:pPr>
            <w:r>
              <w:rPr>
                <w:rFonts w:ascii="Arial" w:hAnsi="Arial"/>
                <w:sz w:val="15"/>
              </w:rPr>
              <w:t>The “Total Direct Compensation” column reflects the target notional value awarded consistent with Mr. Holliday’s employment agreement. The “Summary Compensation Table” column reflects the grant date value of the award.</w:t>
            </w:r>
          </w:p>
        </w:tc>
      </w:tr>
    </w:tbl>
    <w:p>
      <w:pPr>
        <w:pStyle w:val="TextBody"/>
        <w:spacing w:before="240" w:after="283"/>
        <w:jc w:val="left"/>
        <w:rPr>
          <w:rFonts w:ascii="Arial" w:hAnsi="Arial"/>
          <w:b/>
          <w:color w:val="1A2343"/>
          <w:sz w:val="20"/>
        </w:rPr>
      </w:pPr>
      <w:r>
        <w:rPr>
          <w:rFonts w:ascii="Arial" w:hAnsi="Arial"/>
          <w:b/>
          <w:color w:val="1A2343"/>
          <w:sz w:val="20"/>
        </w:rPr>
        <w:t>ANNUAL BASE SALARY</w:t>
      </w:r>
    </w:p>
    <w:p>
      <w:pPr>
        <w:pStyle w:val="TextBody"/>
        <w:jc w:val="left"/>
        <w:rPr>
          <w:rFonts w:ascii="Arial" w:hAnsi="Arial"/>
          <w:sz w:val="20"/>
        </w:rPr>
      </w:pPr>
      <w:r>
        <w:rPr>
          <w:rFonts w:ascii="Arial" w:hAnsi="Arial"/>
          <w:sz w:val="20"/>
        </w:rPr>
        <w:t>We made no changes to the base salaries of our named executive officers for 2022 and, with the exception of our CFO, the amounts for 2022 reflected the minimum amounts set forth in each executive’s employment agreement.</w:t>
      </w:r>
    </w:p>
    <w:p>
      <w:pPr>
        <w:pStyle w:val="TextBody"/>
        <w:jc w:val="left"/>
        <w:rPr>
          <w:rFonts w:ascii="Arial" w:hAnsi="Arial"/>
          <w:sz w:val="20"/>
          <w:highlight w:val="yellow"/>
        </w:rPr>
      </w:pPr>
      <w:r>
        <w:rPr>
          <w:rFonts w:ascii="Arial" w:hAnsi="Arial"/>
          <w:sz w:val="20"/>
          <w:highlight w:val="yellow"/>
        </w:rPr>
        <w:t>Other than our CFO, we have not increased any of our NEO’s base salaries since 2019. In 2018, we reduced our CEO’s base salary by $100,000 to its current level.</w:t>
      </w:r>
    </w:p>
    <w:p>
      <w:pPr>
        <w:pStyle w:val="TextBody"/>
        <w:spacing w:before="240" w:after="283"/>
        <w:jc w:val="left"/>
        <w:rPr>
          <w:rFonts w:ascii="Arial" w:hAnsi="Arial"/>
          <w:b/>
          <w:color w:val="1A2343"/>
          <w:sz w:val="20"/>
        </w:rPr>
      </w:pPr>
      <w:r>
        <w:rPr>
          <w:rFonts w:ascii="Arial" w:hAnsi="Arial"/>
          <w:b/>
          <w:color w:val="1A2343"/>
          <w:sz w:val="20"/>
        </w:rPr>
        <w:t>ANNUAL CASH BONUS ELIGIBILITY</w:t>
      </w:r>
    </w:p>
    <w:p>
      <w:pPr>
        <w:pStyle w:val="TextBody"/>
        <w:jc w:val="left"/>
        <w:rPr/>
      </w:pPr>
      <w:r>
        <w:rPr>
          <w:rFonts w:ascii="Arial" w:hAnsi="Arial"/>
          <w:b/>
          <w:color w:val="8EAD3C"/>
          <w:sz w:val="20"/>
        </w:rPr>
        <w:t>Formulaic Annual Cash Bonus – CEO and President</w:t>
      </w:r>
      <w:r>
        <w:rPr>
          <w:rFonts w:ascii="Arial" w:hAnsi="Arial"/>
          <w:sz w:val="20"/>
        </w:rPr>
        <w:t>. Our annual cash bonus program for our CEO and President is 100% formulaic and the percentages of base salary that can be earned under the program are set forth in each executive’s employment agreement. For 2022, each of our CEO and President were eligible to earn the following percentages of their respective base salary (with linear interpolation used to determine the percentage earned for performance that falls between threshold, target and/or maximum):</w:t>
      </w:r>
    </w:p>
    <w:tbl>
      <w:tblPr>
        <w:tblW w:w="3695" w:type="dxa"/>
        <w:jc w:val="left"/>
        <w:tblInd w:w="0" w:type="dxa"/>
        <w:tblCellMar>
          <w:top w:w="0" w:type="dxa"/>
          <w:left w:w="0" w:type="dxa"/>
          <w:bottom w:w="40" w:type="dxa"/>
          <w:right w:w="0" w:type="dxa"/>
        </w:tblCellMar>
      </w:tblPr>
      <w:tblGrid>
        <w:gridCol w:w="1505"/>
        <w:gridCol w:w="60"/>
        <w:gridCol w:w="710"/>
        <w:gridCol w:w="120"/>
        <w:gridCol w:w="515"/>
        <w:gridCol w:w="120"/>
        <w:gridCol w:w="665"/>
      </w:tblGrid>
      <w:tr>
        <w:trPr/>
        <w:tc>
          <w:tcPr>
            <w:tcW w:w="1505"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Executive</w:t>
            </w:r>
          </w:p>
        </w:tc>
        <w:tc>
          <w:tcPr>
            <w:tcW w:w="60" w:type="dxa"/>
            <w:tcBorders/>
            <w:shd w:fill="auto" w:val="clear"/>
            <w:tcMar>
              <w:bottom w:w="0" w:type="dxa"/>
            </w:tcMar>
            <w:vAlign w:val="center"/>
          </w:tcPr>
          <w:p>
            <w:pPr>
              <w:pStyle w:val="TableContents"/>
              <w:spacing w:before="0" w:after="283"/>
              <w:rPr/>
            </w:pPr>
            <w:r>
              <w:rPr/>
              <w:t> </w:t>
            </w:r>
          </w:p>
        </w:tc>
        <w:tc>
          <w:tcPr>
            <w:tcW w:w="710"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Threshold</w:t>
            </w:r>
          </w:p>
        </w:tc>
        <w:tc>
          <w:tcPr>
            <w:tcW w:w="120" w:type="dxa"/>
            <w:tcBorders/>
            <w:shd w:fill="auto" w:val="clear"/>
            <w:tcMar>
              <w:bottom w:w="0" w:type="dxa"/>
            </w:tcMar>
            <w:vAlign w:val="center"/>
          </w:tcPr>
          <w:p>
            <w:pPr>
              <w:pStyle w:val="TableContents"/>
              <w:spacing w:before="0" w:after="283"/>
              <w:jc w:val="right"/>
              <w:rPr/>
            </w:pPr>
            <w:r>
              <w:rPr/>
              <w:t>  </w:t>
            </w:r>
          </w:p>
        </w:tc>
        <w:tc>
          <w:tcPr>
            <w:tcW w:w="515"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Target</w:t>
            </w:r>
          </w:p>
        </w:tc>
        <w:tc>
          <w:tcPr>
            <w:tcW w:w="120" w:type="dxa"/>
            <w:tcBorders/>
            <w:shd w:fill="auto" w:val="clear"/>
            <w:tcMar>
              <w:bottom w:w="0" w:type="dxa"/>
            </w:tcMar>
            <w:vAlign w:val="center"/>
          </w:tcPr>
          <w:p>
            <w:pPr>
              <w:pStyle w:val="TableContents"/>
              <w:spacing w:before="0" w:after="283"/>
              <w:jc w:val="right"/>
              <w:rPr/>
            </w:pPr>
            <w:r>
              <w:rPr/>
              <w:t>  </w:t>
            </w:r>
          </w:p>
        </w:tc>
        <w:tc>
          <w:tcPr>
            <w:tcW w:w="665"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Maximum</w:t>
            </w:r>
          </w:p>
        </w:tc>
      </w:tr>
      <w:tr>
        <w:trPr/>
        <w:tc>
          <w:tcPr>
            <w:tcW w:w="150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Marc Holliday</w:t>
            </w:r>
          </w:p>
        </w:tc>
        <w:tc>
          <w:tcPr>
            <w:tcW w:w="60" w:type="dxa"/>
            <w:tcBorders/>
            <w:shd w:fill="auto" w:val="clear"/>
            <w:tcMar>
              <w:bottom w:w="0" w:type="dxa"/>
            </w:tcMar>
            <w:vAlign w:val="center"/>
          </w:tcPr>
          <w:p>
            <w:pPr>
              <w:pStyle w:val="TableContents"/>
              <w:spacing w:before="0" w:after="283"/>
              <w:rPr/>
            </w:pPr>
            <w:r>
              <w:rPr/>
              <w:t> </w:t>
            </w:r>
          </w:p>
        </w:tc>
        <w:tc>
          <w:tcPr>
            <w:tcW w:w="71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51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200%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6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300%</w:t>
            </w:r>
          </w:p>
        </w:tc>
      </w:tr>
      <w:tr>
        <w:trPr/>
        <w:tc>
          <w:tcPr>
            <w:tcW w:w="1505" w:type="dxa"/>
            <w:tcBorders>
              <w:bottom w:val="single" w:sz="12" w:space="0" w:color="1A2343"/>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Andrew Mathias</w:t>
            </w:r>
          </w:p>
        </w:tc>
        <w:tc>
          <w:tcPr>
            <w:tcW w:w="60" w:type="dxa"/>
            <w:tcBorders/>
            <w:shd w:fill="auto" w:val="clear"/>
            <w:tcMar>
              <w:bottom w:w="0" w:type="dxa"/>
            </w:tcMar>
            <w:vAlign w:val="center"/>
          </w:tcPr>
          <w:p>
            <w:pPr>
              <w:pStyle w:val="TableContents"/>
              <w:spacing w:before="0" w:after="283"/>
              <w:rPr/>
            </w:pPr>
            <w:r>
              <w:rPr/>
              <w:t> </w:t>
            </w:r>
          </w:p>
        </w:tc>
        <w:tc>
          <w:tcPr>
            <w:tcW w:w="71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51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175%</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6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250%</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F3F6EA" w:val="clear"/>
            <w:vAlign w:val="center"/>
          </w:tcPr>
          <w:p>
            <w:pPr>
              <w:pStyle w:val="TableContents"/>
              <w:spacing w:before="0" w:after="283"/>
              <w:jc w:val="left"/>
              <w:rPr/>
            </w:pPr>
            <w:r>
              <w:rPr>
                <w:rFonts w:ascii="Arial" w:hAnsi="Arial"/>
                <w:sz w:val="20"/>
              </w:rPr>
              <w:t xml:space="preserve">Based on our performance relative to the </w:t>
            </w:r>
            <w:r>
              <w:rPr>
                <w:rFonts w:ascii="Arial" w:hAnsi="Arial"/>
                <w:b/>
                <w:sz w:val="20"/>
              </w:rPr>
              <w:t xml:space="preserve">objective bonus criteria </w:t>
            </w:r>
            <w:r>
              <w:rPr>
                <w:rFonts w:ascii="Arial" w:hAnsi="Arial"/>
                <w:sz w:val="20"/>
              </w:rPr>
              <w:t xml:space="preserve">established in January 2022, Mr. Holliday earned approximately </w:t>
            </w:r>
            <w:r>
              <w:rPr>
                <w:rFonts w:ascii="Arial" w:hAnsi="Arial"/>
                <w:b/>
                <w:sz w:val="20"/>
              </w:rPr>
              <w:t>84%</w:t>
            </w:r>
            <w:r>
              <w:rPr>
                <w:rFonts w:ascii="Arial" w:hAnsi="Arial"/>
                <w:sz w:val="20"/>
              </w:rPr>
              <w:t xml:space="preserve"> of his 2022 target bonus and Mr. Mathias earned approximately </w:t>
            </w:r>
            <w:r>
              <w:rPr>
                <w:rFonts w:ascii="Arial" w:hAnsi="Arial"/>
                <w:b/>
                <w:sz w:val="20"/>
              </w:rPr>
              <w:t>82%</w:t>
            </w:r>
            <w:r>
              <w:rPr>
                <w:rFonts w:ascii="Arial" w:hAnsi="Arial"/>
                <w:sz w:val="20"/>
              </w:rPr>
              <w:t xml:space="preserve"> of his 2022 target bonus, representing </w:t>
            </w:r>
            <w:r>
              <w:rPr>
                <w:rFonts w:ascii="Arial" w:hAnsi="Arial"/>
                <w:b/>
                <w:sz w:val="20"/>
              </w:rPr>
              <w:t>in each case a reduction of approximately 37% compared to 2021</w:t>
            </w:r>
            <w:r>
              <w:rPr>
                <w:rFonts w:ascii="Arial" w:hAnsi="Arial"/>
                <w:sz w:val="20"/>
              </w:rPr>
              <w:t>.</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500" w:type="dxa"/>
        <w:jc w:val="left"/>
        <w:tblInd w:w="0" w:type="dxa"/>
        <w:tblCellMar>
          <w:top w:w="0" w:type="dxa"/>
          <w:left w:w="0" w:type="dxa"/>
          <w:bottom w:w="0" w:type="dxa"/>
          <w:right w:w="0" w:type="dxa"/>
        </w:tblCellMar>
      </w:tblPr>
      <w:tblGrid>
        <w:gridCol w:w="2210"/>
        <w:gridCol w:w="290"/>
      </w:tblGrid>
      <w:tr>
        <w:trPr/>
        <w:tc>
          <w:tcPr>
            <w:tcW w:w="2210" w:type="dxa"/>
            <w:tcBorders/>
            <w:shd w:fill="auto" w:val="clear"/>
            <w:vAlign w:val="center"/>
          </w:tcPr>
          <w:p>
            <w:pPr>
              <w:pStyle w:val="TableContents"/>
              <w:spacing w:before="0" w:after="283"/>
              <w:jc w:val="left"/>
              <w:rPr>
                <w:rFonts w:ascii="Arial" w:hAnsi="Arial"/>
                <w:sz w:val="15"/>
              </w:rPr>
            </w:pPr>
            <w:r>
              <w:rPr>
                <w:rFonts w:ascii="Arial" w:hAnsi="Arial"/>
                <w:b/>
                <w:sz w:val="15"/>
              </w:rPr>
              <w:t>EXECUTIVE COMPENSATION</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49</w:t>
            </w:r>
          </w:p>
        </w:tc>
      </w:tr>
    </w:tbl>
    <w:p>
      <w:pPr>
        <w:pStyle w:val="TextBody"/>
        <w:spacing w:before="240" w:after="283"/>
        <w:jc w:val="left"/>
        <w:rPr>
          <w:rFonts w:ascii="Arial" w:hAnsi="Arial"/>
          <w:sz w:val="20"/>
        </w:rPr>
      </w:pPr>
      <w:r>
        <w:rPr>
          <w:rFonts w:ascii="Arial" w:hAnsi="Arial"/>
          <w:sz w:val="20"/>
        </w:rPr>
        <w:t>The specific performance criteria for our formulaic annual cash bonus program are determined in January of each year by the Committee and are set forth below under “2022 Performance Summary.”</w:t>
      </w:r>
    </w:p>
    <w:p>
      <w:pPr>
        <w:pStyle w:val="TextBody"/>
        <w:jc w:val="left"/>
        <w:rPr/>
      </w:pPr>
      <w:r>
        <w:rPr>
          <w:rFonts w:ascii="Arial" w:hAnsi="Arial"/>
          <w:b/>
          <w:color w:val="8EAD3C"/>
          <w:sz w:val="20"/>
        </w:rPr>
        <w:t>Discretionary Annual Cash Bonus – CFO and General Counsel</w:t>
      </w:r>
      <w:r>
        <w:rPr>
          <w:rFonts w:ascii="Arial" w:hAnsi="Arial"/>
          <w:sz w:val="20"/>
        </w:rPr>
        <w:t>. The employment agreements in effect in 2022 with our CFO and General Counsel do not provide for formulaic percentages of base salary that can be earned. For 2022, our CFO and General Counsel instead received discretionary bonuses based on the same performance criteria that were used for our CEO and President’s formulaic annual cash bonus program, as well as specific company goals and objectives for 2022 that were presented at our annual investor conference in December 2021 and presented earlier in this proxy statement.</w:t>
      </w:r>
    </w:p>
    <w:p>
      <w:pPr>
        <w:pStyle w:val="TextBody"/>
        <w:jc w:val="left"/>
        <w:rPr>
          <w:rFonts w:ascii="Arial" w:hAnsi="Arial"/>
          <w:sz w:val="20"/>
        </w:rPr>
      </w:pPr>
      <w:r>
        <w:rPr>
          <w:rFonts w:ascii="Arial" w:hAnsi="Arial"/>
          <w:sz w:val="20"/>
        </w:rPr>
        <w:t>These additional objectives, listed above, included financial goals, achievement of leasing and occupancy targets, investing activities such as strategic acquisitions and dispositions and share repurchases, execution of our debt and preferred equity platform, asset and corporate level leverage, joint venture and development milestones and furtherance of our other corporate goals and initiatives, many of which are key drivers of stockholder value. However, as 2022 unfolded and economic headwinds and inflation increased, many of our 2022 goals became unfeasible or undesirable, necessitating a strategic shift. We deemphasized our share repurchase program and debt capital markets activities to instead aggressively recycle capital through real estate transactions, as a result of which we significantly exceeded our acquisition and disposition targets for the year, which we believe will position us for future growth.</w:t>
      </w:r>
    </w:p>
    <w:p>
      <w:pPr>
        <w:pStyle w:val="TextBody"/>
        <w:jc w:val="left"/>
        <w:rPr/>
      </w:pPr>
      <w:r>
        <w:rPr>
          <w:rFonts w:ascii="Arial" w:hAnsi="Arial"/>
          <w:sz w:val="20"/>
        </w:rPr>
        <w:t xml:space="preserve">In addition to our financial and operational achievements, we also achieved many of the other business goals we set out to achieve for 2022, including achieving </w:t>
      </w:r>
      <w:r>
        <w:rPr>
          <w:rFonts w:ascii="Arial" w:hAnsi="Arial"/>
          <w:b/>
          <w:sz w:val="20"/>
        </w:rPr>
        <w:t>key milestones</w:t>
      </w:r>
      <w:r>
        <w:rPr>
          <w:rFonts w:ascii="Arial" w:hAnsi="Arial"/>
          <w:sz w:val="20"/>
        </w:rPr>
        <w:t xml:space="preserve"> relating to our One Madison project, </w:t>
      </w:r>
      <w:r>
        <w:rPr>
          <w:rFonts w:ascii="Arial" w:hAnsi="Arial"/>
          <w:b/>
          <w:sz w:val="20"/>
        </w:rPr>
        <w:t>signing 2.14M square feet of Manhattan office leases</w:t>
      </w:r>
      <w:r>
        <w:rPr>
          <w:rFonts w:ascii="Arial" w:hAnsi="Arial"/>
          <w:sz w:val="20"/>
        </w:rPr>
        <w:t xml:space="preserve">, and completing </w:t>
      </w:r>
      <w:r>
        <w:rPr>
          <w:rFonts w:ascii="Arial" w:hAnsi="Arial"/>
          <w:b/>
          <w:sz w:val="20"/>
        </w:rPr>
        <w:t>approximately $2.4B of strategic acquisitions</w:t>
      </w:r>
      <w:r>
        <w:rPr>
          <w:rFonts w:ascii="Arial" w:hAnsi="Arial"/>
          <w:sz w:val="20"/>
        </w:rPr>
        <w:t xml:space="preserve"> (nearly ten times our target).</w:t>
      </w:r>
    </w:p>
    <w:p>
      <w:pPr>
        <w:pStyle w:val="TextBody"/>
        <w:jc w:val="left"/>
        <w:rPr>
          <w:highlight w:val="yellow"/>
        </w:rPr>
      </w:pPr>
      <w:r>
        <w:rPr>
          <w:rFonts w:ascii="Arial" w:hAnsi="Arial"/>
          <w:sz w:val="20"/>
          <w:highlight w:val="yellow"/>
        </w:rPr>
        <w:t xml:space="preserve">Despite recognizing and appreciating the contributions of our CFO and General Counsel to the organizational successes that we did achieve during a challenging year, the Committee’s decision was also informed by our disappointing stockholder return. As a result, the Committee used its discretion to award bonuses to our CFO and General Counsel that were </w:t>
      </w:r>
      <w:r>
        <w:rPr>
          <w:rFonts w:ascii="Arial" w:hAnsi="Arial"/>
          <w:b/>
          <w:sz w:val="20"/>
          <w:highlight w:val="yellow"/>
        </w:rPr>
        <w:t>21.6%</w:t>
      </w:r>
      <w:r>
        <w:rPr>
          <w:rFonts w:ascii="Arial" w:hAnsi="Arial"/>
          <w:sz w:val="20"/>
          <w:highlight w:val="yellow"/>
        </w:rPr>
        <w:t xml:space="preserve"> and </w:t>
      </w:r>
      <w:r>
        <w:rPr>
          <w:rFonts w:ascii="Arial" w:hAnsi="Arial"/>
          <w:b/>
          <w:sz w:val="20"/>
          <w:highlight w:val="yellow"/>
        </w:rPr>
        <w:t>19.1%</w:t>
      </w:r>
      <w:r>
        <w:rPr>
          <w:rFonts w:ascii="Arial" w:hAnsi="Arial"/>
          <w:sz w:val="20"/>
          <w:highlight w:val="yellow"/>
        </w:rPr>
        <w:t xml:space="preserve"> lower, respectively, than the bonus each received for 2021.</w:t>
      </w:r>
    </w:p>
    <w:p>
      <w:pPr>
        <w:pStyle w:val="TextBody"/>
        <w:jc w:val="left"/>
        <w:rPr>
          <w:rFonts w:ascii="Arial" w:hAnsi="Arial"/>
          <w:sz w:val="20"/>
        </w:rPr>
      </w:pPr>
      <w:r>
        <w:rPr>
          <w:rFonts w:ascii="Arial" w:hAnsi="Arial"/>
          <w:sz w:val="20"/>
        </w:rPr>
        <w:t>Beginning in 2023, in connection with the extension of our CFO’s employment agreement, he will participate in a cash bonus program that will provide an opportunity to earn at target up to 175% of annual base salary, 60% of which will be determined in a formulaic manner.</w:t>
      </w:r>
    </w:p>
    <w:p>
      <w:pPr>
        <w:pStyle w:val="TextBody"/>
        <w:jc w:val="left"/>
        <w:rPr>
          <w:rFonts w:ascii="Arial" w:hAnsi="Arial"/>
          <w:b/>
          <w:color w:val="1A2343"/>
          <w:sz w:val="20"/>
        </w:rPr>
      </w:pPr>
      <w:r>
        <w:rPr>
          <w:rFonts w:ascii="Arial" w:hAnsi="Arial"/>
          <w:b/>
          <w:color w:val="1A2343"/>
          <w:sz w:val="20"/>
        </w:rPr>
        <w:t>ANNUAL EQUITY AWARDS</w:t>
      </w:r>
    </w:p>
    <w:p>
      <w:pPr>
        <w:pStyle w:val="TextBody"/>
        <w:jc w:val="left"/>
        <w:rPr>
          <w:rFonts w:ascii="Arial" w:hAnsi="Arial"/>
          <w:sz w:val="20"/>
        </w:rPr>
      </w:pPr>
      <w:r>
        <w:rPr>
          <w:rFonts w:ascii="Arial" w:hAnsi="Arial"/>
          <w:sz w:val="20"/>
        </w:rPr>
        <w:t>We grant our named executive officers performance-based LTIP units and time-based LTIP units annually in connection with their employment agreements and, in some cases, at the discretion of the Committee. For 2022, our annual long-term incentive equity award program consisted of grants of performance-based equity awards with multi-year performance criteria and time-based equity awards that vest based on continued service.</w:t>
      </w:r>
    </w:p>
    <w:p>
      <w:pPr>
        <w:pStyle w:val="TextBody"/>
        <w:jc w:val="left"/>
        <w:rPr/>
      </w:pPr>
      <w:r>
        <w:rPr>
          <w:rFonts w:ascii="Arial" w:hAnsi="Arial"/>
          <w:b/>
          <w:color w:val="8EAD3C"/>
          <w:sz w:val="20"/>
        </w:rPr>
        <w:t>Target Amounts</w:t>
      </w:r>
      <w:r>
        <w:rPr>
          <w:rFonts w:ascii="Arial" w:hAnsi="Arial"/>
          <w:sz w:val="20"/>
        </w:rPr>
        <w:t>. The target amounts of performance-based equity awards and time-based equity awards for our named executive officers are set forth below:</w:t>
      </w:r>
    </w:p>
    <w:tbl>
      <w:tblPr>
        <w:tblW w:w="6270" w:type="dxa"/>
        <w:jc w:val="left"/>
        <w:tblInd w:w="0" w:type="dxa"/>
        <w:tblCellMar>
          <w:top w:w="0" w:type="dxa"/>
          <w:left w:w="0" w:type="dxa"/>
          <w:bottom w:w="0" w:type="dxa"/>
          <w:right w:w="0" w:type="dxa"/>
        </w:tblCellMar>
      </w:tblPr>
      <w:tblGrid>
        <w:gridCol w:w="1925"/>
        <w:gridCol w:w="240"/>
        <w:gridCol w:w="545"/>
        <w:gridCol w:w="875"/>
        <w:gridCol w:w="300"/>
        <w:gridCol w:w="980"/>
        <w:gridCol w:w="300"/>
        <w:gridCol w:w="125"/>
        <w:gridCol w:w="980"/>
      </w:tblGrid>
      <w:tr>
        <w:trPr/>
        <w:tc>
          <w:tcPr>
            <w:tcW w:w="192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105" w:type="dxa"/>
            <w:gridSpan w:val="7"/>
            <w:tcBorders>
              <w:bottom w:val="single" w:sz="12" w:space="0" w:color="1A2343"/>
            </w:tcBorders>
            <w:shd w:fill="auto" w:val="clear"/>
            <w:tcMar>
              <w:bottom w:w="40" w:type="dxa"/>
            </w:tcMar>
            <w:vAlign w:val="center"/>
          </w:tcPr>
          <w:p>
            <w:pPr>
              <w:pStyle w:val="TableContents"/>
              <w:spacing w:before="0" w:after="283"/>
              <w:jc w:val="center"/>
              <w:rPr>
                <w:rFonts w:ascii="Arial" w:hAnsi="Arial"/>
                <w:color w:val="1A2343"/>
                <w:sz w:val="15"/>
              </w:rPr>
            </w:pPr>
            <w:r>
              <w:rPr>
                <w:rFonts w:ascii="Arial" w:hAnsi="Arial"/>
                <w:color w:val="1A2343"/>
                <w:sz w:val="15"/>
              </w:rPr>
              <w:t>Target Equity Award Amounts</w:t>
            </w:r>
          </w:p>
        </w:tc>
      </w:tr>
      <w:tr>
        <w:trPr/>
        <w:tc>
          <w:tcPr>
            <w:tcW w:w="1925" w:type="dxa"/>
            <w:tcBorders>
              <w:bottom w:val="single" w:sz="12" w:space="0" w:color="1A2343"/>
            </w:tcBorders>
            <w:shd w:fill="auto" w:val="clear"/>
            <w:tcMar>
              <w:bottom w:w="40" w:type="dxa"/>
            </w:tcMar>
            <w:vAlign w:val="center"/>
          </w:tcPr>
          <w:p>
            <w:pPr>
              <w:pStyle w:val="TableContents"/>
              <w:spacing w:before="0" w:after="283"/>
              <w:jc w:val="left"/>
              <w:rPr>
                <w:rFonts w:ascii="Arial" w:hAnsi="Arial"/>
                <w:color w:val="1A2343"/>
                <w:sz w:val="15"/>
              </w:rPr>
            </w:pPr>
            <w:r>
              <w:rPr>
                <w:rFonts w:ascii="Arial" w:hAnsi="Arial"/>
                <w:color w:val="1A2343"/>
                <w:sz w:val="15"/>
              </w:rPr>
              <w:t>Executive</w:t>
            </w:r>
          </w:p>
        </w:tc>
        <w:tc>
          <w:tcPr>
            <w:tcW w:w="240" w:type="dxa"/>
            <w:tcBorders/>
            <w:shd w:fill="auto" w:val="clear"/>
            <w:vAlign w:val="center"/>
          </w:tcPr>
          <w:p>
            <w:pPr>
              <w:pStyle w:val="TableContents"/>
              <w:spacing w:before="0" w:after="283"/>
              <w:rPr>
                <w:sz w:val="4"/>
                <w:szCs w:val="4"/>
              </w:rPr>
            </w:pPr>
            <w:r>
              <w:rPr>
                <w:sz w:val="4"/>
                <w:szCs w:val="4"/>
              </w:rPr>
            </w:r>
          </w:p>
        </w:tc>
        <w:tc>
          <w:tcPr>
            <w:tcW w:w="1420" w:type="dxa"/>
            <w:gridSpan w:val="2"/>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Performance-Based</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12" w:space="0" w:color="1A2343"/>
            </w:tcBorders>
            <w:shd w:fill="auto" w:val="clear"/>
            <w:tcMar>
              <w:bottom w:w="40" w:type="dxa"/>
            </w:tcMar>
            <w:vAlign w:val="center"/>
          </w:tcPr>
          <w:p>
            <w:pPr>
              <w:pStyle w:val="TableContents"/>
              <w:spacing w:before="0" w:after="283"/>
              <w:jc w:val="right"/>
              <w:rPr/>
            </w:pPr>
            <w:r>
              <w:rPr/>
              <w:t> </w:t>
            </w:r>
            <w:r>
              <w:rPr>
                <w:rFonts w:ascii="Arial" w:hAnsi="Arial"/>
                <w:color w:val="1A2343"/>
                <w:sz w:val="15"/>
              </w:rPr>
              <w:t>Time-Based</w:t>
            </w:r>
          </w:p>
        </w:tc>
        <w:tc>
          <w:tcPr>
            <w:tcW w:w="300" w:type="dxa"/>
            <w:tcBorders/>
            <w:shd w:fill="auto" w:val="clear"/>
            <w:vAlign w:val="center"/>
          </w:tcPr>
          <w:p>
            <w:pPr>
              <w:pStyle w:val="TableContents"/>
              <w:spacing w:before="0" w:after="283"/>
              <w:rPr>
                <w:sz w:val="4"/>
                <w:szCs w:val="4"/>
              </w:rPr>
            </w:pPr>
            <w:r>
              <w:rPr>
                <w:sz w:val="4"/>
                <w:szCs w:val="4"/>
              </w:rPr>
            </w:r>
          </w:p>
        </w:tc>
        <w:tc>
          <w:tcPr>
            <w:tcW w:w="1105" w:type="dxa"/>
            <w:gridSpan w:val="2"/>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Total</w:t>
            </w:r>
          </w:p>
        </w:tc>
      </w:tr>
      <w:tr>
        <w:trPr/>
        <w:tc>
          <w:tcPr>
            <w:tcW w:w="192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Marc Holliday</w:t>
            </w:r>
          </w:p>
        </w:tc>
        <w:tc>
          <w:tcPr>
            <w:tcW w:w="240" w:type="dxa"/>
            <w:tcBorders/>
            <w:shd w:fill="auto" w:val="clear"/>
            <w:vAlign w:val="center"/>
          </w:tcPr>
          <w:p>
            <w:pPr>
              <w:pStyle w:val="TableContents"/>
              <w:spacing w:before="0" w:after="283"/>
              <w:jc w:val="left"/>
              <w:rPr/>
            </w:pPr>
            <w:r>
              <w:rPr/>
              <w:t>    </w:t>
            </w:r>
          </w:p>
        </w:tc>
        <w:tc>
          <w:tcPr>
            <w:tcW w:w="545" w:type="dxa"/>
            <w:tcBorders>
              <w:bottom w:val="single" w:sz="8" w:space="0" w:color="5B5975"/>
            </w:tcBorders>
            <w:shd w:fill="auto" w:val="clear"/>
            <w:tcMar>
              <w:bottom w:w="28" w:type="dxa"/>
            </w:tcMar>
            <w:vAlign w:val="center"/>
          </w:tcPr>
          <w:p>
            <w:pPr>
              <w:pStyle w:val="TableContents"/>
              <w:spacing w:before="0" w:after="283"/>
              <w:jc w:val="left"/>
              <w:rPr/>
            </w:pPr>
            <w:r>
              <w:rPr/>
              <w:t>       </w:t>
            </w: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7,500,000</w:t>
            </w:r>
          </w:p>
        </w:tc>
        <w:tc>
          <w:tcPr>
            <w:tcW w:w="300" w:type="dxa"/>
            <w:tcBorders/>
            <w:shd w:fill="auto" w:val="clear"/>
            <w:vAlign w:val="center"/>
          </w:tcPr>
          <w:p>
            <w:pPr>
              <w:pStyle w:val="TableContents"/>
              <w:spacing w:before="0" w:after="283"/>
              <w:jc w:val="right"/>
              <w:rPr/>
            </w:pPr>
            <w:r>
              <w:rPr/>
              <w:t>     </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$4,500,000</w:t>
            </w:r>
          </w:p>
        </w:tc>
        <w:tc>
          <w:tcPr>
            <w:tcW w:w="300" w:type="dxa"/>
            <w:tcBorders/>
            <w:shd w:fill="auto" w:val="clear"/>
            <w:vAlign w:val="center"/>
          </w:tcPr>
          <w:p>
            <w:pPr>
              <w:pStyle w:val="TableContents"/>
              <w:spacing w:before="0" w:after="283"/>
              <w:jc w:val="right"/>
              <w:rPr/>
            </w:pPr>
            <w:r>
              <w:rPr/>
              <w:t>     </w:t>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12,000,000</w:t>
            </w:r>
          </w:p>
        </w:tc>
      </w:tr>
      <w:tr>
        <w:trPr/>
        <w:tc>
          <w:tcPr>
            <w:tcW w:w="192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Andrew Mathias</w:t>
            </w:r>
          </w:p>
        </w:tc>
        <w:tc>
          <w:tcPr>
            <w:tcW w:w="240" w:type="dxa"/>
            <w:tcBorders/>
            <w:shd w:fill="auto" w:val="clear"/>
            <w:vAlign w:val="center"/>
          </w:tcPr>
          <w:p>
            <w:pPr>
              <w:pStyle w:val="TableContents"/>
              <w:spacing w:before="0" w:after="283"/>
              <w:rPr>
                <w:sz w:val="4"/>
                <w:szCs w:val="4"/>
              </w:rPr>
            </w:pPr>
            <w:r>
              <w:rPr>
                <w:sz w:val="4"/>
                <w:szCs w:val="4"/>
              </w:rPr>
            </w:r>
          </w:p>
        </w:tc>
        <w:tc>
          <w:tcPr>
            <w:tcW w:w="545" w:type="dxa"/>
            <w:tcBorders>
              <w:bottom w:val="single" w:sz="8" w:space="0" w:color="5B5975"/>
            </w:tcBorders>
            <w:shd w:fill="auto" w:val="clear"/>
            <w:tcMar>
              <w:bottom w:w="28" w:type="dxa"/>
            </w:tcMar>
            <w:vAlign w:val="center"/>
          </w:tcPr>
          <w:p>
            <w:pPr>
              <w:pStyle w:val="TableContents"/>
              <w:spacing w:before="0" w:after="283"/>
              <w:jc w:val="left"/>
              <w:rPr/>
            </w:pPr>
            <w:r>
              <w:rPr/>
              <w:t>       </w:t>
            </w: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6,000,000</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$3,500,000</w:t>
            </w:r>
          </w:p>
        </w:tc>
        <w:tc>
          <w:tcPr>
            <w:tcW w:w="30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9,500,000</w:t>
            </w:r>
          </w:p>
        </w:tc>
      </w:tr>
      <w:tr>
        <w:trPr/>
        <w:tc>
          <w:tcPr>
            <w:tcW w:w="192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Matthew J. DiLiberto</w:t>
            </w:r>
          </w:p>
        </w:tc>
        <w:tc>
          <w:tcPr>
            <w:tcW w:w="240" w:type="dxa"/>
            <w:tcBorders/>
            <w:shd w:fill="auto" w:val="clear"/>
            <w:vAlign w:val="center"/>
          </w:tcPr>
          <w:p>
            <w:pPr>
              <w:pStyle w:val="TableContents"/>
              <w:spacing w:before="0" w:after="283"/>
              <w:rPr>
                <w:sz w:val="4"/>
                <w:szCs w:val="4"/>
              </w:rPr>
            </w:pPr>
            <w:r>
              <w:rPr>
                <w:sz w:val="4"/>
                <w:szCs w:val="4"/>
              </w:rPr>
            </w:r>
          </w:p>
        </w:tc>
        <w:tc>
          <w:tcPr>
            <w:tcW w:w="54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$1,400,000</w:t>
            </w:r>
          </w:p>
        </w:tc>
        <w:tc>
          <w:tcPr>
            <w:tcW w:w="30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1,400,000</w:t>
            </w:r>
          </w:p>
        </w:tc>
      </w:tr>
      <w:tr>
        <w:trPr/>
        <w:tc>
          <w:tcPr>
            <w:tcW w:w="1925" w:type="dxa"/>
            <w:tcBorders>
              <w:bottom w:val="single" w:sz="12" w:space="0" w:color="1A2343"/>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Andrew S. Levine</w:t>
            </w:r>
          </w:p>
        </w:tc>
        <w:tc>
          <w:tcPr>
            <w:tcW w:w="240" w:type="dxa"/>
            <w:tcBorders/>
            <w:shd w:fill="auto" w:val="clear"/>
            <w:vAlign w:val="center"/>
          </w:tcPr>
          <w:p>
            <w:pPr>
              <w:pStyle w:val="TableContents"/>
              <w:spacing w:before="0" w:after="283"/>
              <w:rPr>
                <w:sz w:val="4"/>
                <w:szCs w:val="4"/>
              </w:rPr>
            </w:pPr>
            <w:r>
              <w:rPr>
                <w:sz w:val="4"/>
                <w:szCs w:val="4"/>
              </w:rPr>
            </w:r>
          </w:p>
        </w:tc>
        <w:tc>
          <w:tcPr>
            <w:tcW w:w="545"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c>
          <w:tcPr>
            <w:tcW w:w="875" w:type="dxa"/>
            <w:tcBorders>
              <w:bottom w:val="single" w:sz="12" w:space="0" w:color="1A2343"/>
            </w:tcBorders>
            <w:shd w:fill="auto" w:val="clear"/>
            <w:tcMar>
              <w:bottom w:w="28" w:type="dxa"/>
            </w:tcMar>
            <w:vAlign w:val="center"/>
          </w:tcPr>
          <w:p>
            <w:pPr>
              <w:pStyle w:val="TableContents"/>
              <w:spacing w:before="0" w:after="283"/>
              <w:jc w:val="right"/>
              <w:rPr/>
            </w:pPr>
            <w:r>
              <w:rPr/>
              <w:t>—</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12" w:space="0" w:color="1A2343"/>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$1,300,000</w:t>
            </w:r>
          </w:p>
        </w:tc>
        <w:tc>
          <w:tcPr>
            <w:tcW w:w="300" w:type="dxa"/>
            <w:tcBorders/>
            <w:shd w:fill="auto" w:val="cle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1,300,000</w:t>
            </w:r>
          </w:p>
        </w:tc>
      </w:tr>
    </w:tbl>
    <w:p>
      <w:pPr>
        <w:pStyle w:val="TextBody"/>
        <w:spacing w:before="240" w:after="283"/>
        <w:jc w:val="left"/>
        <w:rPr>
          <w:rFonts w:ascii="Arial" w:hAnsi="Arial"/>
          <w:sz w:val="20"/>
        </w:rPr>
      </w:pPr>
      <w:r>
        <w:rPr>
          <w:rFonts w:ascii="Arial" w:hAnsi="Arial"/>
          <w:sz w:val="20"/>
        </w:rPr>
        <w:t>Earned performance-based LTIP units granted based on the target amounts set forth above will vest 100% for Messrs. Holliday and Mathias on December 31, 2024. The time-based LTIP units granted to Messrs. Holliday, Mathias and DiLiberto pursuant to each executive’s employment agreement are subject to vesting over three years and the time-based LTIP units granted to Mr. Levine pursuant to his employment agreement are subject to vesting over two years, with each award vesting ratably on January 1st of each year following the grant date.</w:t>
      </w:r>
    </w:p>
    <w:p>
      <w:pPr>
        <w:pStyle w:val="TextBody"/>
        <w:spacing w:before="0" w:after="0"/>
        <w:jc w:val="left"/>
        <w:rPr>
          <w:highlight w:val="yellow"/>
        </w:rPr>
      </w:pPr>
      <w:r>
        <w:rPr>
          <w:rFonts w:ascii="Arial" w:hAnsi="Arial"/>
          <w:sz w:val="20"/>
          <w:highlight w:val="yellow"/>
        </w:rPr>
        <w:t xml:space="preserve">For 2022, we granted equity awards in line with the target amounts set forth above. We grant performance-based awards </w:t>
      </w:r>
      <w:r>
        <w:rPr>
          <w:rFonts w:ascii="Arial" w:hAnsi="Arial"/>
          <w:b/>
          <w:sz w:val="20"/>
          <w:highlight w:val="yellow"/>
        </w:rPr>
        <w:t>prospectively</w:t>
      </w:r>
      <w:r>
        <w:rPr>
          <w:rFonts w:ascii="Arial" w:hAnsi="Arial"/>
          <w:sz w:val="20"/>
          <w:highlight w:val="yellow"/>
        </w:rPr>
        <w:t xml:space="preserve"> for each compensation year when we establish performance goals to incentivize our executives to deliver accretive value to stockholders. We grant time-based awards </w:t>
      </w:r>
      <w:r>
        <w:rPr>
          <w:rFonts w:ascii="Arial" w:hAnsi="Arial"/>
          <w:b/>
          <w:sz w:val="20"/>
          <w:highlight w:val="yellow"/>
        </w:rPr>
        <w:t>retrospectively</w:t>
      </w:r>
      <w:r>
        <w:rPr>
          <w:rFonts w:ascii="Arial" w:hAnsi="Arial"/>
          <w:sz w:val="20"/>
          <w:highlight w:val="yellow"/>
        </w:rPr>
        <w:t xml:space="preserve"> based on each executive’s contributions to our achievements during the prior year.</w:t>
      </w:r>
    </w:p>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50</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pPr>
      <w:r>
        <w:rPr>
          <w:rFonts w:ascii="Arial" w:hAnsi="Arial"/>
          <w:b/>
          <w:color w:val="8EAD3C"/>
          <w:sz w:val="20"/>
        </w:rPr>
        <w:t>Discretionary Awards – CFO and General Counsel</w:t>
      </w:r>
      <w:r>
        <w:rPr>
          <w:rFonts w:ascii="Arial" w:hAnsi="Arial"/>
          <w:sz w:val="20"/>
        </w:rPr>
        <w:t>. Our employment agreements with Messrs. DiLiberto and Levine in effect for 2022 did not provide for target annual performance-based equity grants, but both participate, at the Committee’s discretion, in our annual long-term performance-based equity program. Earned performance-based LTIP units granted for 2022 will vest 50% on each of December 31, 2024 and December 31, 2025, for Messrs. DiLiberto and Levine.</w:t>
      </w:r>
    </w:p>
    <w:p>
      <w:pPr>
        <w:pStyle w:val="TextBody"/>
        <w:jc w:val="left"/>
        <w:rPr>
          <w:rFonts w:ascii="Arial" w:hAnsi="Arial"/>
          <w:sz w:val="20"/>
        </w:rPr>
      </w:pPr>
      <w:r>
        <w:rPr>
          <w:rFonts w:ascii="Arial" w:hAnsi="Arial"/>
          <w:sz w:val="20"/>
        </w:rPr>
        <w:t>In addition to the annual performance-based equity grants, in January 2022 we made one-time, long-term incentive grants to Messrs. DiLiberto and Levine in line with similar awards made to all of our executives (other than Messrs. Holliday and Mathias) and many of our non-executive employees. These equity grants are intended to align our entire organization behind the advancement and successful completion of the One Madison development project that we believe will drive the creation of stockholder value, with one-third of the award vested on December 31, 2022, and one-third of which will vest on each of December 31, 2023, and December 31, 2024, subject to continued employment. The final vesting dates of the awards align with the expected completion date of One Madison, an iconic and transformative project.</w:t>
      </w:r>
    </w:p>
    <w:p>
      <w:pPr>
        <w:pStyle w:val="TextBody"/>
        <w:jc w:val="left"/>
        <w:rPr/>
      </w:pPr>
      <w:r>
        <w:rPr>
          <w:rFonts w:ascii="Arial" w:hAnsi="Arial"/>
          <w:b/>
          <w:sz w:val="20"/>
        </w:rPr>
        <w:t>For detailed 2022 pay outcomes for each of our named executive officers, see the NEO scorecards below</w:t>
      </w:r>
      <w:r>
        <w:rPr>
          <w:rFonts w:ascii="Arial" w:hAnsi="Arial"/>
          <w:sz w:val="20"/>
        </w:rPr>
        <w:t xml:space="preserve">. </w:t>
      </w:r>
      <w:r>
        <w:rPr/>
        <w:br/>
        <w:br/>
      </w:r>
      <w:r>
        <w:rPr>
          <w:rFonts w:ascii="Arial" w:hAnsi="Arial"/>
          <w:b/>
          <w:color w:val="8EAD3C"/>
          <w:sz w:val="20"/>
        </w:rPr>
        <w:t>How We Establish Performance Goals – Formulaic Cash Bonus and Equity Awards</w:t>
      </w:r>
    </w:p>
    <w:tbl>
      <w:tblPr>
        <w:tblW w:w="10205" w:type="dxa"/>
        <w:jc w:val="left"/>
        <w:tblInd w:w="0" w:type="dxa"/>
        <w:tblCellMar>
          <w:top w:w="40" w:type="dxa"/>
          <w:left w:w="0" w:type="dxa"/>
          <w:bottom w:w="40" w:type="dxa"/>
          <w:right w:w="0" w:type="dxa"/>
        </w:tblCellMar>
      </w:tblPr>
      <w:tblGrid>
        <w:gridCol w:w="2563"/>
        <w:gridCol w:w="120"/>
        <w:gridCol w:w="7522"/>
      </w:tblGrid>
      <w:tr>
        <w:trPr/>
        <w:tc>
          <w:tcPr>
            <w:tcW w:w="2563" w:type="dxa"/>
            <w:tcBorders>
              <w:top w:val="single" w:sz="12" w:space="0" w:color="1A2343"/>
              <w:bottom w:val="single" w:sz="8" w:space="0" w:color="000000"/>
            </w:tcBorders>
            <w:shd w:fill="auto" w:val="clear"/>
            <w:vAlign w:val="center"/>
          </w:tcPr>
          <w:p>
            <w:pPr>
              <w:pStyle w:val="TableContents"/>
              <w:spacing w:before="0" w:after="283"/>
              <w:jc w:val="left"/>
              <w:rPr>
                <w:rFonts w:ascii="Arial" w:hAnsi="Arial"/>
                <w:b/>
                <w:color w:val="1A2343"/>
                <w:sz w:val="20"/>
              </w:rPr>
            </w:pPr>
            <w:r>
              <w:rPr>
                <w:rFonts w:ascii="Arial" w:hAnsi="Arial"/>
                <w:b/>
                <w:color w:val="1A2343"/>
                <w:sz w:val="20"/>
              </w:rPr>
              <w:t>Emphasis on At-Risk Pay Elements</w:t>
            </w:r>
          </w:p>
        </w:tc>
        <w:tc>
          <w:tcPr>
            <w:tcW w:w="120" w:type="dxa"/>
            <w:tcBorders/>
            <w:shd w:fill="auto" w:val="clear"/>
            <w:tcMar>
              <w:top w:w="0" w:type="dxa"/>
              <w:bottom w:w="0" w:type="dxa"/>
            </w:tcMar>
            <w:vAlign w:val="center"/>
          </w:tcPr>
          <w:p>
            <w:pPr>
              <w:pStyle w:val="TableContents"/>
              <w:spacing w:before="0" w:after="283"/>
              <w:jc w:val="left"/>
              <w:rPr/>
            </w:pPr>
            <w:r>
              <w:rPr/>
              <w:t>  </w:t>
            </w:r>
          </w:p>
        </w:tc>
        <w:tc>
          <w:tcPr>
            <w:tcW w:w="7522" w:type="dxa"/>
            <w:tcBorders>
              <w:top w:val="single" w:sz="12" w:space="0" w:color="1A2343"/>
              <w:bottom w:val="single" w:sz="8" w:space="0" w:color="000000"/>
            </w:tcBorders>
            <w:shd w:fill="auto" w:val="clear"/>
            <w:vAlign w:val="center"/>
          </w:tcPr>
          <w:p>
            <w:pPr>
              <w:pStyle w:val="TableContents"/>
              <w:jc w:val="left"/>
              <w:rPr>
                <w:rFonts w:ascii="Arial" w:hAnsi="Arial"/>
                <w:sz w:val="20"/>
              </w:rPr>
            </w:pPr>
            <w:r>
              <w:rPr>
                <w:rFonts w:ascii="Arial" w:hAnsi="Arial"/>
                <w:sz w:val="20"/>
              </w:rPr>
              <w:t>In line with stockholder feedback, we have continued our commitment to rigorous performance-based incentives. For 2022:</w:t>
            </w:r>
          </w:p>
          <w:p>
            <w:pPr>
              <w:pStyle w:val="TableContents"/>
              <w:spacing w:before="0" w:after="0"/>
              <w:ind w:left="0" w:right="0" w:hanging="290"/>
              <w:jc w:val="left"/>
              <w:rPr/>
            </w:pPr>
            <w:r>
              <w:rPr>
                <w:color w:val="8EAD3C"/>
              </w:rPr>
              <w:t>✓</w:t>
            </w:r>
            <w:r>
              <w:rPr>
                <w:rFonts w:ascii="ARIAL" w:hAnsi="ARIAL"/>
                <w:b/>
                <w:color w:val="1A2343"/>
                <w:sz w:val="20"/>
              </w:rPr>
              <w:t>91.9% of CEO compensation was performance-based and at-risk</w:t>
            </w:r>
          </w:p>
          <w:p>
            <w:pPr>
              <w:pStyle w:val="TableContents"/>
              <w:spacing w:before="0" w:after="0"/>
              <w:ind w:left="0" w:right="0" w:hanging="290"/>
              <w:jc w:val="left"/>
              <w:rPr/>
            </w:pPr>
            <w:r>
              <w:rPr>
                <w:color w:val="8EAD3C"/>
              </w:rPr>
              <w:t>✓</w:t>
            </w:r>
            <w:r>
              <w:rPr>
                <w:rFonts w:ascii="ARIAL" w:hAnsi="ARIAL"/>
                <w:b/>
                <w:color w:val="1A2343"/>
                <w:sz w:val="20"/>
              </w:rPr>
              <w:t>90.1% of other NEO compensation was performance-based and at-risk</w:t>
            </w:r>
          </w:p>
          <w:p>
            <w:pPr>
              <w:pStyle w:val="TableContents"/>
              <w:spacing w:before="0" w:after="0"/>
              <w:jc w:val="left"/>
              <w:rPr/>
            </w:pPr>
            <w:r>
              <w:rPr/>
              <w:br/>
            </w:r>
            <w:r>
              <w:rPr>
                <w:rFonts w:ascii="Arial" w:hAnsi="Arial"/>
                <w:sz w:val="20"/>
              </w:rPr>
              <w:t>This design allows the Committee to reward superior performance, while the substantial long-term equity incentive portions of our compensation programs serve to align the interests of our named executive officers with those of our stockholders.</w:t>
            </w:r>
          </w:p>
        </w:tc>
      </w:tr>
      <w:tr>
        <w:trPr/>
        <w:tc>
          <w:tcPr>
            <w:tcW w:w="2563" w:type="dxa"/>
            <w:tcBorders>
              <w:bottom w:val="single" w:sz="8" w:space="0" w:color="000000"/>
            </w:tcBorders>
            <w:shd w:fill="auto" w:val="clear"/>
            <w:tcMar>
              <w:top w:w="0" w:type="dxa"/>
            </w:tcMar>
            <w:vAlign w:val="center"/>
          </w:tcPr>
          <w:p>
            <w:pPr>
              <w:pStyle w:val="TableContents"/>
              <w:spacing w:before="0" w:after="283"/>
              <w:jc w:val="left"/>
              <w:rPr>
                <w:rFonts w:ascii="Arial" w:hAnsi="Arial"/>
                <w:b/>
                <w:color w:val="1A2343"/>
                <w:sz w:val="20"/>
              </w:rPr>
            </w:pPr>
            <w:r>
              <w:rPr>
                <w:rFonts w:ascii="Arial" w:hAnsi="Arial"/>
                <w:b/>
                <w:color w:val="1A2343"/>
                <w:sz w:val="20"/>
              </w:rPr>
              <w:t>Performance Metrics Reflect Complexities of Our Business</w:t>
            </w:r>
          </w:p>
        </w:tc>
        <w:tc>
          <w:tcPr>
            <w:tcW w:w="120" w:type="dxa"/>
            <w:tcBorders/>
            <w:shd w:fill="auto" w:val="clear"/>
            <w:tcMar>
              <w:top w:w="0" w:type="dxa"/>
              <w:bottom w:w="0" w:type="dxa"/>
            </w:tcMar>
            <w:vAlign w:val="center"/>
          </w:tcPr>
          <w:p>
            <w:pPr>
              <w:pStyle w:val="TableContents"/>
              <w:spacing w:before="0" w:after="283"/>
              <w:jc w:val="left"/>
              <w:rPr/>
            </w:pPr>
            <w:r>
              <w:rPr/>
              <w:t> </w:t>
            </w:r>
          </w:p>
        </w:tc>
        <w:tc>
          <w:tcPr>
            <w:tcW w:w="7522" w:type="dxa"/>
            <w:tcBorders>
              <w:bottom w:val="single" w:sz="8" w:space="0" w:color="000000"/>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The Committee has carefully selected performance criteria across not just a range of financial and corporate goals but also a range of performance periods. In aggregate, these criteria aim to account for the complexities of operating our business over both the short-term and the long-term.</w:t>
            </w:r>
          </w:p>
        </w:tc>
      </w:tr>
      <w:tr>
        <w:trPr/>
        <w:tc>
          <w:tcPr>
            <w:tcW w:w="2563" w:type="dxa"/>
            <w:tcBorders>
              <w:bottom w:val="single" w:sz="12" w:space="0" w:color="1A2343"/>
            </w:tcBorders>
            <w:shd w:fill="auto" w:val="clear"/>
            <w:tcMar>
              <w:top w:w="0" w:type="dxa"/>
            </w:tcMar>
            <w:vAlign w:val="center"/>
          </w:tcPr>
          <w:p>
            <w:pPr>
              <w:pStyle w:val="TableContents"/>
              <w:spacing w:before="0" w:after="283"/>
              <w:jc w:val="left"/>
              <w:rPr>
                <w:rFonts w:ascii="Arial" w:hAnsi="Arial"/>
                <w:b/>
                <w:color w:val="1A2343"/>
                <w:sz w:val="20"/>
              </w:rPr>
            </w:pPr>
            <w:r>
              <w:rPr>
                <w:rFonts w:ascii="Arial" w:hAnsi="Arial"/>
                <w:b/>
                <w:color w:val="1A2343"/>
                <w:sz w:val="20"/>
              </w:rPr>
              <w:t>No One-Size-Fits-All Solution</w:t>
            </w:r>
          </w:p>
        </w:tc>
        <w:tc>
          <w:tcPr>
            <w:tcW w:w="120" w:type="dxa"/>
            <w:tcBorders/>
            <w:shd w:fill="auto" w:val="clear"/>
            <w:tcMar>
              <w:top w:w="0" w:type="dxa"/>
              <w:bottom w:w="0" w:type="dxa"/>
            </w:tcMar>
            <w:vAlign w:val="center"/>
          </w:tcPr>
          <w:p>
            <w:pPr>
              <w:pStyle w:val="TableContents"/>
              <w:spacing w:before="0" w:after="283"/>
              <w:jc w:val="left"/>
              <w:rPr/>
            </w:pPr>
            <w:r>
              <w:rPr/>
              <w:t> </w:t>
            </w:r>
          </w:p>
        </w:tc>
        <w:tc>
          <w:tcPr>
            <w:tcW w:w="7522" w:type="dxa"/>
            <w:tcBorders>
              <w:bottom w:val="single" w:sz="12" w:space="0" w:color="1A2343"/>
            </w:tcBorders>
            <w:shd w:fill="auto" w:val="clear"/>
            <w:tcMar>
              <w:top w:w="0" w:type="dxa"/>
            </w:tcMar>
            <w:vAlign w:val="center"/>
          </w:tcPr>
          <w:p>
            <w:pPr>
              <w:pStyle w:val="TableContents"/>
              <w:spacing w:before="0" w:after="283"/>
              <w:jc w:val="left"/>
              <w:rPr/>
            </w:pPr>
            <w:r>
              <w:rPr>
                <w:rFonts w:ascii="Arial" w:hAnsi="Arial"/>
                <w:sz w:val="20"/>
              </w:rPr>
              <w:t>While establishing performance goals, the Committee has designed incentives that incentivize our executive officers to strive for excellence no matter the time horizon.</w:t>
            </w:r>
            <w:r>
              <w:rPr/>
              <w:t xml:space="preserve"> </w:t>
              <w:br/>
              <w:br/>
            </w:r>
            <w:r>
              <w:rPr>
                <w:rFonts w:ascii="Arial" w:hAnsi="Arial"/>
                <w:sz w:val="20"/>
              </w:rPr>
              <w:t>This is accomplished by rationally linking the sum of the component parts of our compensation structure not just to the way our executive officers think about our business but also to the way that our stockholders think about value.</w:t>
            </w:r>
          </w:p>
        </w:tc>
      </w:tr>
    </w:tbl>
    <w:p>
      <w:pPr>
        <w:pStyle w:val="TextBody"/>
        <w:spacing w:before="0" w:after="0"/>
        <w:rPr/>
      </w:pPr>
      <w:r>
        <w:rPr/>
      </w:r>
    </w:p>
    <w:tbl>
      <w:tblPr>
        <w:tblW w:w="10205" w:type="dxa"/>
        <w:jc w:val="left"/>
        <w:tblInd w:w="0" w:type="dxa"/>
        <w:tblCellMar>
          <w:top w:w="0" w:type="dxa"/>
          <w:left w:w="0" w:type="dxa"/>
          <w:bottom w:w="40" w:type="dxa"/>
          <w:right w:w="0" w:type="dxa"/>
        </w:tblCellMar>
      </w:tblPr>
      <w:tblGrid>
        <w:gridCol w:w="995"/>
        <w:gridCol w:w="2429"/>
        <w:gridCol w:w="3145"/>
        <w:gridCol w:w="3636"/>
      </w:tblGrid>
      <w:tr>
        <w:trPr/>
        <w:tc>
          <w:tcPr>
            <w:tcW w:w="995"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2429" w:type="dxa"/>
            <w:tcBorders>
              <w:bottom w:val="single" w:sz="12" w:space="0" w:color="1A2343"/>
            </w:tcBorders>
            <w:shd w:fill="auto" w:val="clear"/>
            <w:vAlign w:val="center"/>
          </w:tcPr>
          <w:p>
            <w:pPr>
              <w:pStyle w:val="TableContents"/>
              <w:spacing w:before="0" w:after="283"/>
              <w:jc w:val="left"/>
              <w:rPr>
                <w:rFonts w:ascii="Arial" w:hAnsi="Arial"/>
                <w:b/>
                <w:sz w:val="15"/>
              </w:rPr>
            </w:pPr>
            <w:r>
              <w:rPr>
                <w:rFonts w:ascii="Arial" w:hAnsi="Arial"/>
                <w:b/>
                <w:sz w:val="15"/>
              </w:rPr>
              <w:t>Annual Cash Bonus</w:t>
            </w:r>
          </w:p>
        </w:tc>
        <w:tc>
          <w:tcPr>
            <w:tcW w:w="3145" w:type="dxa"/>
            <w:tcBorders>
              <w:bottom w:val="single" w:sz="12" w:space="0" w:color="1A2343"/>
            </w:tcBorders>
            <w:shd w:fill="auto" w:val="clear"/>
            <w:vAlign w:val="center"/>
          </w:tcPr>
          <w:p>
            <w:pPr>
              <w:pStyle w:val="TableContents"/>
              <w:spacing w:before="0" w:after="283"/>
              <w:jc w:val="left"/>
              <w:rPr>
                <w:rFonts w:ascii="Arial" w:hAnsi="Arial"/>
                <w:b/>
                <w:sz w:val="15"/>
              </w:rPr>
            </w:pPr>
            <w:r>
              <w:rPr>
                <w:rFonts w:ascii="Arial" w:hAnsi="Arial"/>
                <w:b/>
                <w:sz w:val="15"/>
              </w:rPr>
              <w:t>Annual Equity Awards</w:t>
              <w:br/>
              <w:t>(Operational Component)</w:t>
            </w:r>
            <w:r>
              <w:rPr>
                <w:rFonts w:ascii="Arial" w:hAnsi="Arial"/>
                <w:b/>
                <w:position w:val="5"/>
                <w:sz w:val="12"/>
                <w:sz w:val="15"/>
              </w:rPr>
              <w:t>(1)</w:t>
            </w:r>
          </w:p>
        </w:tc>
        <w:tc>
          <w:tcPr>
            <w:tcW w:w="3636" w:type="dxa"/>
            <w:tcBorders>
              <w:bottom w:val="single" w:sz="12" w:space="0" w:color="1A2343"/>
            </w:tcBorders>
            <w:shd w:fill="auto" w:val="clear"/>
            <w:vAlign w:val="center"/>
          </w:tcPr>
          <w:p>
            <w:pPr>
              <w:pStyle w:val="TableContents"/>
              <w:spacing w:before="0" w:after="283"/>
              <w:jc w:val="left"/>
              <w:rPr>
                <w:rFonts w:ascii="Arial" w:hAnsi="Arial"/>
                <w:b/>
                <w:sz w:val="15"/>
              </w:rPr>
            </w:pPr>
            <w:r>
              <w:rPr>
                <w:rFonts w:ascii="Arial" w:hAnsi="Arial"/>
                <w:b/>
                <w:sz w:val="15"/>
              </w:rPr>
              <w:t>Annual Equity Awards</w:t>
              <w:br/>
              <w:t>(Relative Component)</w:t>
            </w:r>
          </w:p>
        </w:tc>
      </w:tr>
      <w:tr>
        <w:trPr/>
        <w:tc>
          <w:tcPr>
            <w:tcW w:w="99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Period</w:t>
            </w:r>
          </w:p>
        </w:tc>
        <w:tc>
          <w:tcPr>
            <w:tcW w:w="2429"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One year</w:t>
            </w:r>
          </w:p>
        </w:tc>
        <w:tc>
          <w:tcPr>
            <w:tcW w:w="314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One year with three-year modifier</w:t>
            </w:r>
          </w:p>
        </w:tc>
        <w:tc>
          <w:tcPr>
            <w:tcW w:w="3636"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Three years</w:t>
            </w:r>
          </w:p>
        </w:tc>
      </w:tr>
      <w:tr>
        <w:trPr/>
        <w:tc>
          <w:tcPr>
            <w:tcW w:w="99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Objectives</w:t>
            </w:r>
          </w:p>
        </w:tc>
        <w:tc>
          <w:tcPr>
            <w:tcW w:w="2429" w:type="dxa"/>
            <w:tcBorders>
              <w:bottom w:val="single" w:sz="8" w:space="0" w:color="5B5975"/>
            </w:tcBorders>
            <w:shd w:fill="auto" w:val="clear"/>
            <w:tcMar>
              <w:bottom w:w="28" w:type="dxa"/>
            </w:tcMar>
            <w:vAlign w:val="center"/>
          </w:tcPr>
          <w:p>
            <w:pPr>
              <w:pStyle w:val="TableContents"/>
              <w:spacing w:before="0" w:after="0"/>
              <w:ind w:left="0" w:right="0" w:hanging="290"/>
              <w:jc w:val="left"/>
              <w:rPr/>
            </w:pPr>
            <w:r>
              <w:rPr/>
              <w:t>●</w:t>
            </w:r>
            <w:r>
              <w:rPr>
                <w:rFonts w:ascii="ARIAL" w:hAnsi="ARIAL"/>
                <w:sz w:val="20"/>
              </w:rPr>
              <w:t>Normalized FFO per share</w:t>
            </w:r>
          </w:p>
          <w:p>
            <w:pPr>
              <w:pStyle w:val="TableContents"/>
              <w:spacing w:before="0" w:after="0"/>
              <w:ind w:left="0" w:right="0" w:hanging="290"/>
              <w:jc w:val="left"/>
              <w:rPr/>
            </w:pPr>
            <w:r>
              <w:rPr/>
              <w:t>●</w:t>
            </w:r>
            <w:r>
              <w:rPr>
                <w:rFonts w:ascii="ARIAL" w:hAnsi="ARIAL"/>
                <w:sz w:val="20"/>
              </w:rPr>
              <w:t>Annual same-store cash NOI growth</w:t>
            </w:r>
          </w:p>
          <w:p>
            <w:pPr>
              <w:pStyle w:val="TableContents"/>
              <w:spacing w:before="0" w:after="0"/>
              <w:ind w:left="0" w:right="0" w:hanging="290"/>
              <w:jc w:val="left"/>
              <w:rPr/>
            </w:pPr>
            <w:r>
              <w:rPr/>
              <w:t>●</w:t>
            </w:r>
            <w:r>
              <w:rPr>
                <w:rFonts w:ascii="ARIAL" w:hAnsi="ARIAL"/>
                <w:sz w:val="20"/>
              </w:rPr>
              <w:t>Dividend growth</w:t>
            </w:r>
          </w:p>
          <w:p>
            <w:pPr>
              <w:pStyle w:val="TableContents"/>
              <w:spacing w:before="0" w:after="0"/>
              <w:ind w:left="0" w:right="0" w:hanging="290"/>
              <w:jc w:val="left"/>
              <w:rPr/>
            </w:pPr>
            <w:r>
              <w:rPr/>
              <w:t>●</w:t>
            </w:r>
            <w:r>
              <w:rPr>
                <w:rFonts w:ascii="ARIAL" w:hAnsi="ARIAL"/>
                <w:sz w:val="20"/>
              </w:rPr>
              <w:t>G&amp;A expense</w:t>
            </w:r>
          </w:p>
        </w:tc>
        <w:tc>
          <w:tcPr>
            <w:tcW w:w="3145" w:type="dxa"/>
            <w:tcBorders>
              <w:bottom w:val="single" w:sz="8" w:space="0" w:color="5B5975"/>
            </w:tcBorders>
            <w:shd w:fill="auto" w:val="clear"/>
            <w:tcMar>
              <w:bottom w:w="28" w:type="dxa"/>
            </w:tcMar>
            <w:vAlign w:val="center"/>
          </w:tcPr>
          <w:p>
            <w:pPr>
              <w:pStyle w:val="TableContents"/>
              <w:spacing w:before="0" w:after="0"/>
              <w:ind w:left="0" w:right="0" w:hanging="290"/>
              <w:jc w:val="left"/>
              <w:rPr/>
            </w:pPr>
            <w:r>
              <w:rPr/>
              <w:t>●</w:t>
            </w:r>
            <w:r>
              <w:rPr>
                <w:rFonts w:ascii="ARIAL" w:hAnsi="ARIAL"/>
                <w:sz w:val="20"/>
              </w:rPr>
              <w:t>Funds available for distribution</w:t>
            </w:r>
          </w:p>
          <w:p>
            <w:pPr>
              <w:pStyle w:val="TableContents"/>
              <w:spacing w:before="0" w:after="0"/>
              <w:ind w:left="0" w:right="0" w:hanging="290"/>
              <w:jc w:val="left"/>
              <w:rPr/>
            </w:pPr>
            <w:r>
              <w:rPr/>
              <w:t>●</w:t>
            </w:r>
            <w:r>
              <w:rPr>
                <w:rFonts w:ascii="ARIAL" w:hAnsi="ARIAL"/>
                <w:sz w:val="20"/>
              </w:rPr>
              <w:t>Debt/EBITDA ratio</w:t>
            </w:r>
          </w:p>
          <w:p>
            <w:pPr>
              <w:pStyle w:val="TableContents"/>
              <w:spacing w:before="0" w:after="0"/>
              <w:ind w:left="0" w:right="0" w:hanging="290"/>
              <w:jc w:val="left"/>
              <w:rPr/>
            </w:pPr>
            <w:r>
              <w:rPr/>
              <w:t>●</w:t>
            </w:r>
            <w:r>
              <w:rPr>
                <w:rFonts w:ascii="ARIAL" w:hAnsi="ARIAL"/>
                <w:sz w:val="20"/>
              </w:rPr>
              <w:t>Manhattan office same store leased occupancy</w:t>
            </w:r>
          </w:p>
          <w:p>
            <w:pPr>
              <w:pStyle w:val="TableContents"/>
              <w:spacing w:before="0" w:after="0"/>
              <w:ind w:left="0" w:right="0" w:hanging="290"/>
              <w:jc w:val="left"/>
              <w:rPr/>
            </w:pPr>
            <w:r>
              <w:rPr/>
              <w:t>●</w:t>
            </w:r>
            <w:r>
              <w:rPr>
                <w:rFonts w:ascii="ARIAL" w:hAnsi="ARIAL"/>
                <w:sz w:val="20"/>
              </w:rPr>
              <w:t>Manhattan office leasing volume</w:t>
            </w:r>
          </w:p>
          <w:p>
            <w:pPr>
              <w:pStyle w:val="TableContents"/>
              <w:spacing w:before="0" w:after="0"/>
              <w:ind w:left="0" w:right="0" w:hanging="290"/>
              <w:jc w:val="left"/>
              <w:rPr/>
            </w:pPr>
            <w:r>
              <w:rPr/>
              <w:t>●</w:t>
            </w:r>
            <w:r>
              <w:rPr>
                <w:rFonts w:ascii="ARIAL" w:hAnsi="ARIAL"/>
                <w:sz w:val="20"/>
              </w:rPr>
              <w:t>Liquidity</w:t>
            </w:r>
          </w:p>
          <w:p>
            <w:pPr>
              <w:pStyle w:val="TableContents"/>
              <w:spacing w:before="0" w:after="0"/>
              <w:ind w:left="0" w:right="0" w:hanging="290"/>
              <w:jc w:val="left"/>
              <w:rPr/>
            </w:pPr>
            <w:r>
              <w:rPr/>
              <w:t>●</w:t>
            </w:r>
            <w:r>
              <w:rPr>
                <w:rFonts w:ascii="ARIAL" w:hAnsi="ARIAL"/>
                <w:sz w:val="20"/>
              </w:rPr>
              <w:t>Absolute TSR (three-year modifier)</w:t>
            </w:r>
          </w:p>
        </w:tc>
        <w:tc>
          <w:tcPr>
            <w:tcW w:w="3636" w:type="dxa"/>
            <w:tcBorders>
              <w:bottom w:val="single" w:sz="8" w:space="0" w:color="5B5975"/>
            </w:tcBorders>
            <w:shd w:fill="auto" w:val="clear"/>
            <w:tcMar>
              <w:bottom w:w="28" w:type="dxa"/>
            </w:tcMar>
            <w:vAlign w:val="center"/>
          </w:tcPr>
          <w:p>
            <w:pPr>
              <w:pStyle w:val="TableContents"/>
              <w:spacing w:before="0" w:after="0"/>
              <w:ind w:left="0" w:right="0" w:hanging="290"/>
              <w:jc w:val="left"/>
              <w:rPr/>
            </w:pPr>
            <w:r>
              <w:rPr/>
              <w:t>●</w:t>
            </w:r>
            <w:r>
              <w:rPr>
                <w:rFonts w:ascii="ARIAL" w:hAnsi="ARIAL"/>
                <w:sz w:val="20"/>
              </w:rPr>
              <w:t>TSR Relative to the constituents of an office REIT index</w:t>
            </w:r>
          </w:p>
          <w:p>
            <w:pPr>
              <w:pStyle w:val="TableContents"/>
              <w:spacing w:before="0" w:after="0"/>
              <w:ind w:left="0" w:right="0" w:hanging="290"/>
              <w:jc w:val="left"/>
              <w:rPr/>
            </w:pPr>
            <w:r>
              <w:rPr/>
              <w:t>●</w:t>
            </w:r>
            <w:r>
              <w:rPr>
                <w:rFonts w:ascii="ARIAL" w:hAnsi="ARIAL"/>
                <w:sz w:val="20"/>
              </w:rPr>
              <w:t>TSR Relative to a group of NYC peers</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10016" w:type="dxa"/>
            <w:tcBorders/>
            <w:shd w:fill="auto" w:val="clear"/>
            <w:vAlign w:val="center"/>
          </w:tcPr>
          <w:p>
            <w:pPr>
              <w:pStyle w:val="TableContents"/>
              <w:spacing w:before="0" w:after="283"/>
              <w:jc w:val="left"/>
              <w:rPr>
                <w:rFonts w:ascii="Arial" w:hAnsi="Arial"/>
                <w:sz w:val="15"/>
              </w:rPr>
            </w:pPr>
            <w:r>
              <w:rPr>
                <w:rFonts w:ascii="Arial" w:hAnsi="Arial"/>
                <w:sz w:val="15"/>
              </w:rPr>
              <w:t>We intend to eliminate short-term measurement periods from long-term performance-based equity awards, in future employment agreements with the Company’s CEO and President.</w:t>
            </w:r>
          </w:p>
        </w:tc>
      </w:tr>
    </w:tbl>
    <w:tbl>
      <w:tblPr>
        <w:tblW w:w="10205" w:type="dxa"/>
        <w:jc w:val="left"/>
        <w:tblInd w:w="0" w:type="dxa"/>
        <w:tblCellMar>
          <w:top w:w="0" w:type="dxa"/>
          <w:left w:w="0" w:type="dxa"/>
          <w:bottom w:w="0" w:type="dxa"/>
          <w:right w:w="0" w:type="dxa"/>
        </w:tblCellMar>
      </w:tblPr>
      <w:tblGrid>
        <w:gridCol w:w="510"/>
        <w:gridCol w:w="3283"/>
        <w:gridCol w:w="2550"/>
        <w:gridCol w:w="3320"/>
        <w:gridCol w:w="542"/>
      </w:tblGrid>
      <w:tr>
        <w:trPr/>
        <w:tc>
          <w:tcPr>
            <w:tcW w:w="510" w:type="dxa"/>
            <w:tcBorders/>
            <w:shd w:fill="auto" w:val="clear"/>
            <w:vAlign w:val="center"/>
          </w:tcPr>
          <w:p>
            <w:pPr>
              <w:pStyle w:val="TableContents"/>
              <w:spacing w:before="0" w:after="283"/>
              <w:jc w:val="right"/>
              <w:rPr/>
            </w:pPr>
            <w:r>
              <w:rPr/>
              <w:drawing>
                <wp:inline distT="0" distB="0" distL="0" distR="0">
                  <wp:extent cx="323850" cy="619125"/>
                  <wp:effectExtent l="0" t="0" r="0" b="0"/>
                  <wp:docPr id="434"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301" descr=""/>
                          <pic:cNvPicPr>
                            <a:picLocks noChangeAspect="1" noChangeArrowheads="1"/>
                          </pic:cNvPicPr>
                        </pic:nvPicPr>
                        <pic:blipFill>
                          <a:blip r:embed="rId302"/>
                          <a:srcRect l="-3111" t="-1627" r="-3111" b="-1627"/>
                          <a:stretch>
                            <a:fillRect/>
                          </a:stretch>
                        </pic:blipFill>
                        <pic:spPr bwMode="auto">
                          <a:xfrm>
                            <a:off x="0" y="0"/>
                            <a:ext cx="323850" cy="619125"/>
                          </a:xfrm>
                          <a:prstGeom prst="rect">
                            <a:avLst/>
                          </a:prstGeom>
                          <a:ln w="635">
                            <a:solidFill>
                              <a:srgbClr val="000000"/>
                            </a:solidFill>
                          </a:ln>
                        </pic:spPr>
                      </pic:pic>
                    </a:graphicData>
                  </a:graphic>
                </wp:inline>
              </w:drawing>
            </w:r>
          </w:p>
        </w:tc>
        <w:tc>
          <w:tcPr>
            <w:tcW w:w="3283" w:type="dxa"/>
            <w:tcBorders/>
            <w:shd w:fill="auto" w:val="clear"/>
            <w:vAlign w:val="center"/>
          </w:tcPr>
          <w:p>
            <w:pPr>
              <w:pStyle w:val="TableContents"/>
              <w:spacing w:before="0" w:after="283"/>
              <w:jc w:val="right"/>
              <w:rPr>
                <w:rFonts w:ascii="Arial" w:hAnsi="Arial"/>
                <w:b/>
                <w:color w:val="1A2343"/>
                <w:sz w:val="20"/>
              </w:rPr>
            </w:pPr>
            <w:r>
              <w:rPr>
                <w:rFonts w:ascii="Arial" w:hAnsi="Arial"/>
                <w:b/>
                <w:color w:val="1A2343"/>
                <w:sz w:val="20"/>
              </w:rPr>
              <w:t>Shorter Performance Period (performance metrics within management’s scope and visibility)</w:t>
            </w:r>
          </w:p>
        </w:tc>
        <w:tc>
          <w:tcPr>
            <w:tcW w:w="2550" w:type="dxa"/>
            <w:tcBorders/>
            <w:shd w:fill="auto" w:val="clear"/>
            <w:vAlign w:val="center"/>
          </w:tcPr>
          <w:p>
            <w:pPr>
              <w:pStyle w:val="TableContents"/>
              <w:spacing w:before="0" w:after="283"/>
              <w:jc w:val="right"/>
              <w:rPr/>
            </w:pPr>
            <w:r>
              <w:rPr/>
              <w:drawing>
                <wp:inline distT="0" distB="0" distL="0" distR="0">
                  <wp:extent cx="1619250" cy="76200"/>
                  <wp:effectExtent l="0" t="0" r="0" b="0"/>
                  <wp:docPr id="435"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302" descr=""/>
                          <pic:cNvPicPr>
                            <a:picLocks noChangeAspect="1" noChangeArrowheads="1"/>
                          </pic:cNvPicPr>
                        </pic:nvPicPr>
                        <pic:blipFill>
                          <a:blip r:embed="rId303"/>
                          <a:srcRect l="-622" t="-13207" r="-622" b="-13207"/>
                          <a:stretch>
                            <a:fillRect/>
                          </a:stretch>
                        </pic:blipFill>
                        <pic:spPr bwMode="auto">
                          <a:xfrm>
                            <a:off x="0" y="0"/>
                            <a:ext cx="1619250" cy="76200"/>
                          </a:xfrm>
                          <a:prstGeom prst="rect">
                            <a:avLst/>
                          </a:prstGeom>
                          <a:ln w="635">
                            <a:solidFill>
                              <a:srgbClr val="000000"/>
                            </a:solidFill>
                          </a:ln>
                        </pic:spPr>
                      </pic:pic>
                    </a:graphicData>
                  </a:graphic>
                </wp:inline>
              </w:drawing>
            </w:r>
          </w:p>
        </w:tc>
        <w:tc>
          <w:tcPr>
            <w:tcW w:w="3320" w:type="dxa"/>
            <w:tcBorders/>
            <w:shd w:fill="auto" w:val="clear"/>
            <w:vAlign w:val="center"/>
          </w:tcPr>
          <w:p>
            <w:pPr>
              <w:pStyle w:val="TableContents"/>
              <w:spacing w:before="0" w:after="283"/>
              <w:jc w:val="left"/>
              <w:rPr>
                <w:rFonts w:ascii="Arial" w:hAnsi="Arial"/>
                <w:b/>
                <w:color w:val="1A2343"/>
                <w:sz w:val="20"/>
              </w:rPr>
            </w:pPr>
            <w:r>
              <w:rPr>
                <w:rFonts w:ascii="Arial" w:hAnsi="Arial"/>
                <w:b/>
                <w:color w:val="1A2343"/>
                <w:sz w:val="20"/>
              </w:rPr>
              <w:t>Longer Performance Period (performance metrics that align with the creation of stockholder value)</w:t>
            </w:r>
          </w:p>
        </w:tc>
        <w:tc>
          <w:tcPr>
            <w:tcW w:w="542" w:type="dxa"/>
            <w:tcBorders/>
            <w:shd w:fill="auto" w:val="clear"/>
            <w:vAlign w:val="center"/>
          </w:tcPr>
          <w:p>
            <w:pPr>
              <w:pStyle w:val="TableContents"/>
              <w:spacing w:before="0" w:after="283"/>
              <w:jc w:val="right"/>
              <w:rPr/>
            </w:pPr>
            <w:r>
              <w:rPr/>
              <w:t xml:space="preserve">  </w:t>
            </w:r>
            <w:r>
              <w:rPr/>
              <w:drawing>
                <wp:inline distT="0" distB="0" distL="0" distR="0">
                  <wp:extent cx="323850" cy="609600"/>
                  <wp:effectExtent l="0" t="0" r="0" b="0"/>
                  <wp:docPr id="436"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303" descr=""/>
                          <pic:cNvPicPr>
                            <a:picLocks noChangeAspect="1" noChangeArrowheads="1"/>
                          </pic:cNvPicPr>
                        </pic:nvPicPr>
                        <pic:blipFill>
                          <a:blip r:embed="rId304"/>
                          <a:srcRect l="-3111" t="-1653" r="-3111" b="-1653"/>
                          <a:stretch>
                            <a:fillRect/>
                          </a:stretch>
                        </pic:blipFill>
                        <pic:spPr bwMode="auto">
                          <a:xfrm>
                            <a:off x="0" y="0"/>
                            <a:ext cx="323850" cy="609600"/>
                          </a:xfrm>
                          <a:prstGeom prst="rect">
                            <a:avLst/>
                          </a:prstGeom>
                          <a:ln w="635">
                            <a:solidFill>
                              <a:srgbClr val="000000"/>
                            </a:solidFill>
                          </a:ln>
                        </pic:spPr>
                      </pic:pic>
                    </a:graphicData>
                  </a:graphic>
                </wp:inline>
              </w:drawing>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500" w:type="dxa"/>
        <w:jc w:val="left"/>
        <w:tblInd w:w="0" w:type="dxa"/>
        <w:tblCellMar>
          <w:top w:w="0" w:type="dxa"/>
          <w:left w:w="0" w:type="dxa"/>
          <w:bottom w:w="0" w:type="dxa"/>
          <w:right w:w="0" w:type="dxa"/>
        </w:tblCellMar>
      </w:tblPr>
      <w:tblGrid>
        <w:gridCol w:w="2210"/>
        <w:gridCol w:w="290"/>
      </w:tblGrid>
      <w:tr>
        <w:trPr/>
        <w:tc>
          <w:tcPr>
            <w:tcW w:w="2210" w:type="dxa"/>
            <w:tcBorders/>
            <w:shd w:fill="auto" w:val="clear"/>
            <w:vAlign w:val="center"/>
          </w:tcPr>
          <w:p>
            <w:pPr>
              <w:pStyle w:val="TableContents"/>
              <w:spacing w:before="0" w:after="283"/>
              <w:jc w:val="left"/>
              <w:rPr>
                <w:rFonts w:ascii="Arial" w:hAnsi="Arial"/>
                <w:sz w:val="15"/>
              </w:rPr>
            </w:pPr>
            <w:r>
              <w:rPr>
                <w:rFonts w:ascii="Arial" w:hAnsi="Arial"/>
                <w:b/>
                <w:sz w:val="15"/>
              </w:rPr>
              <w:t>EXECUTIVE COMPENSATION</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51</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F3F6EA" w:val="clear"/>
            <w:vAlign w:val="center"/>
          </w:tcPr>
          <w:p>
            <w:pPr>
              <w:pStyle w:val="TableContents"/>
              <w:spacing w:before="0" w:after="283"/>
              <w:rPr>
                <w:rFonts w:ascii="Arial" w:hAnsi="Arial"/>
                <w:sz w:val="20"/>
              </w:rPr>
            </w:pPr>
            <w:r>
              <w:rPr>
                <w:rFonts w:ascii="Arial" w:hAnsi="Arial"/>
                <w:sz w:val="20"/>
              </w:rPr>
              <w:t xml:space="preserve">In the aggregate, </w:t>
            </w:r>
            <w:r>
              <w:rPr>
                <w:rFonts w:ascii="Arial" w:hAnsi="Arial"/>
                <w:b/>
                <w:sz w:val="20"/>
              </w:rPr>
              <w:t>our compensation program is heavily weighted towards at-risk and performance-based compensation with rigorous performance targets</w:t>
            </w:r>
            <w:r>
              <w:rPr>
                <w:rFonts w:ascii="Arial" w:hAnsi="Arial"/>
                <w:sz w:val="20"/>
              </w:rPr>
              <w:t>, most of which is in the form of equity and subject to vesting over a three-year period. We utilize a blend of performance periods in our compensation program that maintains this overall long-term focus while also accounting for the challenges we face in forecasting for periods greater than 12 months. The aggressive recycling and deployment of capital through opportunistic acquisitions and dispositions, together with our focus on transformational development projects like One Vanderbilt and One Madison, make it difficult to project and incentivize long-term financial and operating results.</w:t>
            </w:r>
          </w:p>
        </w:tc>
      </w:tr>
    </w:tbl>
    <w:p>
      <w:pPr>
        <w:pStyle w:val="TextBody"/>
        <w:spacing w:before="240" w:after="283"/>
        <w:jc w:val="left"/>
        <w:rPr>
          <w:rFonts w:ascii="Arial" w:hAnsi="Arial"/>
          <w:b/>
          <w:color w:val="1A2343"/>
          <w:sz w:val="20"/>
        </w:rPr>
      </w:pPr>
      <w:r>
        <w:rPr>
          <w:rFonts w:ascii="Arial" w:hAnsi="Arial"/>
          <w:b/>
          <w:color w:val="1A2343"/>
          <w:sz w:val="20"/>
        </w:rPr>
        <w:t>RIGOROUS METHODOLOGY FOR SETTING PERFORMANCE GOALS</w:t>
      </w:r>
    </w:p>
    <w:p>
      <w:pPr>
        <w:pStyle w:val="TextBody"/>
        <w:jc w:val="left"/>
        <w:rPr>
          <w:rFonts w:ascii="Arial" w:hAnsi="Arial"/>
          <w:sz w:val="20"/>
        </w:rPr>
      </w:pPr>
      <w:r>
        <w:rPr>
          <w:rFonts w:ascii="Arial" w:hAnsi="Arial"/>
          <w:sz w:val="20"/>
        </w:rPr>
        <w:t>Each year, the Committee, in consultation with management and other advisors, takes the same four step approach to establishing our performance goals and administering our performance-based equity programs. The methodical process through which we establish performance goals is strong evidence of our focus on building a culture of alignment and accountability for our management team. This alignment is achieved year after year in the context of a rigorous process that connects internal budgeting, external guidance and compensation opportunities.</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F3F6EA" w:val="clear"/>
            <w:vAlign w:val="center"/>
          </w:tcPr>
          <w:p>
            <w:pPr>
              <w:pStyle w:val="TableContents"/>
              <w:spacing w:before="0" w:after="283"/>
              <w:rPr>
                <w:rFonts w:ascii="Arial" w:hAnsi="Arial"/>
                <w:b/>
                <w:sz w:val="20"/>
              </w:rPr>
            </w:pPr>
            <w:r>
              <w:rPr>
                <w:rFonts w:ascii="Arial" w:hAnsi="Arial"/>
                <w:b/>
                <w:sz w:val="20"/>
              </w:rPr>
              <w:t>The Committee does not look to comparisons of forward-looking performance goals versus prior year goals or results as part of this process.</w:t>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700"/>
        <w:gridCol w:w="1490"/>
        <w:gridCol w:w="683"/>
        <w:gridCol w:w="1637"/>
        <w:gridCol w:w="670"/>
        <w:gridCol w:w="1942"/>
        <w:gridCol w:w="866"/>
        <w:gridCol w:w="2217"/>
      </w:tblGrid>
      <w:tr>
        <w:trPr/>
        <w:tc>
          <w:tcPr>
            <w:tcW w:w="2190" w:type="dxa"/>
            <w:gridSpan w:val="2"/>
            <w:tcBorders>
              <w:top w:val="single" w:sz="8" w:space="0" w:color="8EAD3C"/>
            </w:tcBorders>
            <w:shd w:fill="auto" w:val="clear"/>
            <w:vAlign w:val="center"/>
          </w:tcPr>
          <w:p>
            <w:pPr>
              <w:pStyle w:val="TableContents"/>
              <w:spacing w:before="0" w:after="283"/>
              <w:rPr/>
            </w:pPr>
            <w:r>
              <w:rPr/>
              <w:t> </w:t>
            </w:r>
          </w:p>
        </w:tc>
        <w:tc>
          <w:tcPr>
            <w:tcW w:w="2320" w:type="dxa"/>
            <w:gridSpan w:val="2"/>
            <w:tcBorders>
              <w:top w:val="single" w:sz="8" w:space="0" w:color="8EAD3C"/>
            </w:tcBorders>
            <w:shd w:fill="auto" w:val="clear"/>
            <w:vAlign w:val="center"/>
          </w:tcPr>
          <w:p>
            <w:pPr>
              <w:pStyle w:val="TableContents"/>
              <w:spacing w:before="0" w:after="283"/>
              <w:rPr>
                <w:sz w:val="4"/>
                <w:szCs w:val="4"/>
              </w:rPr>
            </w:pPr>
            <w:r>
              <w:rPr>
                <w:sz w:val="4"/>
                <w:szCs w:val="4"/>
              </w:rPr>
            </w:r>
          </w:p>
        </w:tc>
        <w:tc>
          <w:tcPr>
            <w:tcW w:w="2612" w:type="dxa"/>
            <w:gridSpan w:val="2"/>
            <w:tcBorders>
              <w:top w:val="single" w:sz="8" w:space="0" w:color="8EAD3C"/>
            </w:tcBorders>
            <w:shd w:fill="auto" w:val="clear"/>
            <w:vAlign w:val="center"/>
          </w:tcPr>
          <w:p>
            <w:pPr>
              <w:pStyle w:val="TableContents"/>
              <w:spacing w:before="0" w:after="283"/>
              <w:rPr>
                <w:sz w:val="4"/>
                <w:szCs w:val="4"/>
              </w:rPr>
            </w:pPr>
            <w:r>
              <w:rPr>
                <w:sz w:val="4"/>
                <w:szCs w:val="4"/>
              </w:rPr>
            </w:r>
          </w:p>
        </w:tc>
        <w:tc>
          <w:tcPr>
            <w:tcW w:w="3083" w:type="dxa"/>
            <w:gridSpan w:val="2"/>
            <w:tcBorders>
              <w:top w:val="single" w:sz="8" w:space="0" w:color="8EAD3C"/>
            </w:tcBorders>
            <w:shd w:fill="auto" w:val="clear"/>
            <w:vAlign w:val="center"/>
          </w:tcPr>
          <w:p>
            <w:pPr>
              <w:pStyle w:val="TableContents"/>
              <w:spacing w:before="0" w:after="283"/>
              <w:rPr>
                <w:sz w:val="4"/>
                <w:szCs w:val="4"/>
              </w:rPr>
            </w:pPr>
            <w:r>
              <w:rPr>
                <w:sz w:val="4"/>
                <w:szCs w:val="4"/>
              </w:rPr>
            </w:r>
          </w:p>
        </w:tc>
      </w:tr>
      <w:tr>
        <w:trPr/>
        <w:tc>
          <w:tcPr>
            <w:tcW w:w="700" w:type="dxa"/>
            <w:tcBorders/>
            <w:shd w:fill="auto" w:val="clear"/>
            <w:tcMar>
              <w:top w:w="0" w:type="dxa"/>
            </w:tcMar>
            <w:vAlign w:val="center"/>
          </w:tcPr>
          <w:p>
            <w:pPr>
              <w:pStyle w:val="TableContents"/>
              <w:spacing w:before="0" w:after="283"/>
              <w:jc w:val="left"/>
              <w:rPr/>
            </w:pPr>
            <w:r>
              <w:rPr/>
              <w:drawing>
                <wp:inline distT="0" distB="0" distL="0" distR="0">
                  <wp:extent cx="247650" cy="257175"/>
                  <wp:effectExtent l="0" t="0" r="0" b="0"/>
                  <wp:docPr id="437"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304" descr=""/>
                          <pic:cNvPicPr>
                            <a:picLocks noChangeAspect="1" noChangeArrowheads="1"/>
                          </pic:cNvPicPr>
                        </pic:nvPicPr>
                        <pic:blipFill>
                          <a:blip r:embed="rId305"/>
                          <a:srcRect l="-4069" t="-3921" r="-4069" b="-3921"/>
                          <a:stretch>
                            <a:fillRect/>
                          </a:stretch>
                        </pic:blipFill>
                        <pic:spPr bwMode="auto">
                          <a:xfrm>
                            <a:off x="0" y="0"/>
                            <a:ext cx="247650" cy="257175"/>
                          </a:xfrm>
                          <a:prstGeom prst="rect">
                            <a:avLst/>
                          </a:prstGeom>
                          <a:ln w="635">
                            <a:solidFill>
                              <a:srgbClr val="000000"/>
                            </a:solidFill>
                          </a:ln>
                        </pic:spPr>
                      </pic:pic>
                    </a:graphicData>
                  </a:graphic>
                </wp:inline>
              </w:drawing>
            </w:r>
          </w:p>
        </w:tc>
        <w:tc>
          <w:tcPr>
            <w:tcW w:w="1490" w:type="dxa"/>
            <w:tcBorders/>
            <w:shd w:fill="auto" w:val="clear"/>
            <w:tcMar>
              <w:top w:w="0" w:type="dxa"/>
            </w:tcMar>
            <w:vAlign w:val="center"/>
          </w:tcPr>
          <w:p>
            <w:pPr>
              <w:pStyle w:val="TableContents"/>
              <w:spacing w:before="0" w:after="283"/>
              <w:jc w:val="left"/>
              <w:rPr>
                <w:rFonts w:ascii="Arial" w:hAnsi="Arial"/>
                <w:b/>
                <w:color w:val="8EAD3C"/>
                <w:sz w:val="20"/>
              </w:rPr>
            </w:pPr>
            <w:r>
              <w:rPr>
                <w:rFonts w:ascii="Arial" w:hAnsi="Arial"/>
                <w:b/>
                <w:color w:val="8EAD3C"/>
                <w:sz w:val="20"/>
              </w:rPr>
              <w:t>ASSESS</w:t>
            </w:r>
          </w:p>
        </w:tc>
        <w:tc>
          <w:tcPr>
            <w:tcW w:w="683" w:type="dxa"/>
            <w:tcBorders>
              <w:left w:val="single" w:sz="8" w:space="0" w:color="8EAD3C"/>
            </w:tcBorders>
            <w:shd w:fill="auto" w:val="clear"/>
            <w:tcMar>
              <w:top w:w="0" w:type="dxa"/>
              <w:left w:w="120" w:type="dxa"/>
            </w:tcMar>
            <w:vAlign w:val="center"/>
          </w:tcPr>
          <w:p>
            <w:pPr>
              <w:pStyle w:val="TableContents"/>
              <w:spacing w:before="0" w:after="283"/>
              <w:jc w:val="left"/>
              <w:rPr/>
            </w:pPr>
            <w:r>
              <w:rPr/>
              <w:drawing>
                <wp:inline distT="0" distB="0" distL="0" distR="0">
                  <wp:extent cx="247650" cy="247650"/>
                  <wp:effectExtent l="0" t="0" r="0" b="0"/>
                  <wp:docPr id="438"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305" descr=""/>
                          <pic:cNvPicPr>
                            <a:picLocks noChangeAspect="1" noChangeArrowheads="1"/>
                          </pic:cNvPicPr>
                        </pic:nvPicPr>
                        <pic:blipFill>
                          <a:blip r:embed="rId306"/>
                          <a:srcRect l="-4069" t="-4069" r="-4069" b="-4069"/>
                          <a:stretch>
                            <a:fillRect/>
                          </a:stretch>
                        </pic:blipFill>
                        <pic:spPr bwMode="auto">
                          <a:xfrm>
                            <a:off x="0" y="0"/>
                            <a:ext cx="247650" cy="247650"/>
                          </a:xfrm>
                          <a:prstGeom prst="rect">
                            <a:avLst/>
                          </a:prstGeom>
                          <a:ln w="635">
                            <a:solidFill>
                              <a:srgbClr val="000000"/>
                            </a:solidFill>
                          </a:ln>
                        </pic:spPr>
                      </pic:pic>
                    </a:graphicData>
                  </a:graphic>
                </wp:inline>
              </w:drawing>
            </w:r>
          </w:p>
        </w:tc>
        <w:tc>
          <w:tcPr>
            <w:tcW w:w="1637" w:type="dxa"/>
            <w:tcBorders/>
            <w:shd w:fill="auto" w:val="clear"/>
            <w:tcMar>
              <w:top w:w="0" w:type="dxa"/>
            </w:tcMar>
            <w:vAlign w:val="center"/>
          </w:tcPr>
          <w:p>
            <w:pPr>
              <w:pStyle w:val="TableContents"/>
              <w:spacing w:before="0" w:after="283"/>
              <w:jc w:val="left"/>
              <w:rPr>
                <w:rFonts w:ascii="Arial" w:hAnsi="Arial"/>
                <w:b/>
                <w:color w:val="8EAD3C"/>
                <w:sz w:val="20"/>
              </w:rPr>
            </w:pPr>
            <w:r>
              <w:rPr>
                <w:rFonts w:ascii="Arial" w:hAnsi="Arial"/>
                <w:b/>
                <w:color w:val="8EAD3C"/>
                <w:sz w:val="20"/>
              </w:rPr>
              <w:t>PROJECT</w:t>
            </w:r>
          </w:p>
        </w:tc>
        <w:tc>
          <w:tcPr>
            <w:tcW w:w="670" w:type="dxa"/>
            <w:tcBorders>
              <w:left w:val="single" w:sz="8" w:space="0" w:color="8EAD3C"/>
            </w:tcBorders>
            <w:shd w:fill="auto" w:val="clear"/>
            <w:tcMar>
              <w:top w:w="0" w:type="dxa"/>
              <w:left w:w="120" w:type="dxa"/>
            </w:tcMar>
            <w:vAlign w:val="center"/>
          </w:tcPr>
          <w:p>
            <w:pPr>
              <w:pStyle w:val="TableContents"/>
              <w:spacing w:before="0" w:after="283"/>
              <w:jc w:val="left"/>
              <w:rPr/>
            </w:pPr>
            <w:r>
              <w:rPr/>
              <w:drawing>
                <wp:inline distT="0" distB="0" distL="0" distR="0">
                  <wp:extent cx="247650" cy="257175"/>
                  <wp:effectExtent l="0" t="0" r="0" b="0"/>
                  <wp:docPr id="439"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306" descr=""/>
                          <pic:cNvPicPr>
                            <a:picLocks noChangeAspect="1" noChangeArrowheads="1"/>
                          </pic:cNvPicPr>
                        </pic:nvPicPr>
                        <pic:blipFill>
                          <a:blip r:embed="rId307"/>
                          <a:srcRect l="-4069" t="-3921" r="-4069" b="-3921"/>
                          <a:stretch>
                            <a:fillRect/>
                          </a:stretch>
                        </pic:blipFill>
                        <pic:spPr bwMode="auto">
                          <a:xfrm>
                            <a:off x="0" y="0"/>
                            <a:ext cx="247650" cy="257175"/>
                          </a:xfrm>
                          <a:prstGeom prst="rect">
                            <a:avLst/>
                          </a:prstGeom>
                          <a:ln w="635">
                            <a:solidFill>
                              <a:srgbClr val="000000"/>
                            </a:solidFill>
                          </a:ln>
                        </pic:spPr>
                      </pic:pic>
                    </a:graphicData>
                  </a:graphic>
                </wp:inline>
              </w:drawing>
            </w:r>
          </w:p>
        </w:tc>
        <w:tc>
          <w:tcPr>
            <w:tcW w:w="1942" w:type="dxa"/>
            <w:tcBorders/>
            <w:shd w:fill="auto" w:val="clear"/>
            <w:tcMar>
              <w:top w:w="0" w:type="dxa"/>
            </w:tcMar>
            <w:vAlign w:val="center"/>
          </w:tcPr>
          <w:p>
            <w:pPr>
              <w:pStyle w:val="TableContents"/>
              <w:spacing w:before="0" w:after="283"/>
              <w:jc w:val="left"/>
              <w:rPr>
                <w:rFonts w:ascii="Arial" w:hAnsi="Arial"/>
                <w:b/>
                <w:color w:val="8EAD3C"/>
                <w:sz w:val="20"/>
              </w:rPr>
            </w:pPr>
            <w:r>
              <w:rPr>
                <w:rFonts w:ascii="Arial" w:hAnsi="Arial"/>
                <w:b/>
                <w:color w:val="8EAD3C"/>
                <w:sz w:val="20"/>
              </w:rPr>
              <w:t>ESTABLISH</w:t>
            </w:r>
          </w:p>
        </w:tc>
        <w:tc>
          <w:tcPr>
            <w:tcW w:w="866" w:type="dxa"/>
            <w:tcBorders>
              <w:left w:val="single" w:sz="8" w:space="0" w:color="8EAD3C"/>
            </w:tcBorders>
            <w:shd w:fill="auto" w:val="clear"/>
            <w:tcMar>
              <w:top w:w="0" w:type="dxa"/>
              <w:left w:w="120" w:type="dxa"/>
            </w:tcMar>
            <w:vAlign w:val="center"/>
          </w:tcPr>
          <w:p>
            <w:pPr>
              <w:pStyle w:val="TableContents"/>
              <w:spacing w:before="0" w:after="283"/>
              <w:jc w:val="left"/>
              <w:rPr/>
            </w:pPr>
            <w:r>
              <w:rPr/>
              <w:drawing>
                <wp:inline distT="0" distB="0" distL="0" distR="0">
                  <wp:extent cx="247650" cy="247650"/>
                  <wp:effectExtent l="0" t="0" r="0" b="0"/>
                  <wp:docPr id="440"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307" descr=""/>
                          <pic:cNvPicPr>
                            <a:picLocks noChangeAspect="1" noChangeArrowheads="1"/>
                          </pic:cNvPicPr>
                        </pic:nvPicPr>
                        <pic:blipFill>
                          <a:blip r:embed="rId308"/>
                          <a:srcRect l="-4069" t="-4069" r="-4069" b="-4069"/>
                          <a:stretch>
                            <a:fillRect/>
                          </a:stretch>
                        </pic:blipFill>
                        <pic:spPr bwMode="auto">
                          <a:xfrm>
                            <a:off x="0" y="0"/>
                            <a:ext cx="247650" cy="247650"/>
                          </a:xfrm>
                          <a:prstGeom prst="rect">
                            <a:avLst/>
                          </a:prstGeom>
                          <a:ln w="635">
                            <a:solidFill>
                              <a:srgbClr val="000000"/>
                            </a:solidFill>
                          </a:ln>
                        </pic:spPr>
                      </pic:pic>
                    </a:graphicData>
                  </a:graphic>
                </wp:inline>
              </w:drawing>
            </w:r>
          </w:p>
        </w:tc>
        <w:tc>
          <w:tcPr>
            <w:tcW w:w="2217" w:type="dxa"/>
            <w:tcBorders/>
            <w:shd w:fill="auto" w:val="clear"/>
            <w:tcMar>
              <w:top w:w="0" w:type="dxa"/>
            </w:tcMar>
            <w:vAlign w:val="center"/>
          </w:tcPr>
          <w:p>
            <w:pPr>
              <w:pStyle w:val="TableContents"/>
              <w:spacing w:before="0" w:after="283"/>
              <w:jc w:val="left"/>
              <w:rPr>
                <w:rFonts w:ascii="Arial" w:hAnsi="Arial"/>
                <w:b/>
                <w:color w:val="8EAD3C"/>
                <w:sz w:val="20"/>
              </w:rPr>
            </w:pPr>
            <w:r>
              <w:rPr>
                <w:rFonts w:ascii="Arial" w:hAnsi="Arial"/>
                <w:b/>
                <w:color w:val="8EAD3C"/>
                <w:sz w:val="20"/>
              </w:rPr>
              <w:t>MEASURE</w:t>
            </w:r>
          </w:p>
        </w:tc>
      </w:tr>
      <w:tr>
        <w:trPr/>
        <w:tc>
          <w:tcPr>
            <w:tcW w:w="2190" w:type="dxa"/>
            <w:gridSpan w:val="2"/>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At the beginning of each year, we assess the current economic and competitive landscape we face to identify trends, challenges and opportunities that we anticipate will impact our performance during the coming year.</w:t>
            </w:r>
          </w:p>
        </w:tc>
        <w:tc>
          <w:tcPr>
            <w:tcW w:w="2320" w:type="dxa"/>
            <w:gridSpan w:val="2"/>
            <w:tcBorders>
              <w:left w:val="single" w:sz="8" w:space="0" w:color="8EAD3C"/>
            </w:tcBorders>
            <w:shd w:fill="auto" w:val="clear"/>
            <w:tcMar>
              <w:top w:w="0" w:type="dxa"/>
              <w:left w:w="120" w:type="dxa"/>
            </w:tcMar>
            <w:vAlign w:val="center"/>
          </w:tcPr>
          <w:p>
            <w:pPr>
              <w:pStyle w:val="TableContents"/>
              <w:spacing w:before="0" w:after="283"/>
              <w:jc w:val="left"/>
              <w:rPr>
                <w:rFonts w:ascii="Arial" w:hAnsi="Arial"/>
                <w:sz w:val="20"/>
              </w:rPr>
            </w:pPr>
            <w:r>
              <w:rPr>
                <w:rFonts w:ascii="Arial" w:hAnsi="Arial"/>
                <w:sz w:val="20"/>
              </w:rPr>
              <w:t>Management establishes formal guidance and internal projections based on current conditions and without consideration of prior year forecasts, which may result in narrower or wider ranges depending on anticipated volatility.</w:t>
            </w:r>
          </w:p>
        </w:tc>
        <w:tc>
          <w:tcPr>
            <w:tcW w:w="2612" w:type="dxa"/>
            <w:gridSpan w:val="2"/>
            <w:tcBorders>
              <w:left w:val="single" w:sz="8" w:space="0" w:color="8EAD3C"/>
            </w:tcBorders>
            <w:shd w:fill="auto" w:val="clear"/>
            <w:tcMar>
              <w:top w:w="0" w:type="dxa"/>
              <w:left w:w="120" w:type="dxa"/>
            </w:tcMar>
            <w:vAlign w:val="center"/>
          </w:tcPr>
          <w:p>
            <w:pPr>
              <w:pStyle w:val="TableContents"/>
              <w:spacing w:before="0" w:after="283"/>
              <w:jc w:val="left"/>
              <w:rPr>
                <w:rFonts w:ascii="Arial" w:hAnsi="Arial"/>
                <w:sz w:val="20"/>
              </w:rPr>
            </w:pPr>
            <w:r>
              <w:rPr>
                <w:rFonts w:ascii="Arial" w:hAnsi="Arial"/>
                <w:sz w:val="20"/>
              </w:rPr>
              <w:t>The Committee establishes rigorous performance goals based on management’s guidance and internal projections that are integrally related to our projections (i.e., to achieve maximum performance, we generally must exceed the projected range).</w:t>
            </w:r>
          </w:p>
        </w:tc>
        <w:tc>
          <w:tcPr>
            <w:tcW w:w="3083" w:type="dxa"/>
            <w:gridSpan w:val="2"/>
            <w:tcBorders>
              <w:left w:val="single" w:sz="8" w:space="0" w:color="8EAD3C"/>
            </w:tcBorders>
            <w:shd w:fill="auto" w:val="clear"/>
            <w:tcMar>
              <w:top w:w="0" w:type="dxa"/>
              <w:left w:w="120" w:type="dxa"/>
            </w:tcMar>
            <w:vAlign w:val="center"/>
          </w:tcPr>
          <w:p>
            <w:pPr>
              <w:pStyle w:val="TableContents"/>
              <w:spacing w:before="0" w:after="283"/>
              <w:jc w:val="left"/>
              <w:rPr/>
            </w:pPr>
            <w:r>
              <w:rPr>
                <w:rFonts w:ascii="Arial" w:hAnsi="Arial"/>
                <w:sz w:val="20"/>
              </w:rPr>
              <w:t xml:space="preserve">Following the end of the year, we measure performance and payout formulaic cash bonuses (as applicable) and performance-based equity awards based on performance relative to the goals. </w:t>
            </w:r>
            <w:r>
              <w:rPr>
                <w:rFonts w:ascii="Arial" w:hAnsi="Arial"/>
                <w:b/>
                <w:sz w:val="20"/>
              </w:rPr>
              <w:t>We do not change our objective goals mid-year, even in extreme circumstances such as the COVID-19 pandemic.</w:t>
            </w:r>
          </w:p>
        </w:tc>
      </w:tr>
      <w:tr>
        <w:trPr/>
        <w:tc>
          <w:tcPr>
            <w:tcW w:w="2190" w:type="dxa"/>
            <w:gridSpan w:val="2"/>
            <w:tcBorders>
              <w:bottom w:val="single" w:sz="8" w:space="0" w:color="8EAD3C"/>
            </w:tcBorders>
            <w:shd w:fill="auto" w:val="clear"/>
            <w:tcMar>
              <w:top w:w="0" w:type="dxa"/>
              <w:bottom w:w="28" w:type="dxa"/>
            </w:tcMar>
            <w:vAlign w:val="center"/>
          </w:tcPr>
          <w:p>
            <w:pPr>
              <w:pStyle w:val="TableContents"/>
              <w:spacing w:before="0" w:after="283"/>
              <w:rPr/>
            </w:pPr>
            <w:r>
              <w:rPr/>
              <w:t> </w:t>
            </w:r>
          </w:p>
        </w:tc>
        <w:tc>
          <w:tcPr>
            <w:tcW w:w="2320" w:type="dxa"/>
            <w:gridSpan w:val="2"/>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2612" w:type="dxa"/>
            <w:gridSpan w:val="2"/>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3083" w:type="dxa"/>
            <w:gridSpan w:val="2"/>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F3F6EA" w:val="clear"/>
            <w:vAlign w:val="center"/>
          </w:tcPr>
          <w:p>
            <w:pPr>
              <w:pStyle w:val="TableContents"/>
              <w:spacing w:before="0" w:after="283"/>
              <w:rPr/>
            </w:pPr>
            <w:r>
              <w:rPr>
                <w:rFonts w:ascii="Arial" w:hAnsi="Arial"/>
                <w:sz w:val="20"/>
              </w:rPr>
              <w:t xml:space="preserve">Goals are established each year on a forward-looking basis as a snapshot of current economic and competitive conditions. Depending on anticipated economic volatility, our guidance may be narrower or wider at the time that goals are set, which, in turn, may result in corresponding adjustments to that year’s threshold, target and maximum performance hurdles that must be achieved. However, </w:t>
            </w:r>
            <w:r>
              <w:rPr>
                <w:rFonts w:ascii="Arial" w:hAnsi="Arial"/>
                <w:b/>
                <w:sz w:val="20"/>
              </w:rPr>
              <w:t>performance under our formulaic cash bonus program and annual performance-based equity awards generally must at least equal or exceed the top of our guidance range or internal projections to achieve maximum performance levels.</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52</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b/>
          <w:color w:val="8EAD3C"/>
          <w:sz w:val="20"/>
        </w:rPr>
      </w:pPr>
      <w:r>
        <w:rPr>
          <w:rFonts w:ascii="Arial" w:hAnsi="Arial"/>
          <w:b/>
          <w:color w:val="8EAD3C"/>
          <w:sz w:val="20"/>
        </w:rPr>
        <w:t>2022 Performance Summary</w:t>
      </w:r>
    </w:p>
    <w:p>
      <w:pPr>
        <w:pStyle w:val="TextBody"/>
        <w:jc w:val="left"/>
        <w:rPr>
          <w:rFonts w:ascii="Arial" w:hAnsi="Arial"/>
          <w:sz w:val="20"/>
        </w:rPr>
      </w:pPr>
      <w:r>
        <w:rPr>
          <w:rFonts w:ascii="Arial" w:hAnsi="Arial"/>
          <w:sz w:val="20"/>
        </w:rPr>
        <w:t>The performance goals established by the Committee at the beginning of each year by the Committee motivate financial and operational outperformance in line with Company guidance and internal projections. The criteria used for annual cash bonuses and performance-based equity remained substantially the same across 2020, 2021 and 2022 because they were, and continue to be, key drivers to stockholder value creation.</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F3F6EA" w:val="clear"/>
            <w:vAlign w:val="center"/>
          </w:tcPr>
          <w:p>
            <w:pPr>
              <w:pStyle w:val="TableContents"/>
              <w:spacing w:before="0" w:after="283"/>
              <w:rPr>
                <w:rFonts w:ascii="Arial" w:hAnsi="Arial"/>
                <w:b/>
                <w:sz w:val="20"/>
              </w:rPr>
            </w:pPr>
            <w:r>
              <w:rPr>
                <w:rFonts w:ascii="Arial" w:hAnsi="Arial"/>
                <w:b/>
                <w:sz w:val="20"/>
              </w:rPr>
              <w:t>Threshold, target and maximum levels were set on the basis of a rigorous and consistent pay-for-performance compensation philosophy.</w:t>
            </w:r>
          </w:p>
        </w:tc>
      </w:tr>
    </w:tbl>
    <w:p>
      <w:pPr>
        <w:pStyle w:val="TextBody"/>
        <w:spacing w:before="240" w:after="283"/>
        <w:jc w:val="left"/>
        <w:rPr>
          <w:rFonts w:ascii="Arial" w:hAnsi="Arial"/>
          <w:sz w:val="20"/>
        </w:rPr>
      </w:pPr>
      <w:r>
        <w:rPr>
          <w:rFonts w:ascii="Arial" w:hAnsi="Arial"/>
          <w:sz w:val="20"/>
        </w:rPr>
        <w:t>For all of our formulaic annual cash bonus awards and performance-based equity awards, linear interpolation is used to determine the percentage earned for performance that falls between threshold, target and/or maximum. The tables below set forth our 2022 performance relative to 2022 performance criteria.</w:t>
      </w:r>
    </w:p>
    <w:p>
      <w:pPr>
        <w:pStyle w:val="TextBody"/>
        <w:jc w:val="left"/>
        <w:rPr>
          <w:rFonts w:ascii="Arial" w:hAnsi="Arial"/>
          <w:b/>
          <w:color w:val="1A2343"/>
          <w:sz w:val="26"/>
        </w:rPr>
      </w:pPr>
      <w:r>
        <w:rPr>
          <w:rFonts w:ascii="Arial" w:hAnsi="Arial"/>
          <w:b/>
          <w:color w:val="1A2343"/>
          <w:sz w:val="26"/>
        </w:rPr>
        <w:t>2022 Formulaic Annual Cash Bonus Goals</w:t>
      </w:r>
    </w:p>
    <w:tbl>
      <w:tblPr>
        <w:tblW w:w="10205" w:type="dxa"/>
        <w:jc w:val="left"/>
        <w:tblInd w:w="0" w:type="dxa"/>
        <w:tblCellMar>
          <w:top w:w="0" w:type="dxa"/>
          <w:left w:w="0" w:type="dxa"/>
          <w:bottom w:w="40" w:type="dxa"/>
          <w:right w:w="0" w:type="dxa"/>
        </w:tblCellMar>
      </w:tblPr>
      <w:tblGrid>
        <w:gridCol w:w="4510"/>
        <w:gridCol w:w="300"/>
        <w:gridCol w:w="710"/>
        <w:gridCol w:w="799"/>
        <w:gridCol w:w="300"/>
        <w:gridCol w:w="1378"/>
        <w:gridCol w:w="912"/>
        <w:gridCol w:w="1296"/>
      </w:tblGrid>
      <w:tr>
        <w:trPr/>
        <w:tc>
          <w:tcPr>
            <w:tcW w:w="451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Performance Criteria / Reason Selected</w:t>
            </w:r>
          </w:p>
        </w:tc>
        <w:tc>
          <w:tcPr>
            <w:tcW w:w="300" w:type="dxa"/>
            <w:tcBorders/>
            <w:shd w:fill="auto" w:val="clear"/>
            <w:tcMar>
              <w:bottom w:w="0" w:type="dxa"/>
            </w:tcMar>
            <w:vAlign w:val="center"/>
          </w:tcPr>
          <w:p>
            <w:pPr>
              <w:pStyle w:val="TableContents"/>
              <w:spacing w:before="0" w:after="283"/>
              <w:jc w:val="center"/>
              <w:rPr/>
            </w:pPr>
            <w:r>
              <w:rPr/>
              <w:t>     </w:t>
            </w:r>
          </w:p>
        </w:tc>
        <w:tc>
          <w:tcPr>
            <w:tcW w:w="710" w:type="dxa"/>
            <w:tcBorders>
              <w:bottom w:val="single" w:sz="12" w:space="0" w:color="1A2343"/>
            </w:tcBorders>
            <w:shd w:fill="auto" w:val="clear"/>
            <w:vAlign w:val="center"/>
          </w:tcPr>
          <w:p>
            <w:pPr>
              <w:pStyle w:val="TableContents"/>
              <w:spacing w:before="0" w:after="283"/>
              <w:jc w:val="center"/>
              <w:rPr>
                <w:rFonts w:ascii="Arial" w:hAnsi="Arial"/>
                <w:sz w:val="15"/>
              </w:rPr>
            </w:pPr>
            <w:r>
              <w:rPr>
                <w:rFonts w:ascii="Arial" w:hAnsi="Arial"/>
                <w:sz w:val="15"/>
              </w:rPr>
              <w:t>Weighting</w:t>
            </w:r>
          </w:p>
        </w:tc>
        <w:tc>
          <w:tcPr>
            <w:tcW w:w="799" w:type="dxa"/>
            <w:tcBorders>
              <w:bottom w:val="single" w:sz="12" w:space="0" w:color="1A2343"/>
            </w:tcBorders>
            <w:shd w:fill="auto" w:val="clear"/>
            <w:vAlign w:val="center"/>
          </w:tcPr>
          <w:p>
            <w:pPr>
              <w:pStyle w:val="TableContents"/>
              <w:spacing w:before="0" w:after="283"/>
              <w:jc w:val="center"/>
              <w:rPr>
                <w:rFonts w:ascii="Arial" w:hAnsi="Arial"/>
                <w:sz w:val="15"/>
              </w:rPr>
            </w:pPr>
            <w:r>
              <w:rPr>
                <w:rFonts w:ascii="Arial" w:hAnsi="Arial"/>
                <w:sz w:val="15"/>
              </w:rPr>
              <w:t>Guidance/</w:t>
              <w:br/>
              <w:t>Goal</w:t>
            </w:r>
          </w:p>
        </w:tc>
        <w:tc>
          <w:tcPr>
            <w:tcW w:w="300" w:type="dxa"/>
            <w:tcBorders/>
            <w:shd w:fill="auto" w:val="clear"/>
            <w:tcMar>
              <w:bottom w:w="0" w:type="dxa"/>
            </w:tcMar>
            <w:vAlign w:val="center"/>
          </w:tcPr>
          <w:p>
            <w:pPr>
              <w:pStyle w:val="TableContents"/>
              <w:spacing w:before="0" w:after="283"/>
              <w:jc w:val="center"/>
              <w:rPr/>
            </w:pPr>
            <w:r>
              <w:rPr/>
              <w:t>     </w:t>
            </w:r>
          </w:p>
        </w:tc>
        <w:tc>
          <w:tcPr>
            <w:tcW w:w="1378" w:type="dxa"/>
            <w:tcBorders>
              <w:bottom w:val="single" w:sz="12" w:space="0" w:color="1A2343"/>
            </w:tcBorders>
            <w:shd w:fill="auto" w:val="clear"/>
            <w:vAlign w:val="center"/>
          </w:tcPr>
          <w:p>
            <w:pPr>
              <w:pStyle w:val="TableContents"/>
              <w:spacing w:before="0" w:after="283"/>
              <w:jc w:val="center"/>
              <w:rPr>
                <w:rFonts w:ascii="Arial" w:hAnsi="Arial"/>
                <w:sz w:val="15"/>
              </w:rPr>
            </w:pPr>
            <w:r>
              <w:rPr>
                <w:rFonts w:ascii="Arial" w:hAnsi="Arial"/>
                <w:sz w:val="15"/>
              </w:rPr>
              <w:t>Threshold</w:t>
            </w:r>
          </w:p>
        </w:tc>
        <w:tc>
          <w:tcPr>
            <w:tcW w:w="912" w:type="dxa"/>
            <w:tcBorders>
              <w:bottom w:val="single" w:sz="12" w:space="0" w:color="1A2343"/>
            </w:tcBorders>
            <w:shd w:fill="auto" w:val="clear"/>
            <w:vAlign w:val="center"/>
          </w:tcPr>
          <w:p>
            <w:pPr>
              <w:pStyle w:val="TableContents"/>
              <w:spacing w:before="0" w:after="283"/>
              <w:jc w:val="center"/>
              <w:rPr>
                <w:rFonts w:ascii="Arial" w:hAnsi="Arial"/>
                <w:sz w:val="15"/>
              </w:rPr>
            </w:pPr>
            <w:r>
              <w:rPr>
                <w:rFonts w:ascii="Arial" w:hAnsi="Arial"/>
                <w:sz w:val="15"/>
              </w:rPr>
              <w:t>Target</w:t>
            </w:r>
          </w:p>
        </w:tc>
        <w:tc>
          <w:tcPr>
            <w:tcW w:w="1296" w:type="dxa"/>
            <w:tcBorders>
              <w:bottom w:val="single" w:sz="12" w:space="0" w:color="1A2343"/>
            </w:tcBorders>
            <w:shd w:fill="auto" w:val="clear"/>
            <w:vAlign w:val="center"/>
          </w:tcPr>
          <w:p>
            <w:pPr>
              <w:pStyle w:val="TableContents"/>
              <w:spacing w:before="0" w:after="283"/>
              <w:jc w:val="center"/>
              <w:rPr>
                <w:rFonts w:ascii="Arial" w:hAnsi="Arial"/>
                <w:sz w:val="15"/>
              </w:rPr>
            </w:pPr>
            <w:r>
              <w:rPr>
                <w:rFonts w:ascii="Arial" w:hAnsi="Arial"/>
                <w:sz w:val="15"/>
              </w:rPr>
              <w:t>Maximum</w:t>
            </w:r>
          </w:p>
        </w:tc>
      </w:tr>
      <w:tr>
        <w:trPr/>
        <w:tc>
          <w:tcPr>
            <w:tcW w:w="4510" w:type="dxa"/>
            <w:tcBorders>
              <w:bottom w:val="single" w:sz="8" w:space="0" w:color="5B5975"/>
            </w:tcBorders>
            <w:shd w:fill="auto" w:val="clear"/>
            <w:tcMar>
              <w:bottom w:w="28" w:type="dxa"/>
            </w:tcMar>
            <w:vAlign w:val="center"/>
          </w:tcPr>
          <w:p>
            <w:pPr>
              <w:pStyle w:val="TableContents"/>
              <w:spacing w:before="0" w:after="0"/>
              <w:jc w:val="left"/>
              <w:rPr/>
            </w:pPr>
            <w:r>
              <w:rPr>
                <w:rFonts w:ascii="Arial" w:hAnsi="Arial"/>
                <w:b/>
                <w:color w:val="1A2343"/>
                <w:sz w:val="20"/>
              </w:rPr>
              <w:t>Normalized FFO per Share</w:t>
            </w:r>
            <w:r>
              <w:rPr/>
              <w:t xml:space="preserve"> </w:t>
            </w:r>
          </w:p>
          <w:p>
            <w:pPr>
              <w:pStyle w:val="TableContents"/>
              <w:spacing w:before="0" w:after="0"/>
              <w:ind w:left="0" w:right="0" w:hanging="290"/>
              <w:jc w:val="left"/>
              <w:rPr/>
            </w:pPr>
            <w:r>
              <w:rPr/>
              <w:t>●</w:t>
            </w:r>
            <w:r>
              <w:rPr>
                <w:rFonts w:ascii="Arial" w:hAnsi="Arial"/>
                <w:sz w:val="20"/>
              </w:rPr>
              <w:t>Widely-used non-GAAP measure of earnings performance for REITs, used both by investors and our management, and a key financial measure for which we provide guidance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28" w:type="dxa"/>
            </w:tcMar>
            <w:vAlign w:val="center"/>
          </w:tcPr>
          <w:p>
            <w:pPr>
              <w:pStyle w:val="TableContents"/>
              <w:spacing w:before="0" w:after="283"/>
              <w:jc w:val="center"/>
              <w:rPr>
                <w:rFonts w:ascii="Arial" w:hAnsi="Arial"/>
                <w:sz w:val="20"/>
              </w:rPr>
            </w:pPr>
            <w:r>
              <w:rPr>
                <w:rFonts w:ascii="Arial" w:hAnsi="Arial"/>
                <w:sz w:val="20"/>
              </w:rPr>
              <w:t>30%</w:t>
            </w:r>
          </w:p>
        </w:tc>
        <w:tc>
          <w:tcPr>
            <w:tcW w:w="799" w:type="dxa"/>
            <w:tcBorders>
              <w:bottom w:val="single" w:sz="8" w:space="0" w:color="5B5975"/>
            </w:tcBorders>
            <w:shd w:fill="auto" w:val="clear"/>
            <w:tcMar>
              <w:bottom w:w="28" w:type="dxa"/>
            </w:tcMar>
            <w:vAlign w:val="center"/>
          </w:tcPr>
          <w:p>
            <w:pPr>
              <w:pStyle w:val="TableContents"/>
              <w:spacing w:before="0" w:after="283"/>
              <w:jc w:val="center"/>
              <w:rPr>
                <w:rFonts w:ascii="Arial" w:hAnsi="Arial"/>
                <w:sz w:val="20"/>
              </w:rPr>
            </w:pPr>
            <w:r>
              <w:rPr>
                <w:rFonts w:ascii="Arial" w:hAnsi="Arial"/>
                <w:sz w:val="20"/>
              </w:rPr>
              <w:t>$6.85</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586" w:type="dxa"/>
            <w:gridSpan w:val="3"/>
            <w:tcBorders>
              <w:bottom w:val="single" w:sz="8" w:space="0" w:color="5B5975"/>
            </w:tcBorders>
            <w:shd w:fill="auto" w:val="clear"/>
            <w:tcMar>
              <w:bottom w:w="28" w:type="dxa"/>
            </w:tcMar>
            <w:vAlign w:val="center"/>
          </w:tcPr>
          <w:p>
            <w:pPr>
              <w:pStyle w:val="TableContents"/>
              <w:spacing w:before="0" w:after="283"/>
              <w:jc w:val="center"/>
              <w:rPr/>
            </w:pPr>
            <w:r>
              <w:rPr/>
              <w:drawing>
                <wp:inline distT="0" distB="0" distL="0" distR="0">
                  <wp:extent cx="2266950" cy="476250"/>
                  <wp:effectExtent l="0" t="0" r="0" b="0"/>
                  <wp:docPr id="441"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308" descr=""/>
                          <pic:cNvPicPr>
                            <a:picLocks noChangeAspect="1" noChangeArrowheads="1"/>
                          </pic:cNvPicPr>
                        </pic:nvPicPr>
                        <pic:blipFill>
                          <a:blip r:embed="rId309"/>
                          <a:srcRect l="-444" t="-2116" r="-444" b="-2116"/>
                          <a:stretch>
                            <a:fillRect/>
                          </a:stretch>
                        </pic:blipFill>
                        <pic:spPr bwMode="auto">
                          <a:xfrm>
                            <a:off x="0" y="0"/>
                            <a:ext cx="2266950" cy="476250"/>
                          </a:xfrm>
                          <a:prstGeom prst="rect">
                            <a:avLst/>
                          </a:prstGeom>
                          <a:ln w="635">
                            <a:solidFill>
                              <a:srgbClr val="000000"/>
                            </a:solidFill>
                          </a:ln>
                        </pic:spPr>
                      </pic:pic>
                    </a:graphicData>
                  </a:graphic>
                </wp:inline>
              </w:drawing>
            </w:r>
          </w:p>
        </w:tc>
      </w:tr>
      <w:tr>
        <w:trPr/>
        <w:tc>
          <w:tcPr>
            <w:tcW w:w="4510" w:type="dxa"/>
            <w:tcBorders>
              <w:bottom w:val="single" w:sz="8" w:space="0" w:color="5B5975"/>
            </w:tcBorders>
            <w:shd w:fill="auto" w:val="clear"/>
            <w:tcMar>
              <w:bottom w:w="28" w:type="dxa"/>
            </w:tcMar>
            <w:vAlign w:val="center"/>
          </w:tcPr>
          <w:p>
            <w:pPr>
              <w:pStyle w:val="TableContents"/>
              <w:spacing w:before="0" w:after="0"/>
              <w:jc w:val="left"/>
              <w:rPr/>
            </w:pPr>
            <w:r>
              <w:rPr>
                <w:rFonts w:ascii="Arial" w:hAnsi="Arial"/>
                <w:b/>
                <w:color w:val="1A2343"/>
                <w:sz w:val="20"/>
              </w:rPr>
              <w:t>Annual Same Store Cash NOI Growth</w:t>
            </w:r>
            <w:r>
              <w:rPr>
                <w:rFonts w:ascii="Arial" w:hAnsi="Arial"/>
                <w:b/>
                <w:color w:val="1A2343"/>
                <w:position w:val="7"/>
                <w:sz w:val="16"/>
                <w:sz w:val="20"/>
              </w:rPr>
              <w:t>(2)</w:t>
            </w:r>
            <w:r>
              <w:rPr/>
              <w:t xml:space="preserve"> </w:t>
            </w:r>
          </w:p>
          <w:p>
            <w:pPr>
              <w:pStyle w:val="TableContents"/>
              <w:spacing w:before="0" w:after="0"/>
              <w:ind w:left="0" w:right="0" w:hanging="290"/>
              <w:jc w:val="left"/>
              <w:rPr/>
            </w:pPr>
            <w:r>
              <w:rPr/>
              <w:t>●</w:t>
            </w:r>
            <w:r>
              <w:rPr>
                <w:rFonts w:ascii="Arial" w:hAnsi="Arial"/>
                <w:sz w:val="20"/>
              </w:rPr>
              <w:t>A key metric used in commercial real estate to evaluate the operating performance of properties. Same-store cash NOI compares the operating performance of the properties owned by us in a similar manner in both reporting periods (year over year)</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28" w:type="dxa"/>
            </w:tcMar>
            <w:vAlign w:val="center"/>
          </w:tcPr>
          <w:p>
            <w:pPr>
              <w:pStyle w:val="TableContents"/>
              <w:spacing w:before="0" w:after="283"/>
              <w:jc w:val="center"/>
              <w:rPr>
                <w:rFonts w:ascii="Arial" w:hAnsi="Arial"/>
                <w:sz w:val="20"/>
              </w:rPr>
            </w:pPr>
            <w:r>
              <w:rPr>
                <w:rFonts w:ascii="Arial" w:hAnsi="Arial"/>
                <w:sz w:val="20"/>
              </w:rPr>
              <w:t>30%</w:t>
            </w:r>
          </w:p>
        </w:tc>
        <w:tc>
          <w:tcPr>
            <w:tcW w:w="799" w:type="dxa"/>
            <w:tcBorders>
              <w:bottom w:val="single" w:sz="8" w:space="0" w:color="5B5975"/>
            </w:tcBorders>
            <w:shd w:fill="auto" w:val="clear"/>
            <w:tcMar>
              <w:bottom w:w="28" w:type="dxa"/>
            </w:tcMar>
            <w:vAlign w:val="center"/>
          </w:tcPr>
          <w:p>
            <w:pPr>
              <w:pStyle w:val="TableContents"/>
              <w:spacing w:before="0" w:after="283"/>
              <w:jc w:val="center"/>
              <w:rPr>
                <w:rFonts w:ascii="Arial" w:hAnsi="Arial"/>
                <w:sz w:val="20"/>
              </w:rPr>
            </w:pPr>
            <w:r>
              <w:rPr>
                <w:rFonts w:ascii="Arial" w:hAnsi="Arial"/>
                <w:sz w:val="20"/>
              </w:rPr>
              <w:t>4.0% - 5.0%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586" w:type="dxa"/>
            <w:gridSpan w:val="3"/>
            <w:tcBorders>
              <w:bottom w:val="single" w:sz="8" w:space="0" w:color="5B5975"/>
            </w:tcBorders>
            <w:shd w:fill="auto" w:val="clear"/>
            <w:tcMar>
              <w:bottom w:w="28" w:type="dxa"/>
            </w:tcMar>
            <w:vAlign w:val="center"/>
          </w:tcPr>
          <w:p>
            <w:pPr>
              <w:pStyle w:val="TableContents"/>
              <w:spacing w:before="0" w:after="283"/>
              <w:jc w:val="center"/>
              <w:rPr/>
            </w:pPr>
            <w:r>
              <w:rPr/>
              <w:drawing>
                <wp:inline distT="0" distB="0" distL="0" distR="0">
                  <wp:extent cx="2276475" cy="466725"/>
                  <wp:effectExtent l="0" t="0" r="0" b="0"/>
                  <wp:docPr id="442"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309" descr=""/>
                          <pic:cNvPicPr>
                            <a:picLocks noChangeAspect="1" noChangeArrowheads="1"/>
                          </pic:cNvPicPr>
                        </pic:nvPicPr>
                        <pic:blipFill>
                          <a:blip r:embed="rId310"/>
                          <a:srcRect l="-442" t="-2160" r="-442" b="-2160"/>
                          <a:stretch>
                            <a:fillRect/>
                          </a:stretch>
                        </pic:blipFill>
                        <pic:spPr bwMode="auto">
                          <a:xfrm>
                            <a:off x="0" y="0"/>
                            <a:ext cx="2276475" cy="466725"/>
                          </a:xfrm>
                          <a:prstGeom prst="rect">
                            <a:avLst/>
                          </a:prstGeom>
                          <a:ln w="635">
                            <a:solidFill>
                              <a:srgbClr val="000000"/>
                            </a:solidFill>
                          </a:ln>
                        </pic:spPr>
                      </pic:pic>
                    </a:graphicData>
                  </a:graphic>
                </wp:inline>
              </w:drawing>
            </w:r>
          </w:p>
        </w:tc>
      </w:tr>
      <w:tr>
        <w:trPr/>
        <w:tc>
          <w:tcPr>
            <w:tcW w:w="4510" w:type="dxa"/>
            <w:tcBorders>
              <w:bottom w:val="single" w:sz="8" w:space="0" w:color="5B5975"/>
            </w:tcBorders>
            <w:shd w:fill="auto" w:val="clear"/>
            <w:tcMar>
              <w:bottom w:w="28" w:type="dxa"/>
            </w:tcMar>
            <w:vAlign w:val="center"/>
          </w:tcPr>
          <w:p>
            <w:pPr>
              <w:pStyle w:val="TableContents"/>
              <w:spacing w:before="0" w:after="0"/>
              <w:jc w:val="left"/>
              <w:rPr/>
            </w:pPr>
            <w:r>
              <w:rPr>
                <w:rFonts w:ascii="Arial" w:hAnsi="Arial"/>
                <w:b/>
                <w:color w:val="1A2343"/>
                <w:sz w:val="20"/>
              </w:rPr>
              <w:t>Dividend Growth</w:t>
            </w:r>
            <w:r>
              <w:rPr/>
              <w:t xml:space="preserve"> </w:t>
            </w:r>
          </w:p>
          <w:p>
            <w:pPr>
              <w:pStyle w:val="TableContents"/>
              <w:spacing w:before="0" w:after="0"/>
              <w:ind w:left="0" w:right="0" w:hanging="290"/>
              <w:jc w:val="left"/>
              <w:rPr/>
            </w:pPr>
            <w:r>
              <w:rPr/>
              <w:t>●</w:t>
            </w:r>
            <w:r>
              <w:rPr>
                <w:rFonts w:ascii="Arial" w:hAnsi="Arial"/>
                <w:sz w:val="20"/>
              </w:rPr>
              <w:t>Represents a key measure of the income we return to stockholders each year</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28" w:type="dxa"/>
            </w:tcMar>
            <w:vAlign w:val="center"/>
          </w:tcPr>
          <w:p>
            <w:pPr>
              <w:pStyle w:val="TableContents"/>
              <w:spacing w:before="0" w:after="283"/>
              <w:jc w:val="center"/>
              <w:rPr>
                <w:rFonts w:ascii="Arial" w:hAnsi="Arial"/>
                <w:sz w:val="20"/>
              </w:rPr>
            </w:pPr>
            <w:r>
              <w:rPr>
                <w:rFonts w:ascii="Arial" w:hAnsi="Arial"/>
                <w:sz w:val="20"/>
              </w:rPr>
              <w:t>30%</w:t>
            </w:r>
          </w:p>
        </w:tc>
        <w:tc>
          <w:tcPr>
            <w:tcW w:w="799" w:type="dxa"/>
            <w:tcBorders>
              <w:bottom w:val="single" w:sz="8" w:space="0" w:color="5B5975"/>
            </w:tcBorders>
            <w:shd w:fill="auto" w:val="clear"/>
            <w:tcMar>
              <w:bottom w:w="28" w:type="dxa"/>
            </w:tcMar>
            <w:vAlign w:val="center"/>
          </w:tcPr>
          <w:p>
            <w:pPr>
              <w:pStyle w:val="TableContents"/>
              <w:spacing w:before="0" w:after="283"/>
              <w:jc w:val="center"/>
              <w:rPr>
                <w:rFonts w:ascii="Arial" w:hAnsi="Arial"/>
                <w:sz w:val="20"/>
              </w:rPr>
            </w:pPr>
            <w:r>
              <w:rPr>
                <w:rFonts w:ascii="Arial" w:hAnsi="Arial"/>
                <w:sz w:val="20"/>
              </w:rPr>
              <w:t>N/A</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586" w:type="dxa"/>
            <w:gridSpan w:val="3"/>
            <w:tcBorders>
              <w:bottom w:val="single" w:sz="8" w:space="0" w:color="5B5975"/>
            </w:tcBorders>
            <w:shd w:fill="auto" w:val="clear"/>
            <w:tcMar>
              <w:bottom w:w="28" w:type="dxa"/>
            </w:tcMar>
            <w:vAlign w:val="center"/>
          </w:tcPr>
          <w:p>
            <w:pPr>
              <w:pStyle w:val="TableContents"/>
              <w:spacing w:before="0" w:after="283"/>
              <w:jc w:val="center"/>
              <w:rPr/>
            </w:pPr>
            <w:r>
              <w:rPr/>
              <w:drawing>
                <wp:inline distT="0" distB="0" distL="0" distR="0">
                  <wp:extent cx="2257425" cy="466725"/>
                  <wp:effectExtent l="0" t="0" r="0" b="0"/>
                  <wp:docPr id="443"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310" descr=""/>
                          <pic:cNvPicPr>
                            <a:picLocks noChangeAspect="1" noChangeArrowheads="1"/>
                          </pic:cNvPicPr>
                        </pic:nvPicPr>
                        <pic:blipFill>
                          <a:blip r:embed="rId311"/>
                          <a:srcRect l="-446" t="-2160" r="-446" b="-2160"/>
                          <a:stretch>
                            <a:fillRect/>
                          </a:stretch>
                        </pic:blipFill>
                        <pic:spPr bwMode="auto">
                          <a:xfrm>
                            <a:off x="0" y="0"/>
                            <a:ext cx="2257425" cy="466725"/>
                          </a:xfrm>
                          <a:prstGeom prst="rect">
                            <a:avLst/>
                          </a:prstGeom>
                          <a:ln w="635">
                            <a:solidFill>
                              <a:srgbClr val="000000"/>
                            </a:solidFill>
                          </a:ln>
                        </pic:spPr>
                      </pic:pic>
                    </a:graphicData>
                  </a:graphic>
                </wp:inline>
              </w:drawing>
            </w:r>
          </w:p>
        </w:tc>
      </w:tr>
      <w:tr>
        <w:trPr/>
        <w:tc>
          <w:tcPr>
            <w:tcW w:w="4510" w:type="dxa"/>
            <w:tcBorders>
              <w:bottom w:val="single" w:sz="12" w:space="0" w:color="1A2343"/>
            </w:tcBorders>
            <w:shd w:fill="auto" w:val="clear"/>
            <w:tcMar>
              <w:bottom w:w="28" w:type="dxa"/>
            </w:tcMar>
            <w:vAlign w:val="center"/>
          </w:tcPr>
          <w:p>
            <w:pPr>
              <w:pStyle w:val="TableContents"/>
              <w:spacing w:before="0" w:after="0"/>
              <w:jc w:val="left"/>
              <w:rPr/>
            </w:pPr>
            <w:r>
              <w:rPr>
                <w:rFonts w:ascii="Arial" w:hAnsi="Arial"/>
                <w:b/>
                <w:color w:val="1A2343"/>
                <w:sz w:val="20"/>
              </w:rPr>
              <w:t>G&amp;A Expense (in millions)</w:t>
            </w:r>
            <w:r>
              <w:rPr/>
              <w:t xml:space="preserve"> </w:t>
            </w:r>
          </w:p>
          <w:p>
            <w:pPr>
              <w:pStyle w:val="TableContents"/>
              <w:spacing w:before="0" w:after="0"/>
              <w:ind w:left="0" w:right="0" w:hanging="290"/>
              <w:jc w:val="left"/>
              <w:rPr/>
            </w:pPr>
            <w:r>
              <w:rPr/>
              <w:t>●</w:t>
            </w:r>
            <w:r>
              <w:rPr>
                <w:rFonts w:ascii="Arial" w:hAnsi="Arial"/>
                <w:sz w:val="20"/>
              </w:rPr>
              <w:t>Represents corporate overhead and is a key efficiency metric impacting the overall profitability and value of the Company</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10" w:type="dxa"/>
            <w:tcBorders>
              <w:bottom w:val="single" w:sz="12" w:space="0" w:color="1A2343"/>
            </w:tcBorders>
            <w:shd w:fill="auto" w:val="clear"/>
            <w:tcMar>
              <w:bottom w:w="28" w:type="dxa"/>
            </w:tcMar>
            <w:vAlign w:val="center"/>
          </w:tcPr>
          <w:p>
            <w:pPr>
              <w:pStyle w:val="TableContents"/>
              <w:spacing w:before="0" w:after="283"/>
              <w:jc w:val="center"/>
              <w:rPr>
                <w:rFonts w:ascii="Arial" w:hAnsi="Arial"/>
                <w:sz w:val="20"/>
              </w:rPr>
            </w:pPr>
            <w:r>
              <w:rPr>
                <w:rFonts w:ascii="Arial" w:hAnsi="Arial"/>
                <w:sz w:val="20"/>
              </w:rPr>
              <w:t>10%</w:t>
            </w:r>
          </w:p>
        </w:tc>
        <w:tc>
          <w:tcPr>
            <w:tcW w:w="799" w:type="dxa"/>
            <w:tcBorders>
              <w:bottom w:val="single" w:sz="12" w:space="0" w:color="1A2343"/>
            </w:tcBorders>
            <w:shd w:fill="auto" w:val="clear"/>
            <w:tcMar>
              <w:bottom w:w="28" w:type="dxa"/>
            </w:tcMar>
            <w:vAlign w:val="center"/>
          </w:tcPr>
          <w:p>
            <w:pPr>
              <w:pStyle w:val="TableContents"/>
              <w:spacing w:before="0" w:after="283"/>
              <w:jc w:val="center"/>
              <w:rPr>
                <w:rFonts w:ascii="Arial" w:hAnsi="Arial"/>
                <w:sz w:val="20"/>
              </w:rPr>
            </w:pPr>
            <w:r>
              <w:rPr>
                <w:rFonts w:ascii="Arial" w:hAnsi="Arial"/>
                <w:sz w:val="20"/>
              </w:rPr>
              <w:t>$95.90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586" w:type="dxa"/>
            <w:gridSpan w:val="3"/>
            <w:tcBorders>
              <w:bottom w:val="single" w:sz="12" w:space="0" w:color="1A2343"/>
            </w:tcBorders>
            <w:shd w:fill="auto" w:val="clear"/>
            <w:tcMar>
              <w:bottom w:w="28" w:type="dxa"/>
            </w:tcMar>
            <w:vAlign w:val="center"/>
          </w:tcPr>
          <w:p>
            <w:pPr>
              <w:pStyle w:val="TableContents"/>
              <w:spacing w:before="0" w:after="283"/>
              <w:jc w:val="center"/>
              <w:rPr/>
            </w:pPr>
            <w:r>
              <w:rPr/>
              <w:drawing>
                <wp:inline distT="0" distB="0" distL="0" distR="0">
                  <wp:extent cx="2247900" cy="476250"/>
                  <wp:effectExtent l="0" t="0" r="0" b="0"/>
                  <wp:docPr id="444"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311" descr=""/>
                          <pic:cNvPicPr>
                            <a:picLocks noChangeAspect="1" noChangeArrowheads="1"/>
                          </pic:cNvPicPr>
                        </pic:nvPicPr>
                        <pic:blipFill>
                          <a:blip r:embed="rId312"/>
                          <a:srcRect l="-448" t="-2116" r="-448" b="-2116"/>
                          <a:stretch>
                            <a:fillRect/>
                          </a:stretch>
                        </pic:blipFill>
                        <pic:spPr bwMode="auto">
                          <a:xfrm>
                            <a:off x="0" y="0"/>
                            <a:ext cx="2247900" cy="476250"/>
                          </a:xfrm>
                          <a:prstGeom prst="rect">
                            <a:avLst/>
                          </a:prstGeom>
                          <a:ln w="635">
                            <a:solidFill>
                              <a:srgbClr val="000000"/>
                            </a:solidFill>
                          </a:ln>
                        </pic:spPr>
                      </pic:pic>
                    </a:graphicData>
                  </a:graphic>
                </wp:inline>
              </w:drawing>
            </w:r>
          </w:p>
        </w:tc>
      </w:tr>
    </w:tbl>
    <w:tbl>
      <w:tblPr>
        <w:tblW w:w="10205" w:type="dxa"/>
        <w:jc w:val="left"/>
        <w:tblInd w:w="0" w:type="dxa"/>
        <w:tblCellMar>
          <w:top w:w="0" w:type="dxa"/>
          <w:left w:w="0" w:type="dxa"/>
          <w:bottom w:w="0" w:type="dxa"/>
          <w:right w:w="0" w:type="dxa"/>
        </w:tblCellMar>
      </w:tblPr>
      <w:tblGrid>
        <w:gridCol w:w="166"/>
        <w:gridCol w:w="10039"/>
      </w:tblGrid>
      <w:tr>
        <w:trPr/>
        <w:tc>
          <w:tcPr>
            <w:tcW w:w="166"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10039" w:type="dxa"/>
            <w:tcBorders/>
            <w:shd w:fill="auto" w:val="clear"/>
            <w:vAlign w:val="center"/>
          </w:tcPr>
          <w:p>
            <w:pPr>
              <w:pStyle w:val="TableContents"/>
              <w:spacing w:before="0" w:after="283"/>
              <w:jc w:val="left"/>
              <w:rPr>
                <w:rFonts w:ascii="Arial" w:hAnsi="Arial"/>
                <w:sz w:val="15"/>
              </w:rPr>
            </w:pPr>
            <w:r>
              <w:rPr>
                <w:rFonts w:ascii="Arial" w:hAnsi="Arial"/>
                <w:sz w:val="15"/>
              </w:rPr>
              <w:t>Payouts and determinations under the annual cash bonus program were initially made in December 2022 based on a combination of actual results through that point in time and estimates of full year results. Because actual full year performance for 2021 and 2022 differed from estimated performance, the Committee adjusted 2022 cash bonus payments in January 2023, with Mr. Holliday receiving 50% of the net adjustment in cash and 50% in LTIP units and Mr. Mathias receiving 100% of the net adjustment in the form of LTIP units.</w:t>
            </w:r>
          </w:p>
        </w:tc>
      </w:tr>
      <w:tr>
        <w:trPr/>
        <w:tc>
          <w:tcPr>
            <w:tcW w:w="166" w:type="dxa"/>
            <w:tcBorders/>
            <w:shd w:fill="auto" w:val="clear"/>
            <w:vAlign w:val="center"/>
          </w:tcPr>
          <w:p>
            <w:pPr>
              <w:pStyle w:val="TableContents"/>
              <w:spacing w:before="0" w:after="283"/>
              <w:jc w:val="left"/>
              <w:rPr>
                <w:rFonts w:ascii="Arial" w:hAnsi="Arial"/>
                <w:sz w:val="15"/>
              </w:rPr>
            </w:pPr>
            <w:r>
              <w:rPr>
                <w:rFonts w:ascii="Arial" w:hAnsi="Arial"/>
                <w:sz w:val="15"/>
              </w:rPr>
              <w:t>(2)</w:t>
            </w:r>
          </w:p>
        </w:tc>
        <w:tc>
          <w:tcPr>
            <w:tcW w:w="10039" w:type="dxa"/>
            <w:tcBorders/>
            <w:shd w:fill="auto" w:val="clear"/>
            <w:vAlign w:val="center"/>
          </w:tcPr>
          <w:p>
            <w:pPr>
              <w:pStyle w:val="TableContents"/>
              <w:spacing w:before="0" w:after="283"/>
              <w:jc w:val="left"/>
              <w:rPr>
                <w:rFonts w:ascii="Arial" w:hAnsi="Arial"/>
                <w:sz w:val="15"/>
              </w:rPr>
            </w:pPr>
            <w:r>
              <w:rPr>
                <w:rFonts w:ascii="Arial" w:hAnsi="Arial"/>
                <w:sz w:val="15"/>
              </w:rPr>
              <w:t>Excluding lease termination income.</w:t>
            </w:r>
          </w:p>
        </w:tc>
      </w:tr>
    </w:tbl>
    <w:p>
      <w:pPr>
        <w:pStyle w:val="TextBody"/>
        <w:spacing w:before="240" w:after="283"/>
        <w:jc w:val="left"/>
        <w:rPr>
          <w:rFonts w:ascii="Arial" w:hAnsi="Arial"/>
          <w:sz w:val="20"/>
        </w:rPr>
      </w:pPr>
      <w:r>
        <w:rPr>
          <w:rFonts w:ascii="Arial" w:hAnsi="Arial"/>
          <w:sz w:val="20"/>
        </w:rPr>
        <w:t>Based on our performance relative to these formulaic goals, our CEO and President earned the following amounts of annual cash bonus:</w:t>
      </w:r>
    </w:p>
    <w:tbl>
      <w:tblPr>
        <w:tblW w:w="5634" w:type="dxa"/>
        <w:jc w:val="left"/>
        <w:tblInd w:w="0" w:type="dxa"/>
        <w:tblCellMar>
          <w:top w:w="0" w:type="dxa"/>
          <w:left w:w="0" w:type="dxa"/>
          <w:bottom w:w="40" w:type="dxa"/>
          <w:right w:w="0" w:type="dxa"/>
        </w:tblCellMar>
      </w:tblPr>
      <w:tblGrid>
        <w:gridCol w:w="1505"/>
        <w:gridCol w:w="300"/>
        <w:gridCol w:w="137"/>
        <w:gridCol w:w="962"/>
        <w:gridCol w:w="300"/>
        <w:gridCol w:w="920"/>
        <w:gridCol w:w="300"/>
        <w:gridCol w:w="125"/>
        <w:gridCol w:w="1085"/>
      </w:tblGrid>
      <w:tr>
        <w:trPr/>
        <w:tc>
          <w:tcPr>
            <w:tcW w:w="1505" w:type="dxa"/>
            <w:tcBorders>
              <w:bottom w:val="single" w:sz="12" w:space="0" w:color="1A2343"/>
            </w:tcBorders>
            <w:shd w:fill="auto" w:val="clear"/>
            <w:vAlign w:val="center"/>
          </w:tcPr>
          <w:p>
            <w:pPr>
              <w:pStyle w:val="TableContents"/>
              <w:spacing w:before="0" w:after="283"/>
              <w:jc w:val="left"/>
              <w:rPr>
                <w:rFonts w:ascii="Arial" w:hAnsi="Arial"/>
                <w:sz w:val="15"/>
              </w:rPr>
            </w:pPr>
            <w:r>
              <w:rPr>
                <w:rFonts w:ascii="Arial" w:hAnsi="Arial"/>
                <w:sz w:val="15"/>
              </w:rPr>
              <w:t>Executive</w:t>
            </w:r>
          </w:p>
        </w:tc>
        <w:tc>
          <w:tcPr>
            <w:tcW w:w="300"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1099" w:type="dxa"/>
            <w:gridSpan w:val="2"/>
            <w:tcBorders>
              <w:bottom w:val="single" w:sz="12" w:space="0" w:color="1A2343"/>
            </w:tcBorders>
            <w:shd w:fill="auto" w:val="clear"/>
            <w:vAlign w:val="center"/>
          </w:tcPr>
          <w:p>
            <w:pPr>
              <w:pStyle w:val="TableContents"/>
              <w:spacing w:before="0" w:after="283"/>
              <w:jc w:val="right"/>
              <w:rPr>
                <w:rFonts w:ascii="Arial" w:hAnsi="Arial"/>
                <w:sz w:val="15"/>
              </w:rPr>
            </w:pPr>
            <w:r>
              <w:rPr>
                <w:rFonts w:ascii="Arial" w:hAnsi="Arial"/>
                <w:sz w:val="15"/>
              </w:rPr>
              <w:t>Target 2022</w:t>
              <w:br/>
              <w:t>Cash Bonus ($)</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20" w:type="dxa"/>
            <w:tcBorders>
              <w:bottom w:val="single" w:sz="12" w:space="0" w:color="1A2343"/>
            </w:tcBorders>
            <w:shd w:fill="auto" w:val="clear"/>
            <w:vAlign w:val="center"/>
          </w:tcPr>
          <w:p>
            <w:pPr>
              <w:pStyle w:val="TableContents"/>
              <w:spacing w:before="0" w:after="283"/>
              <w:jc w:val="right"/>
              <w:rPr>
                <w:rFonts w:ascii="Arial" w:hAnsi="Arial"/>
                <w:sz w:val="15"/>
              </w:rPr>
            </w:pPr>
            <w:r>
              <w:rPr>
                <w:rFonts w:ascii="Arial" w:hAnsi="Arial"/>
                <w:sz w:val="15"/>
              </w:rPr>
              <w:t>Actual 2022</w:t>
              <w:br/>
              <w:t>Cash Bonus</w:t>
              <w:br/>
              <w:t>(% of Target)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10" w:type="dxa"/>
            <w:gridSpan w:val="2"/>
            <w:tcBorders>
              <w:bottom w:val="single" w:sz="12" w:space="0" w:color="1A2343"/>
            </w:tcBorders>
            <w:shd w:fill="auto" w:val="clear"/>
            <w:vAlign w:val="center"/>
          </w:tcPr>
          <w:p>
            <w:pPr>
              <w:pStyle w:val="TableContents"/>
              <w:spacing w:before="0" w:after="283"/>
              <w:jc w:val="right"/>
              <w:rPr>
                <w:rFonts w:ascii="Arial" w:hAnsi="Arial"/>
                <w:sz w:val="15"/>
              </w:rPr>
            </w:pPr>
            <w:r>
              <w:rPr>
                <w:rFonts w:ascii="Arial" w:hAnsi="Arial"/>
                <w:sz w:val="15"/>
              </w:rPr>
              <w:t>Actual 2022</w:t>
              <w:br/>
              <w:t>Cash Bonus ($)</w:t>
            </w:r>
          </w:p>
        </w:tc>
      </w:tr>
      <w:tr>
        <w:trPr/>
        <w:tc>
          <w:tcPr>
            <w:tcW w:w="150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Marc Holliday</w:t>
            </w:r>
          </w:p>
        </w:tc>
        <w:tc>
          <w:tcPr>
            <w:tcW w:w="300" w:type="dxa"/>
            <w:tcBorders>
              <w:bottom w:val="single" w:sz="8" w:space="0" w:color="5B5975"/>
            </w:tcBorders>
            <w:shd w:fill="auto" w:val="clear"/>
            <w:tcMar>
              <w:bottom w:w="28" w:type="dxa"/>
            </w:tcMar>
            <w:vAlign w:val="center"/>
          </w:tcPr>
          <w:p>
            <w:pPr>
              <w:pStyle w:val="TableContents"/>
              <w:spacing w:before="0" w:after="283"/>
              <w:jc w:val="right"/>
              <w:rPr/>
            </w:pPr>
            <w:r>
              <w:rPr/>
              <w:t>     </w:t>
            </w:r>
          </w:p>
        </w:tc>
        <w:tc>
          <w:tcPr>
            <w:tcW w:w="137"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62"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2,500,000</w:t>
            </w:r>
          </w:p>
        </w:tc>
        <w:tc>
          <w:tcPr>
            <w:tcW w:w="300" w:type="dxa"/>
            <w:tcBorders/>
            <w:shd w:fill="auto" w:val="clear"/>
            <w:tcMar>
              <w:bottom w:w="0" w:type="dxa"/>
            </w:tcMar>
            <w:vAlign w:val="center"/>
          </w:tcPr>
          <w:p>
            <w:pPr>
              <w:pStyle w:val="TableContents"/>
              <w:spacing w:before="0" w:after="283"/>
              <w:jc w:val="right"/>
              <w:rPr/>
            </w:pPr>
            <w:r>
              <w:rPr/>
              <w:t>     </w:t>
            </w:r>
          </w:p>
        </w:tc>
        <w:tc>
          <w:tcPr>
            <w:tcW w:w="92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84.09%</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10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2,102,187</w:t>
            </w:r>
            <w:r>
              <w:rPr>
                <w:rFonts w:ascii="Arial" w:hAnsi="Arial"/>
                <w:position w:val="7"/>
                <w:sz w:val="16"/>
                <w:sz w:val="20"/>
              </w:rPr>
              <w:t>(1)</w:t>
            </w:r>
          </w:p>
        </w:tc>
      </w:tr>
      <w:tr>
        <w:trPr/>
        <w:tc>
          <w:tcPr>
            <w:tcW w:w="1505" w:type="dxa"/>
            <w:tcBorders>
              <w:bottom w:val="single" w:sz="12" w:space="0" w:color="1A2343"/>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Andrew Mathias</w:t>
            </w:r>
          </w:p>
        </w:tc>
        <w:tc>
          <w:tcPr>
            <w:tcW w:w="300"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c>
          <w:tcPr>
            <w:tcW w:w="137"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62"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1,662,500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2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81.89%</w:t>
            </w:r>
          </w:p>
        </w:tc>
        <w:tc>
          <w:tcPr>
            <w:tcW w:w="300" w:type="dxa"/>
            <w:tcBorders/>
            <w:shd w:fill="auto" w:val="clear"/>
            <w:tcMar>
              <w:bottom w:w="0" w:type="dxa"/>
            </w:tcMar>
            <w:vAlign w:val="center"/>
          </w:tcPr>
          <w:p>
            <w:pPr>
              <w:pStyle w:val="TableContents"/>
              <w:spacing w:before="0" w:after="283"/>
              <w:jc w:val="left"/>
              <w:rPr/>
            </w:pPr>
            <w:r>
              <w:rPr/>
              <w:t>     </w:t>
            </w:r>
          </w:p>
        </w:tc>
        <w:tc>
          <w:tcPr>
            <w:tcW w:w="12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108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1,361,469</w:t>
            </w:r>
            <w:r>
              <w:rPr>
                <w:rFonts w:ascii="Arial" w:hAnsi="Arial"/>
                <w:position w:val="7"/>
                <w:sz w:val="16"/>
                <w:sz w:val="20"/>
              </w:rPr>
              <w:t>(1)</w:t>
            </w:r>
          </w:p>
        </w:tc>
      </w:tr>
    </w:tbl>
    <w:tbl>
      <w:tblPr>
        <w:tblW w:w="10205" w:type="dxa"/>
        <w:jc w:val="left"/>
        <w:tblInd w:w="0" w:type="dxa"/>
        <w:tblCellMar>
          <w:top w:w="0" w:type="dxa"/>
          <w:left w:w="0" w:type="dxa"/>
          <w:bottom w:w="0" w:type="dxa"/>
          <w:right w:w="0" w:type="dxa"/>
        </w:tblCellMar>
      </w:tblPr>
      <w:tblGrid>
        <w:gridCol w:w="172"/>
        <w:gridCol w:w="10033"/>
      </w:tblGrid>
      <w:tr>
        <w:trPr/>
        <w:tc>
          <w:tcPr>
            <w:tcW w:w="172"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10033" w:type="dxa"/>
            <w:tcBorders/>
            <w:shd w:fill="auto" w:val="clear"/>
            <w:vAlign w:val="center"/>
          </w:tcPr>
          <w:p>
            <w:pPr>
              <w:pStyle w:val="TableContents"/>
              <w:spacing w:before="0" w:after="283"/>
              <w:jc w:val="left"/>
              <w:rPr>
                <w:rFonts w:ascii="Arial" w:hAnsi="Arial"/>
                <w:sz w:val="15"/>
              </w:rPr>
            </w:pPr>
            <w:r>
              <w:rPr>
                <w:rFonts w:ascii="Arial" w:hAnsi="Arial"/>
                <w:sz w:val="15"/>
              </w:rPr>
              <w:t>Includes a downward adjustment based on 2021 actual performance of $10,313 for Mr. Holliday and $8,906 for Mr. Mathias. On a formulaic basis for 2022, before giving effect to the downward adjustments on account of 2021 performance, Mr. Holliday earned a cash bonus of $2,112,500 and Mr. Mathias earned a cash bonus of $1,370,375.</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455" w:type="dxa"/>
        <w:jc w:val="left"/>
        <w:tblInd w:w="0" w:type="dxa"/>
        <w:tblCellMar>
          <w:top w:w="0" w:type="dxa"/>
          <w:left w:w="0" w:type="dxa"/>
          <w:bottom w:w="0" w:type="dxa"/>
          <w:right w:w="0" w:type="dxa"/>
        </w:tblCellMar>
      </w:tblPr>
      <w:tblGrid>
        <w:gridCol w:w="2165"/>
        <w:gridCol w:w="290"/>
      </w:tblGrid>
      <w:tr>
        <w:trPr/>
        <w:tc>
          <w:tcPr>
            <w:tcW w:w="2165" w:type="dxa"/>
            <w:tcBorders/>
            <w:shd w:fill="auto" w:val="clear"/>
            <w:vAlign w:val="center"/>
          </w:tcPr>
          <w:p>
            <w:pPr>
              <w:pStyle w:val="TableContents"/>
              <w:spacing w:before="0" w:after="283"/>
              <w:jc w:val="left"/>
              <w:rPr>
                <w:rFonts w:ascii="Arial" w:hAnsi="Arial"/>
                <w:b/>
                <w:sz w:val="15"/>
              </w:rPr>
            </w:pPr>
            <w:r>
              <w:rPr>
                <w:rFonts w:ascii="Arial" w:hAnsi="Arial"/>
                <w:b/>
                <w:sz w:val="15"/>
              </w:rPr>
              <w:t>EXECUTIVE COMPENSATION</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53</w:t>
            </w:r>
          </w:p>
        </w:tc>
      </w:tr>
    </w:tbl>
    <w:p>
      <w:pPr>
        <w:pStyle w:val="TextBody"/>
        <w:spacing w:before="240" w:after="283"/>
        <w:jc w:val="left"/>
        <w:rPr/>
      </w:pPr>
      <w:r>
        <w:rPr>
          <w:rStyle w:val="StrongEmphasis"/>
          <w:rFonts w:ascii="Arial" w:hAnsi="Arial"/>
          <w:color w:val="1A2343"/>
          <w:sz w:val="26"/>
        </w:rPr>
        <w:t xml:space="preserve">2022 Operational Component Performance Goals </w:t>
        <w:br/>
        <w:t>(50% of Annual Equity Award)</w:t>
      </w:r>
    </w:p>
    <w:p>
      <w:pPr>
        <w:pStyle w:val="TextBody"/>
        <w:jc w:val="left"/>
        <w:rPr>
          <w:rFonts w:ascii="Arial" w:hAnsi="Arial"/>
          <w:sz w:val="20"/>
        </w:rPr>
      </w:pPr>
      <w:r>
        <w:rPr>
          <w:rFonts w:ascii="Arial" w:hAnsi="Arial"/>
          <w:sz w:val="20"/>
        </w:rPr>
        <w:t>The operational component of our annual performance-based equity awards measures our performance against five objective criteria over a one-year performance period, which remain subject to an absolute TSR modifier (either up or down 12.5%) based on our absolute TSR performance over a three-year performance period.</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jc w:val="left"/>
              <w:rPr/>
            </w:pPr>
            <w:r>
              <w:rPr>
                <w:rStyle w:val="StrongEmphasis"/>
                <w:rFonts w:ascii="Arial" w:hAnsi="Arial"/>
                <w:sz w:val="20"/>
              </w:rPr>
              <w:t>The objective criteria used for 2022 were the same as for 2021, except that we added Liquidity as an additional measure for 2022, increasing the number of criteria from four to five, to better match the scope of the operational components to the scope of our business goals for the year.</w:t>
            </w:r>
          </w:p>
        </w:tc>
      </w:tr>
    </w:tbl>
    <w:p>
      <w:pPr>
        <w:pStyle w:val="TextBody"/>
        <w:spacing w:before="240" w:after="283"/>
        <w:jc w:val="left"/>
        <w:rPr>
          <w:rFonts w:ascii="Arial" w:hAnsi="Arial"/>
          <w:sz w:val="20"/>
        </w:rPr>
      </w:pPr>
      <w:r>
        <w:rPr>
          <w:rFonts w:ascii="Arial" w:hAnsi="Arial"/>
          <w:sz w:val="20"/>
        </w:rPr>
        <w:t>As of December 31, 2022, our one-year absolute TSR performance would have resulted in the maximum downward modifier of the initially earned operational awards.</w:t>
      </w:r>
    </w:p>
    <w:tbl>
      <w:tblPr>
        <w:tblW w:w="10205" w:type="dxa"/>
        <w:jc w:val="left"/>
        <w:tblInd w:w="0" w:type="dxa"/>
        <w:tblCellMar>
          <w:top w:w="0" w:type="dxa"/>
          <w:left w:w="0" w:type="dxa"/>
          <w:bottom w:w="40" w:type="dxa"/>
          <w:right w:w="0" w:type="dxa"/>
        </w:tblCellMar>
      </w:tblPr>
      <w:tblGrid>
        <w:gridCol w:w="4300"/>
        <w:gridCol w:w="300"/>
        <w:gridCol w:w="747"/>
        <w:gridCol w:w="300"/>
        <w:gridCol w:w="746"/>
        <w:gridCol w:w="300"/>
        <w:gridCol w:w="1018"/>
        <w:gridCol w:w="429"/>
        <w:gridCol w:w="673"/>
        <w:gridCol w:w="429"/>
        <w:gridCol w:w="963"/>
      </w:tblGrid>
      <w:tr>
        <w:trPr/>
        <w:tc>
          <w:tcPr>
            <w:tcW w:w="430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Performance Criteria / Reason Selected</w:t>
            </w:r>
          </w:p>
        </w:tc>
        <w:tc>
          <w:tcPr>
            <w:tcW w:w="300" w:type="dxa"/>
            <w:tcBorders/>
            <w:shd w:fill="auto" w:val="clear"/>
            <w:tcMar>
              <w:bottom w:w="0" w:type="dxa"/>
            </w:tcMar>
            <w:vAlign w:val="center"/>
          </w:tcPr>
          <w:p>
            <w:pPr>
              <w:pStyle w:val="TableContents"/>
              <w:spacing w:before="0" w:after="283"/>
              <w:jc w:val="center"/>
              <w:rPr/>
            </w:pPr>
            <w:r>
              <w:rPr/>
              <w:t>     </w:t>
            </w:r>
          </w:p>
        </w:tc>
        <w:tc>
          <w:tcPr>
            <w:tcW w:w="747" w:type="dxa"/>
            <w:tcBorders>
              <w:bottom w:val="single" w:sz="12" w:space="0" w:color="1A2343"/>
            </w:tcBorders>
            <w:shd w:fill="auto" w:val="clear"/>
            <w:vAlign w:val="center"/>
          </w:tcPr>
          <w:p>
            <w:pPr>
              <w:pStyle w:val="TableContents"/>
              <w:spacing w:before="0" w:after="283"/>
              <w:jc w:val="center"/>
              <w:rPr>
                <w:rFonts w:ascii="Arial" w:hAnsi="Arial"/>
                <w:color w:val="1A2343"/>
                <w:sz w:val="15"/>
              </w:rPr>
            </w:pPr>
            <w:r>
              <w:rPr>
                <w:rFonts w:ascii="Arial" w:hAnsi="Arial"/>
                <w:color w:val="1A2343"/>
                <w:sz w:val="15"/>
              </w:rPr>
              <w:t>Weighting</w:t>
            </w:r>
          </w:p>
        </w:tc>
        <w:tc>
          <w:tcPr>
            <w:tcW w:w="300" w:type="dxa"/>
            <w:tcBorders>
              <w:bottom w:val="single" w:sz="12" w:space="0" w:color="1A2343"/>
            </w:tcBorders>
            <w:shd w:fill="auto" w:val="clear"/>
            <w:vAlign w:val="center"/>
          </w:tcPr>
          <w:p>
            <w:pPr>
              <w:pStyle w:val="TableContents"/>
              <w:spacing w:before="0" w:after="283"/>
              <w:jc w:val="center"/>
              <w:rPr/>
            </w:pPr>
            <w:r>
              <w:rPr/>
              <w:t>     </w:t>
            </w:r>
          </w:p>
        </w:tc>
        <w:tc>
          <w:tcPr>
            <w:tcW w:w="746" w:type="dxa"/>
            <w:tcBorders>
              <w:bottom w:val="single" w:sz="12" w:space="0" w:color="1A2343"/>
            </w:tcBorders>
            <w:shd w:fill="auto" w:val="clear"/>
            <w:vAlign w:val="center"/>
          </w:tcPr>
          <w:p>
            <w:pPr>
              <w:pStyle w:val="TableContents"/>
              <w:spacing w:before="0" w:after="283"/>
              <w:jc w:val="center"/>
              <w:rPr>
                <w:rFonts w:ascii="Arial" w:hAnsi="Arial"/>
                <w:color w:val="1A2343"/>
                <w:sz w:val="15"/>
              </w:rPr>
            </w:pPr>
            <w:r>
              <w:rPr>
                <w:rFonts w:ascii="Arial" w:hAnsi="Arial"/>
                <w:color w:val="1A2343"/>
                <w:sz w:val="15"/>
              </w:rPr>
              <w:t>Guidance/</w:t>
              <w:br/>
              <w:t>Goal</w:t>
            </w:r>
          </w:p>
        </w:tc>
        <w:tc>
          <w:tcPr>
            <w:tcW w:w="300" w:type="dxa"/>
            <w:tcBorders/>
            <w:shd w:fill="auto" w:val="clear"/>
            <w:tcMar>
              <w:bottom w:w="0" w:type="dxa"/>
            </w:tcMar>
            <w:vAlign w:val="center"/>
          </w:tcPr>
          <w:p>
            <w:pPr>
              <w:pStyle w:val="TableContents"/>
              <w:spacing w:before="0" w:after="283"/>
              <w:jc w:val="center"/>
              <w:rPr/>
            </w:pPr>
            <w:r>
              <w:rPr/>
              <w:t>     </w:t>
            </w:r>
          </w:p>
        </w:tc>
        <w:tc>
          <w:tcPr>
            <w:tcW w:w="1018" w:type="dxa"/>
            <w:tcBorders>
              <w:bottom w:val="single" w:sz="12" w:space="0" w:color="1A2343"/>
            </w:tcBorders>
            <w:shd w:fill="auto" w:val="clear"/>
            <w:vAlign w:val="center"/>
          </w:tcPr>
          <w:p>
            <w:pPr>
              <w:pStyle w:val="TableContents"/>
              <w:spacing w:before="0" w:after="283"/>
              <w:jc w:val="center"/>
              <w:rPr>
                <w:rFonts w:ascii="Arial" w:hAnsi="Arial"/>
                <w:color w:val="1A2343"/>
                <w:sz w:val="15"/>
              </w:rPr>
            </w:pPr>
            <w:r>
              <w:rPr>
                <w:rFonts w:ascii="Arial" w:hAnsi="Arial"/>
                <w:color w:val="1A2343"/>
                <w:sz w:val="15"/>
              </w:rPr>
              <w:t>Threshold</w:t>
              <w:br/>
              <w:t>(50%)</w:t>
            </w:r>
          </w:p>
        </w:tc>
        <w:tc>
          <w:tcPr>
            <w:tcW w:w="429" w:type="dxa"/>
            <w:tcBorders>
              <w:bottom w:val="single" w:sz="12" w:space="0" w:color="1A2343"/>
            </w:tcBorders>
            <w:shd w:fill="auto" w:val="clear"/>
            <w:vAlign w:val="center"/>
          </w:tcPr>
          <w:p>
            <w:pPr>
              <w:pStyle w:val="TableContents"/>
              <w:spacing w:before="0" w:after="283"/>
              <w:jc w:val="center"/>
              <w:rPr/>
            </w:pPr>
            <w:r>
              <w:rPr/>
              <w:t>     </w:t>
            </w:r>
          </w:p>
        </w:tc>
        <w:tc>
          <w:tcPr>
            <w:tcW w:w="673" w:type="dxa"/>
            <w:tcBorders>
              <w:bottom w:val="single" w:sz="12" w:space="0" w:color="1A2343"/>
            </w:tcBorders>
            <w:shd w:fill="auto" w:val="clear"/>
            <w:vAlign w:val="center"/>
          </w:tcPr>
          <w:p>
            <w:pPr>
              <w:pStyle w:val="TableContents"/>
              <w:spacing w:before="0" w:after="283"/>
              <w:jc w:val="center"/>
              <w:rPr>
                <w:rFonts w:ascii="Arial" w:hAnsi="Arial"/>
                <w:color w:val="1A2343"/>
                <w:sz w:val="15"/>
              </w:rPr>
            </w:pPr>
            <w:r>
              <w:rPr>
                <w:rFonts w:ascii="Arial" w:hAnsi="Arial"/>
                <w:color w:val="1A2343"/>
                <w:sz w:val="15"/>
              </w:rPr>
              <w:t>Target</w:t>
              <w:br/>
              <w:t>(100%)</w:t>
            </w:r>
          </w:p>
        </w:tc>
        <w:tc>
          <w:tcPr>
            <w:tcW w:w="429" w:type="dxa"/>
            <w:tcBorders>
              <w:bottom w:val="single" w:sz="12" w:space="0" w:color="1A2343"/>
            </w:tcBorders>
            <w:shd w:fill="auto" w:val="clear"/>
            <w:vAlign w:val="center"/>
          </w:tcPr>
          <w:p>
            <w:pPr>
              <w:pStyle w:val="TableContents"/>
              <w:spacing w:before="0" w:after="283"/>
              <w:jc w:val="center"/>
              <w:rPr/>
            </w:pPr>
            <w:r>
              <w:rPr/>
              <w:t>     </w:t>
            </w:r>
          </w:p>
        </w:tc>
        <w:tc>
          <w:tcPr>
            <w:tcW w:w="963" w:type="dxa"/>
            <w:tcBorders>
              <w:bottom w:val="single" w:sz="12" w:space="0" w:color="1A2343"/>
            </w:tcBorders>
            <w:shd w:fill="auto" w:val="clear"/>
            <w:vAlign w:val="center"/>
          </w:tcPr>
          <w:p>
            <w:pPr>
              <w:pStyle w:val="TableContents"/>
              <w:spacing w:before="0" w:after="283"/>
              <w:jc w:val="center"/>
              <w:rPr>
                <w:rFonts w:ascii="Arial" w:hAnsi="Arial"/>
                <w:color w:val="1A2343"/>
                <w:sz w:val="15"/>
              </w:rPr>
            </w:pPr>
            <w:r>
              <w:rPr>
                <w:rFonts w:ascii="Arial" w:hAnsi="Arial"/>
                <w:color w:val="1A2343"/>
                <w:sz w:val="15"/>
              </w:rPr>
              <w:t>Maximum</w:t>
              <w:br/>
              <w:t>(200%)</w:t>
            </w:r>
          </w:p>
        </w:tc>
      </w:tr>
      <w:tr>
        <w:trPr/>
        <w:tc>
          <w:tcPr>
            <w:tcW w:w="4300" w:type="dxa"/>
            <w:tcBorders>
              <w:bottom w:val="single" w:sz="8" w:space="0" w:color="5B5975"/>
            </w:tcBorders>
            <w:shd w:fill="auto" w:val="clear"/>
            <w:vAlign w:val="center"/>
          </w:tcPr>
          <w:p>
            <w:pPr>
              <w:pStyle w:val="TableContents"/>
              <w:jc w:val="left"/>
              <w:rPr/>
            </w:pPr>
            <w:r>
              <w:rPr>
                <w:rStyle w:val="StrongEmphasis"/>
                <w:rFonts w:ascii="Arial" w:hAnsi="Arial"/>
                <w:color w:val="1A2343"/>
                <w:sz w:val="20"/>
              </w:rPr>
              <w:t>Funds Available for Distribution</w:t>
            </w:r>
          </w:p>
          <w:p>
            <w:pPr>
              <w:pStyle w:val="TableContents"/>
              <w:spacing w:before="0" w:after="0"/>
              <w:ind w:left="0" w:right="0" w:hanging="290"/>
              <w:jc w:val="left"/>
              <w:rPr/>
            </w:pPr>
            <w:r>
              <w:rPr/>
              <w:t>●</w:t>
            </w:r>
            <w:r>
              <w:rPr>
                <w:rFonts w:ascii="arial" w:hAnsi="arial"/>
                <w:sz w:val="20"/>
              </w:rPr>
              <w:t>A key measurement representing our ability to fund our dividends that is driven by the effective management of our portfolio and our business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47" w:type="dxa"/>
            <w:tcBorders>
              <w:bottom w:val="single" w:sz="8" w:space="0" w:color="5B5975"/>
            </w:tcBorders>
            <w:shd w:fill="auto" w:val="clear"/>
            <w:vAlign w:val="center"/>
          </w:tcPr>
          <w:p>
            <w:pPr>
              <w:pStyle w:val="TableContents"/>
              <w:spacing w:before="0" w:after="283"/>
              <w:jc w:val="center"/>
              <w:rPr>
                <w:rFonts w:ascii="Arial" w:hAnsi="Arial"/>
                <w:sz w:val="20"/>
              </w:rPr>
            </w:pPr>
            <w:r>
              <w:rPr>
                <w:rFonts w:ascii="Arial" w:hAnsi="Arial"/>
                <w:sz w:val="20"/>
              </w:rPr>
              <w:t>20%</w:t>
            </w:r>
          </w:p>
        </w:tc>
        <w:tc>
          <w:tcPr>
            <w:tcW w:w="30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746" w:type="dxa"/>
            <w:tcBorders>
              <w:bottom w:val="single" w:sz="8" w:space="0" w:color="5B5975"/>
            </w:tcBorders>
            <w:shd w:fill="auto" w:val="clear"/>
            <w:vAlign w:val="center"/>
          </w:tcPr>
          <w:p>
            <w:pPr>
              <w:pStyle w:val="TableContents"/>
              <w:spacing w:before="0" w:after="283"/>
              <w:jc w:val="center"/>
              <w:rPr>
                <w:rFonts w:ascii="Arial" w:hAnsi="Arial"/>
                <w:sz w:val="20"/>
              </w:rPr>
            </w:pPr>
            <w:r>
              <w:rPr>
                <w:rFonts w:ascii="Arial" w:hAnsi="Arial"/>
                <w:sz w:val="20"/>
              </w:rPr>
              <w:t>$308M</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512" w:type="dxa"/>
            <w:gridSpan w:val="5"/>
            <w:tcBorders>
              <w:bottom w:val="single" w:sz="8" w:space="0" w:color="5B5975"/>
            </w:tcBorders>
            <w:shd w:fill="auto" w:val="clear"/>
            <w:vAlign w:val="center"/>
          </w:tcPr>
          <w:p>
            <w:pPr>
              <w:pStyle w:val="TableContents"/>
              <w:spacing w:before="0" w:after="283"/>
              <w:jc w:val="center"/>
              <w:rPr/>
            </w:pPr>
            <w:r>
              <w:rPr/>
              <w:drawing>
                <wp:inline distT="0" distB="0" distL="0" distR="0">
                  <wp:extent cx="2219325" cy="447675"/>
                  <wp:effectExtent l="0" t="0" r="0" b="0"/>
                  <wp:docPr id="445"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312" descr=""/>
                          <pic:cNvPicPr>
                            <a:picLocks noChangeAspect="1" noChangeArrowheads="1"/>
                          </pic:cNvPicPr>
                        </pic:nvPicPr>
                        <pic:blipFill>
                          <a:blip r:embed="rId313"/>
                          <a:srcRect l="-454" t="-2250" r="-454" b="-2250"/>
                          <a:stretch>
                            <a:fillRect/>
                          </a:stretch>
                        </pic:blipFill>
                        <pic:spPr bwMode="auto">
                          <a:xfrm>
                            <a:off x="0" y="0"/>
                            <a:ext cx="2219325" cy="447675"/>
                          </a:xfrm>
                          <a:prstGeom prst="rect">
                            <a:avLst/>
                          </a:prstGeom>
                          <a:ln w="635">
                            <a:solidFill>
                              <a:srgbClr val="000000"/>
                            </a:solidFill>
                          </a:ln>
                        </pic:spPr>
                      </pic:pic>
                    </a:graphicData>
                  </a:graphic>
                </wp:inline>
              </w:drawing>
            </w:r>
          </w:p>
        </w:tc>
      </w:tr>
      <w:tr>
        <w:trPr/>
        <w:tc>
          <w:tcPr>
            <w:tcW w:w="4300" w:type="dxa"/>
            <w:tcBorders>
              <w:bottom w:val="single" w:sz="8" w:space="0" w:color="5B5975"/>
            </w:tcBorders>
            <w:shd w:fill="auto" w:val="clear"/>
            <w:vAlign w:val="center"/>
          </w:tcPr>
          <w:p>
            <w:pPr>
              <w:pStyle w:val="TableContents"/>
              <w:jc w:val="left"/>
              <w:rPr/>
            </w:pPr>
            <w:r>
              <w:rPr>
                <w:rStyle w:val="StrongEmphasis"/>
                <w:rFonts w:ascii="Arial" w:hAnsi="Arial"/>
                <w:color w:val="1A2343"/>
                <w:sz w:val="20"/>
              </w:rPr>
              <w:t>Debt/EBITDA Ratio</w:t>
            </w:r>
          </w:p>
          <w:p>
            <w:pPr>
              <w:pStyle w:val="TableContents"/>
              <w:spacing w:before="0" w:after="0"/>
              <w:ind w:left="0" w:right="0" w:hanging="290"/>
              <w:jc w:val="left"/>
              <w:rPr/>
            </w:pPr>
            <w:r>
              <w:rPr/>
              <w:t>●</w:t>
            </w:r>
            <w:r>
              <w:rPr>
                <w:rFonts w:ascii="arial" w:hAnsi="arial"/>
                <w:sz w:val="20"/>
              </w:rPr>
              <w:t>A widely used non-GAAP measure that reflects our ability to incur and service debt and is often referred to as an indicator of the health of our balance sheet and cash flows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47" w:type="dxa"/>
            <w:tcBorders>
              <w:bottom w:val="single" w:sz="8" w:space="0" w:color="5B5975"/>
            </w:tcBorders>
            <w:shd w:fill="auto" w:val="clear"/>
            <w:vAlign w:val="center"/>
          </w:tcPr>
          <w:p>
            <w:pPr>
              <w:pStyle w:val="TableContents"/>
              <w:spacing w:before="0" w:after="283"/>
              <w:jc w:val="center"/>
              <w:rPr>
                <w:rFonts w:ascii="Arial" w:hAnsi="Arial"/>
                <w:sz w:val="20"/>
              </w:rPr>
            </w:pPr>
            <w:r>
              <w:rPr>
                <w:rFonts w:ascii="Arial" w:hAnsi="Arial"/>
                <w:sz w:val="20"/>
              </w:rPr>
              <w:t>20%</w:t>
            </w:r>
          </w:p>
        </w:tc>
        <w:tc>
          <w:tcPr>
            <w:tcW w:w="30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746" w:type="dxa"/>
            <w:tcBorders>
              <w:bottom w:val="single" w:sz="8" w:space="0" w:color="5B5975"/>
            </w:tcBorders>
            <w:shd w:fill="auto" w:val="clear"/>
            <w:vAlign w:val="center"/>
          </w:tcPr>
          <w:p>
            <w:pPr>
              <w:pStyle w:val="TableContents"/>
              <w:spacing w:before="0" w:after="283"/>
              <w:jc w:val="center"/>
              <w:rPr>
                <w:rFonts w:ascii="Arial" w:hAnsi="Arial"/>
                <w:sz w:val="20"/>
              </w:rPr>
            </w:pPr>
            <w:r>
              <w:rPr>
                <w:rFonts w:ascii="Arial" w:hAnsi="Arial"/>
                <w:sz w:val="20"/>
              </w:rPr>
              <w:t>N/A</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512" w:type="dxa"/>
            <w:gridSpan w:val="5"/>
            <w:tcBorders>
              <w:bottom w:val="single" w:sz="8" w:space="0" w:color="5B5975"/>
            </w:tcBorders>
            <w:shd w:fill="auto" w:val="clear"/>
            <w:vAlign w:val="center"/>
          </w:tcPr>
          <w:p>
            <w:pPr>
              <w:pStyle w:val="TableContents"/>
              <w:spacing w:before="0" w:after="283"/>
              <w:jc w:val="center"/>
              <w:rPr/>
            </w:pPr>
            <w:r>
              <w:rPr/>
              <w:drawing>
                <wp:inline distT="0" distB="0" distL="0" distR="0">
                  <wp:extent cx="2228850" cy="457200"/>
                  <wp:effectExtent l="0" t="0" r="0" b="0"/>
                  <wp:docPr id="446"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313" descr=""/>
                          <pic:cNvPicPr>
                            <a:picLocks noChangeAspect="1" noChangeArrowheads="1"/>
                          </pic:cNvPicPr>
                        </pic:nvPicPr>
                        <pic:blipFill>
                          <a:blip r:embed="rId314"/>
                          <a:srcRect l="-452" t="-2204" r="-452" b="-2204"/>
                          <a:stretch>
                            <a:fillRect/>
                          </a:stretch>
                        </pic:blipFill>
                        <pic:spPr bwMode="auto">
                          <a:xfrm>
                            <a:off x="0" y="0"/>
                            <a:ext cx="2228850" cy="457200"/>
                          </a:xfrm>
                          <a:prstGeom prst="rect">
                            <a:avLst/>
                          </a:prstGeom>
                          <a:ln w="635">
                            <a:solidFill>
                              <a:srgbClr val="000000"/>
                            </a:solidFill>
                          </a:ln>
                        </pic:spPr>
                      </pic:pic>
                    </a:graphicData>
                  </a:graphic>
                </wp:inline>
              </w:drawing>
            </w:r>
          </w:p>
        </w:tc>
      </w:tr>
      <w:tr>
        <w:trPr/>
        <w:tc>
          <w:tcPr>
            <w:tcW w:w="4300" w:type="dxa"/>
            <w:tcBorders>
              <w:bottom w:val="single" w:sz="8" w:space="0" w:color="5B5975"/>
            </w:tcBorders>
            <w:shd w:fill="auto" w:val="clear"/>
            <w:vAlign w:val="center"/>
          </w:tcPr>
          <w:p>
            <w:pPr>
              <w:pStyle w:val="TableContents"/>
              <w:jc w:val="left"/>
              <w:rPr/>
            </w:pPr>
            <w:r>
              <w:rPr>
                <w:rStyle w:val="StrongEmphasis"/>
                <w:rFonts w:ascii="Arial" w:hAnsi="Arial"/>
                <w:color w:val="1A2343"/>
                <w:sz w:val="20"/>
              </w:rPr>
              <w:t>Manhattan Office Same Store Leased Occupancy</w:t>
            </w:r>
          </w:p>
          <w:p>
            <w:pPr>
              <w:pStyle w:val="TableContents"/>
              <w:spacing w:before="0" w:after="0"/>
              <w:ind w:left="0" w:right="0" w:hanging="290"/>
              <w:jc w:val="left"/>
              <w:rPr/>
            </w:pPr>
            <w:r>
              <w:rPr/>
              <w:t>●</w:t>
            </w:r>
            <w:r>
              <w:rPr>
                <w:rFonts w:ascii="arial" w:hAnsi="arial"/>
                <w:sz w:val="20"/>
              </w:rPr>
              <w:t>Indicative of how effectively we manage properties owned by us in a similar manner in both reporting periods (year over year)</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47" w:type="dxa"/>
            <w:tcBorders>
              <w:bottom w:val="single" w:sz="8" w:space="0" w:color="5B5975"/>
            </w:tcBorders>
            <w:shd w:fill="auto" w:val="clear"/>
            <w:vAlign w:val="center"/>
          </w:tcPr>
          <w:p>
            <w:pPr>
              <w:pStyle w:val="TableContents"/>
              <w:spacing w:before="0" w:after="283"/>
              <w:jc w:val="center"/>
              <w:rPr>
                <w:rFonts w:ascii="Arial" w:hAnsi="Arial"/>
                <w:sz w:val="20"/>
              </w:rPr>
            </w:pPr>
            <w:r>
              <w:rPr>
                <w:rFonts w:ascii="Arial" w:hAnsi="Arial"/>
                <w:sz w:val="20"/>
              </w:rPr>
              <w:t>20%</w:t>
            </w:r>
          </w:p>
        </w:tc>
        <w:tc>
          <w:tcPr>
            <w:tcW w:w="30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746" w:type="dxa"/>
            <w:tcBorders>
              <w:bottom w:val="single" w:sz="8" w:space="0" w:color="5B5975"/>
            </w:tcBorders>
            <w:shd w:fill="auto" w:val="clear"/>
            <w:vAlign w:val="center"/>
          </w:tcPr>
          <w:p>
            <w:pPr>
              <w:pStyle w:val="TableContents"/>
              <w:spacing w:before="0" w:after="283"/>
              <w:jc w:val="center"/>
              <w:rPr>
                <w:rFonts w:ascii="Arial" w:hAnsi="Arial"/>
                <w:sz w:val="20"/>
              </w:rPr>
            </w:pPr>
            <w:r>
              <w:rPr>
                <w:rFonts w:ascii="Arial" w:hAnsi="Arial"/>
                <w:sz w:val="20"/>
              </w:rPr>
              <w:t>94.3%</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512" w:type="dxa"/>
            <w:gridSpan w:val="5"/>
            <w:tcBorders>
              <w:bottom w:val="single" w:sz="8" w:space="0" w:color="5B5975"/>
            </w:tcBorders>
            <w:shd w:fill="auto" w:val="clear"/>
            <w:vAlign w:val="center"/>
          </w:tcPr>
          <w:p>
            <w:pPr>
              <w:pStyle w:val="TableContents"/>
              <w:spacing w:before="0" w:after="283"/>
              <w:jc w:val="center"/>
              <w:rPr/>
            </w:pPr>
            <w:r>
              <w:rPr/>
              <w:drawing>
                <wp:inline distT="0" distB="0" distL="0" distR="0">
                  <wp:extent cx="2228850" cy="447675"/>
                  <wp:effectExtent l="0" t="0" r="0" b="0"/>
                  <wp:docPr id="447"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314" descr=""/>
                          <pic:cNvPicPr>
                            <a:picLocks noChangeAspect="1" noChangeArrowheads="1"/>
                          </pic:cNvPicPr>
                        </pic:nvPicPr>
                        <pic:blipFill>
                          <a:blip r:embed="rId315"/>
                          <a:srcRect l="-452" t="-2250" r="-452" b="-2250"/>
                          <a:stretch>
                            <a:fillRect/>
                          </a:stretch>
                        </pic:blipFill>
                        <pic:spPr bwMode="auto">
                          <a:xfrm>
                            <a:off x="0" y="0"/>
                            <a:ext cx="2228850" cy="447675"/>
                          </a:xfrm>
                          <a:prstGeom prst="rect">
                            <a:avLst/>
                          </a:prstGeom>
                          <a:ln w="635">
                            <a:solidFill>
                              <a:srgbClr val="000000"/>
                            </a:solidFill>
                          </a:ln>
                        </pic:spPr>
                      </pic:pic>
                    </a:graphicData>
                  </a:graphic>
                </wp:inline>
              </w:drawing>
            </w:r>
          </w:p>
        </w:tc>
      </w:tr>
      <w:tr>
        <w:trPr/>
        <w:tc>
          <w:tcPr>
            <w:tcW w:w="4300" w:type="dxa"/>
            <w:tcBorders>
              <w:bottom w:val="single" w:sz="8" w:space="0" w:color="5B5975"/>
            </w:tcBorders>
            <w:shd w:fill="auto" w:val="clear"/>
            <w:vAlign w:val="center"/>
          </w:tcPr>
          <w:p>
            <w:pPr>
              <w:pStyle w:val="TableContents"/>
              <w:jc w:val="left"/>
              <w:rPr/>
            </w:pPr>
            <w:r>
              <w:rPr>
                <w:rStyle w:val="StrongEmphasis"/>
                <w:rFonts w:ascii="Arial" w:hAnsi="Arial"/>
                <w:color w:val="1A2343"/>
                <w:sz w:val="20"/>
              </w:rPr>
              <w:t>Manhattan Office Leasing Volume</w:t>
            </w:r>
          </w:p>
          <w:p>
            <w:pPr>
              <w:pStyle w:val="TableContents"/>
              <w:spacing w:before="0" w:after="0"/>
              <w:ind w:left="0" w:right="0" w:hanging="290"/>
              <w:jc w:val="left"/>
              <w:rPr/>
            </w:pPr>
            <w:r>
              <w:rPr/>
              <w:t>●</w:t>
            </w:r>
            <w:r>
              <w:rPr>
                <w:rFonts w:ascii="arial" w:hAnsi="arial"/>
                <w:sz w:val="20"/>
              </w:rPr>
              <w:t>Represents our ability to execute our leasing platform in the highly competitive New York City real estate market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47" w:type="dxa"/>
            <w:tcBorders>
              <w:bottom w:val="single" w:sz="8" w:space="0" w:color="5B5975"/>
            </w:tcBorders>
            <w:shd w:fill="auto" w:val="clear"/>
            <w:vAlign w:val="center"/>
          </w:tcPr>
          <w:p>
            <w:pPr>
              <w:pStyle w:val="TableContents"/>
              <w:spacing w:before="0" w:after="283"/>
              <w:jc w:val="center"/>
              <w:rPr>
                <w:rFonts w:ascii="Arial" w:hAnsi="Arial"/>
                <w:sz w:val="20"/>
              </w:rPr>
            </w:pPr>
            <w:r>
              <w:rPr>
                <w:rFonts w:ascii="Arial" w:hAnsi="Arial"/>
                <w:sz w:val="20"/>
              </w:rPr>
              <w:t>20%</w:t>
            </w:r>
          </w:p>
        </w:tc>
        <w:tc>
          <w:tcPr>
            <w:tcW w:w="30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746" w:type="dxa"/>
            <w:tcBorders>
              <w:bottom w:val="single" w:sz="8" w:space="0" w:color="5B5975"/>
            </w:tcBorders>
            <w:shd w:fill="auto" w:val="clear"/>
            <w:vAlign w:val="center"/>
          </w:tcPr>
          <w:p>
            <w:pPr>
              <w:pStyle w:val="TableContents"/>
              <w:spacing w:before="0" w:after="283"/>
              <w:jc w:val="center"/>
              <w:rPr>
                <w:rFonts w:ascii="Arial" w:hAnsi="Arial"/>
                <w:sz w:val="20"/>
              </w:rPr>
            </w:pPr>
            <w:r>
              <w:rPr>
                <w:rFonts w:ascii="Arial" w:hAnsi="Arial"/>
                <w:sz w:val="20"/>
              </w:rPr>
              <w:t>2.0M SF</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512" w:type="dxa"/>
            <w:gridSpan w:val="5"/>
            <w:tcBorders>
              <w:bottom w:val="single" w:sz="8" w:space="0" w:color="5B5975"/>
            </w:tcBorders>
            <w:shd w:fill="auto" w:val="clear"/>
            <w:vAlign w:val="center"/>
          </w:tcPr>
          <w:p>
            <w:pPr>
              <w:pStyle w:val="TableContents"/>
              <w:spacing w:before="0" w:after="283"/>
              <w:jc w:val="center"/>
              <w:rPr/>
            </w:pPr>
            <w:r>
              <w:rPr/>
              <w:drawing>
                <wp:inline distT="0" distB="0" distL="0" distR="0">
                  <wp:extent cx="2228850" cy="447675"/>
                  <wp:effectExtent l="0" t="0" r="0" b="0"/>
                  <wp:docPr id="448"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315" descr=""/>
                          <pic:cNvPicPr>
                            <a:picLocks noChangeAspect="1" noChangeArrowheads="1"/>
                          </pic:cNvPicPr>
                        </pic:nvPicPr>
                        <pic:blipFill>
                          <a:blip r:embed="rId316"/>
                          <a:srcRect l="-452" t="-2250" r="-452" b="-2250"/>
                          <a:stretch>
                            <a:fillRect/>
                          </a:stretch>
                        </pic:blipFill>
                        <pic:spPr bwMode="auto">
                          <a:xfrm>
                            <a:off x="0" y="0"/>
                            <a:ext cx="2228850" cy="447675"/>
                          </a:xfrm>
                          <a:prstGeom prst="rect">
                            <a:avLst/>
                          </a:prstGeom>
                          <a:ln w="635">
                            <a:solidFill>
                              <a:srgbClr val="000000"/>
                            </a:solidFill>
                          </a:ln>
                        </pic:spPr>
                      </pic:pic>
                    </a:graphicData>
                  </a:graphic>
                </wp:inline>
              </w:drawing>
            </w:r>
          </w:p>
        </w:tc>
      </w:tr>
      <w:tr>
        <w:trPr/>
        <w:tc>
          <w:tcPr>
            <w:tcW w:w="4300" w:type="dxa"/>
            <w:tcBorders>
              <w:bottom w:val="single" w:sz="8" w:space="0" w:color="5B5975"/>
            </w:tcBorders>
            <w:shd w:fill="auto" w:val="clear"/>
            <w:vAlign w:val="center"/>
          </w:tcPr>
          <w:p>
            <w:pPr>
              <w:pStyle w:val="TableContents"/>
              <w:jc w:val="left"/>
              <w:rPr/>
            </w:pPr>
            <w:r>
              <w:rPr>
                <w:rStyle w:val="StrongEmphasis"/>
                <w:rFonts w:ascii="Arial" w:hAnsi="Arial"/>
                <w:color w:val="1A2343"/>
                <w:sz w:val="20"/>
              </w:rPr>
              <w:t>Liquidity</w:t>
            </w:r>
          </w:p>
          <w:p>
            <w:pPr>
              <w:pStyle w:val="TableContents"/>
              <w:spacing w:before="0" w:after="0"/>
              <w:ind w:left="0" w:right="0" w:hanging="290"/>
              <w:jc w:val="left"/>
              <w:rPr/>
            </w:pPr>
            <w:r>
              <w:rPr/>
              <w:t>●</w:t>
            </w:r>
            <w:r>
              <w:rPr>
                <w:rFonts w:ascii="arial" w:hAnsi="arial"/>
                <w:sz w:val="20"/>
              </w:rPr>
              <w:t>A measurement of our ability to meet our financial obligations and effectively operate our business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47" w:type="dxa"/>
            <w:tcBorders>
              <w:bottom w:val="single" w:sz="8" w:space="0" w:color="5B5975"/>
            </w:tcBorders>
            <w:shd w:fill="auto" w:val="clear"/>
            <w:vAlign w:val="center"/>
          </w:tcPr>
          <w:p>
            <w:pPr>
              <w:pStyle w:val="TableContents"/>
              <w:spacing w:before="0" w:after="283"/>
              <w:jc w:val="center"/>
              <w:rPr>
                <w:rFonts w:ascii="Arial" w:hAnsi="Arial"/>
                <w:sz w:val="20"/>
              </w:rPr>
            </w:pPr>
            <w:r>
              <w:rPr>
                <w:rFonts w:ascii="Arial" w:hAnsi="Arial"/>
                <w:sz w:val="20"/>
              </w:rPr>
              <w:t>20%</w:t>
            </w:r>
          </w:p>
        </w:tc>
        <w:tc>
          <w:tcPr>
            <w:tcW w:w="30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746" w:type="dxa"/>
            <w:tcBorders>
              <w:bottom w:val="single" w:sz="8" w:space="0" w:color="5B5975"/>
            </w:tcBorders>
            <w:shd w:fill="auto" w:val="clear"/>
            <w:vAlign w:val="center"/>
          </w:tcPr>
          <w:p>
            <w:pPr>
              <w:pStyle w:val="TableContents"/>
              <w:spacing w:before="0" w:after="283"/>
              <w:jc w:val="center"/>
              <w:rPr>
                <w:rFonts w:ascii="Arial" w:hAnsi="Arial"/>
                <w:sz w:val="20"/>
              </w:rPr>
            </w:pPr>
            <w:r>
              <w:rPr>
                <w:rFonts w:ascii="Arial" w:hAnsi="Arial"/>
                <w:sz w:val="20"/>
              </w:rPr>
              <w:t>N/A</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512" w:type="dxa"/>
            <w:gridSpan w:val="5"/>
            <w:tcBorders>
              <w:bottom w:val="single" w:sz="8" w:space="0" w:color="5B5975"/>
            </w:tcBorders>
            <w:shd w:fill="auto" w:val="clear"/>
            <w:vAlign w:val="center"/>
          </w:tcPr>
          <w:p>
            <w:pPr>
              <w:pStyle w:val="TableContents"/>
              <w:spacing w:before="0" w:after="283"/>
              <w:jc w:val="center"/>
              <w:rPr/>
            </w:pPr>
            <w:r>
              <w:rPr/>
              <w:drawing>
                <wp:inline distT="0" distB="0" distL="0" distR="0">
                  <wp:extent cx="2228850" cy="438150"/>
                  <wp:effectExtent l="0" t="0" r="0" b="0"/>
                  <wp:docPr id="449"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316" descr=""/>
                          <pic:cNvPicPr>
                            <a:picLocks noChangeAspect="1" noChangeArrowheads="1"/>
                          </pic:cNvPicPr>
                        </pic:nvPicPr>
                        <pic:blipFill>
                          <a:blip r:embed="rId317"/>
                          <a:srcRect l="-452" t="-2300" r="-452" b="-2300"/>
                          <a:stretch>
                            <a:fillRect/>
                          </a:stretch>
                        </pic:blipFill>
                        <pic:spPr bwMode="auto">
                          <a:xfrm>
                            <a:off x="0" y="0"/>
                            <a:ext cx="2228850" cy="438150"/>
                          </a:xfrm>
                          <a:prstGeom prst="rect">
                            <a:avLst/>
                          </a:prstGeom>
                          <a:ln w="635">
                            <a:solidFill>
                              <a:srgbClr val="000000"/>
                            </a:solidFill>
                          </a:ln>
                        </pic:spPr>
                      </pic:pic>
                    </a:graphicData>
                  </a:graphic>
                </wp:inline>
              </w:drawing>
            </w:r>
          </w:p>
        </w:tc>
      </w:tr>
      <w:tr>
        <w:trPr/>
        <w:tc>
          <w:tcPr>
            <w:tcW w:w="4300" w:type="dxa"/>
            <w:tcBorders>
              <w:bottom w:val="single" w:sz="12" w:space="0" w:color="1A2343"/>
            </w:tcBorders>
            <w:shd w:fill="auto" w:val="clear"/>
            <w:vAlign w:val="center"/>
          </w:tcPr>
          <w:p>
            <w:pPr>
              <w:pStyle w:val="TableContents"/>
              <w:jc w:val="left"/>
              <w:rPr/>
            </w:pPr>
            <w:r>
              <w:rPr>
                <w:rStyle w:val="StrongEmphasis"/>
                <w:rFonts w:ascii="Arial" w:hAnsi="Arial"/>
                <w:color w:val="1A2343"/>
                <w:sz w:val="20"/>
              </w:rPr>
              <w:t>Absolute TSR per Year</w:t>
            </w:r>
          </w:p>
          <w:p>
            <w:pPr>
              <w:pStyle w:val="TableContents"/>
              <w:spacing w:before="0" w:after="0"/>
              <w:ind w:left="0" w:right="0" w:hanging="290"/>
              <w:jc w:val="left"/>
              <w:rPr/>
            </w:pPr>
            <w:r>
              <w:rPr/>
              <w:t>●</w:t>
            </w:r>
            <w:r>
              <w:rPr>
                <w:rFonts w:ascii="arial" w:hAnsi="arial"/>
                <w:sz w:val="20"/>
              </w:rPr>
              <w:t>Absolute TSR is a pure measurement of value delivered to stockholders who were invested in our stock for the three-year performance period</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47" w:type="dxa"/>
            <w:tcBorders>
              <w:bottom w:val="single" w:sz="12" w:space="0" w:color="1A2343"/>
            </w:tcBorders>
            <w:shd w:fill="auto" w:val="clear"/>
            <w:vAlign w:val="center"/>
          </w:tcPr>
          <w:p>
            <w:pPr>
              <w:pStyle w:val="TableContents"/>
              <w:spacing w:before="0" w:after="283"/>
              <w:jc w:val="center"/>
              <w:rPr>
                <w:rFonts w:ascii="Arial" w:hAnsi="Arial"/>
                <w:sz w:val="20"/>
              </w:rPr>
            </w:pPr>
            <w:r>
              <w:rPr>
                <w:rFonts w:ascii="Arial" w:hAnsi="Arial"/>
                <w:sz w:val="20"/>
              </w:rPr>
              <w:t>+/- 12.5%</w:t>
            </w:r>
          </w:p>
        </w:tc>
        <w:tc>
          <w:tcPr>
            <w:tcW w:w="300"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746" w:type="dxa"/>
            <w:tcBorders>
              <w:bottom w:val="single" w:sz="12" w:space="0" w:color="1A2343"/>
            </w:tcBorders>
            <w:shd w:fill="auto" w:val="clear"/>
            <w:vAlign w:val="center"/>
          </w:tcPr>
          <w:p>
            <w:pPr>
              <w:pStyle w:val="TableContents"/>
              <w:spacing w:before="0" w:after="283"/>
              <w:jc w:val="center"/>
              <w:rPr>
                <w:rFonts w:ascii="Arial" w:hAnsi="Arial"/>
                <w:sz w:val="20"/>
              </w:rPr>
            </w:pPr>
            <w:r>
              <w:rPr>
                <w:rFonts w:ascii="Arial" w:hAnsi="Arial"/>
                <w:sz w:val="20"/>
              </w:rPr>
              <w:t>N/A</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512" w:type="dxa"/>
            <w:gridSpan w:val="5"/>
            <w:tcBorders>
              <w:bottom w:val="single" w:sz="12" w:space="0" w:color="1A2343"/>
            </w:tcBorders>
            <w:shd w:fill="auto" w:val="clear"/>
            <w:vAlign w:val="center"/>
          </w:tcPr>
          <w:p>
            <w:pPr>
              <w:pStyle w:val="TableContents"/>
              <w:spacing w:before="0" w:after="283"/>
              <w:jc w:val="center"/>
              <w:rPr/>
            </w:pPr>
            <w:r>
              <w:rPr/>
              <w:drawing>
                <wp:inline distT="0" distB="0" distL="0" distR="0">
                  <wp:extent cx="2219325" cy="447675"/>
                  <wp:effectExtent l="0" t="0" r="0" b="0"/>
                  <wp:docPr id="450"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317" descr=""/>
                          <pic:cNvPicPr>
                            <a:picLocks noChangeAspect="1" noChangeArrowheads="1"/>
                          </pic:cNvPicPr>
                        </pic:nvPicPr>
                        <pic:blipFill>
                          <a:blip r:embed="rId318"/>
                          <a:srcRect l="-454" t="-2250" r="-454" b="-2250"/>
                          <a:stretch>
                            <a:fillRect/>
                          </a:stretch>
                        </pic:blipFill>
                        <pic:spPr bwMode="auto">
                          <a:xfrm>
                            <a:off x="0" y="0"/>
                            <a:ext cx="2219325" cy="447675"/>
                          </a:xfrm>
                          <a:prstGeom prst="rect">
                            <a:avLst/>
                          </a:prstGeom>
                          <a:ln w="635">
                            <a:solidFill>
                              <a:srgbClr val="000000"/>
                            </a:solidFill>
                          </a:ln>
                        </pic:spPr>
                      </pic:pic>
                    </a:graphicData>
                  </a:graphic>
                </wp:inline>
              </w:drawing>
            </w:r>
          </w:p>
        </w:tc>
      </w:tr>
    </w:tbl>
    <w:p>
      <w:pPr>
        <w:pStyle w:val="TextBody"/>
        <w:spacing w:before="0" w:after="0"/>
        <w:rPr/>
      </w:pPr>
      <w:r>
        <w:rPr/>
      </w:r>
    </w:p>
    <w:p>
      <w:pPr>
        <w:pStyle w:val="TextBody"/>
        <w:spacing w:before="0" w:after="0"/>
        <w:jc w:val="left"/>
        <w:rPr>
          <w:rFonts w:ascii="Arial" w:hAnsi="Arial"/>
          <w:sz w:val="20"/>
          <w:highlight w:val="yellow"/>
        </w:rPr>
      </w:pPr>
      <w:r>
        <w:rPr>
          <w:rFonts w:ascii="Arial" w:hAnsi="Arial"/>
          <w:sz w:val="20"/>
          <w:highlight w:val="yellow"/>
        </w:rPr>
        <w:t>As noted above, we intend to eliminate short-term measurement periods from long-term performance-based equity awards, in future employment agreements with the Company’s CEO and President.</w:t>
      </w:r>
    </w:p>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54</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pPr>
      <w:r>
        <w:rPr>
          <w:rStyle w:val="StrongEmphasis"/>
          <w:rFonts w:ascii="Arial" w:hAnsi="Arial"/>
          <w:color w:val="1A2343"/>
          <w:sz w:val="26"/>
        </w:rPr>
        <w:t xml:space="preserve">2022 Relative Component Performance Goals </w:t>
        <w:br/>
        <w:t>(50% of Annual Equity Award)</w:t>
      </w:r>
    </w:p>
    <w:p>
      <w:pPr>
        <w:pStyle w:val="TextBody"/>
        <w:jc w:val="left"/>
        <w:rPr/>
      </w:pPr>
      <w:r>
        <w:rPr>
          <w:rFonts w:ascii="Arial" w:hAnsi="Arial"/>
          <w:sz w:val="20"/>
        </w:rPr>
        <w:t xml:space="preserve">The relative component of our annual performance-based equity awards measures our performance against two peer sets over a </w:t>
      </w:r>
      <w:r>
        <w:rPr>
          <w:rFonts w:ascii="Arial" w:hAnsi="Arial"/>
          <w:b/>
          <w:color w:val="1A2343"/>
          <w:sz w:val="20"/>
        </w:rPr>
        <w:t>three-year performance period</w:t>
      </w:r>
      <w:r>
        <w:rPr>
          <w:rFonts w:ascii="Arial" w:hAnsi="Arial"/>
          <w:sz w:val="20"/>
        </w:rPr>
        <w:t>.</w:t>
      </w:r>
    </w:p>
    <w:p>
      <w:pPr>
        <w:pStyle w:val="TextBody"/>
        <w:jc w:val="left"/>
        <w:rPr>
          <w:rFonts w:ascii="Arial" w:hAnsi="Arial"/>
          <w:sz w:val="20"/>
        </w:rPr>
      </w:pPr>
      <w:r>
        <w:rPr>
          <w:rFonts w:ascii="Arial" w:hAnsi="Arial"/>
          <w:sz w:val="20"/>
        </w:rPr>
        <w:t>The relative component is weighted equally between our performance relative to Office REIT Peers and NYC REIT Peers. As of December 31, 2022, based on our one-year TSR relative to the Office REIT Peers and the NYC REIT Peers, our performance would have placed us below threshold performance for both portions of the relative component.</w:t>
      </w:r>
    </w:p>
    <w:tbl>
      <w:tblPr>
        <w:tblW w:w="10205" w:type="dxa"/>
        <w:jc w:val="left"/>
        <w:tblInd w:w="0" w:type="dxa"/>
        <w:tblCellMar>
          <w:top w:w="0" w:type="dxa"/>
          <w:left w:w="0" w:type="dxa"/>
          <w:bottom w:w="40" w:type="dxa"/>
          <w:right w:w="0" w:type="dxa"/>
        </w:tblCellMar>
      </w:tblPr>
      <w:tblGrid>
        <w:gridCol w:w="3615"/>
        <w:gridCol w:w="300"/>
        <w:gridCol w:w="710"/>
        <w:gridCol w:w="300"/>
        <w:gridCol w:w="1533"/>
        <w:gridCol w:w="647"/>
        <w:gridCol w:w="1014"/>
        <w:gridCol w:w="647"/>
        <w:gridCol w:w="1439"/>
      </w:tblGrid>
      <w:tr>
        <w:trPr/>
        <w:tc>
          <w:tcPr>
            <w:tcW w:w="3615"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Performance Criteria / Reason Selected</w:t>
            </w:r>
          </w:p>
        </w:tc>
        <w:tc>
          <w:tcPr>
            <w:tcW w:w="300" w:type="dxa"/>
            <w:tcBorders/>
            <w:shd w:fill="auto" w:val="clear"/>
            <w:tcMar>
              <w:bottom w:w="0" w:type="dxa"/>
            </w:tcMar>
            <w:vAlign w:val="center"/>
          </w:tcPr>
          <w:p>
            <w:pPr>
              <w:pStyle w:val="TableContents"/>
              <w:spacing w:before="0" w:after="283"/>
              <w:jc w:val="left"/>
              <w:rPr/>
            </w:pPr>
            <w:r>
              <w:rPr/>
              <w:t>     </w:t>
            </w:r>
          </w:p>
        </w:tc>
        <w:tc>
          <w:tcPr>
            <w:tcW w:w="710" w:type="dxa"/>
            <w:tcBorders>
              <w:bottom w:val="single" w:sz="12" w:space="0" w:color="1A2343"/>
            </w:tcBorders>
            <w:shd w:fill="auto" w:val="clear"/>
            <w:vAlign w:val="center"/>
          </w:tcPr>
          <w:p>
            <w:pPr>
              <w:pStyle w:val="TableContents"/>
              <w:spacing w:before="0" w:after="283"/>
              <w:jc w:val="center"/>
              <w:rPr>
                <w:rFonts w:ascii="Arial" w:hAnsi="Arial"/>
                <w:color w:val="1A2343"/>
                <w:sz w:val="15"/>
              </w:rPr>
            </w:pPr>
            <w:r>
              <w:rPr>
                <w:rFonts w:ascii="Arial" w:hAnsi="Arial"/>
                <w:color w:val="1A2343"/>
                <w:sz w:val="15"/>
              </w:rPr>
              <w:t>Weighting</w:t>
            </w:r>
          </w:p>
        </w:tc>
        <w:tc>
          <w:tcPr>
            <w:tcW w:w="300" w:type="dxa"/>
            <w:tcBorders/>
            <w:shd w:fill="auto" w:val="clear"/>
            <w:tcMar>
              <w:bottom w:w="0" w:type="dxa"/>
            </w:tcMar>
            <w:vAlign w:val="center"/>
          </w:tcPr>
          <w:p>
            <w:pPr>
              <w:pStyle w:val="TableContents"/>
              <w:spacing w:before="0" w:after="283"/>
              <w:jc w:val="center"/>
              <w:rPr/>
            </w:pPr>
            <w:r>
              <w:rPr/>
              <w:t>     </w:t>
            </w:r>
          </w:p>
        </w:tc>
        <w:tc>
          <w:tcPr>
            <w:tcW w:w="1533" w:type="dxa"/>
            <w:tcBorders>
              <w:bottom w:val="single" w:sz="12" w:space="0" w:color="1A2343"/>
            </w:tcBorders>
            <w:shd w:fill="auto" w:val="clear"/>
            <w:vAlign w:val="center"/>
          </w:tcPr>
          <w:p>
            <w:pPr>
              <w:pStyle w:val="TableContents"/>
              <w:spacing w:before="0" w:after="283"/>
              <w:jc w:val="center"/>
              <w:rPr>
                <w:rFonts w:ascii="Arial" w:hAnsi="Arial"/>
                <w:color w:val="1A2343"/>
                <w:sz w:val="15"/>
              </w:rPr>
            </w:pPr>
            <w:r>
              <w:rPr>
                <w:rFonts w:ascii="Arial" w:hAnsi="Arial"/>
                <w:color w:val="1A2343"/>
                <w:sz w:val="15"/>
              </w:rPr>
              <w:t>Threshold</w:t>
              <w:br/>
              <w:t>(50%)</w:t>
            </w:r>
          </w:p>
        </w:tc>
        <w:tc>
          <w:tcPr>
            <w:tcW w:w="647" w:type="dxa"/>
            <w:tcBorders>
              <w:bottom w:val="single" w:sz="12" w:space="0" w:color="1A2343"/>
            </w:tcBorders>
            <w:shd w:fill="auto" w:val="clear"/>
            <w:vAlign w:val="center"/>
          </w:tcPr>
          <w:p>
            <w:pPr>
              <w:pStyle w:val="TableContents"/>
              <w:spacing w:before="0" w:after="283"/>
              <w:jc w:val="center"/>
              <w:rPr/>
            </w:pPr>
            <w:r>
              <w:rPr/>
              <w:t>     </w:t>
            </w:r>
          </w:p>
        </w:tc>
        <w:tc>
          <w:tcPr>
            <w:tcW w:w="1014" w:type="dxa"/>
            <w:tcBorders>
              <w:bottom w:val="single" w:sz="12" w:space="0" w:color="1A2343"/>
            </w:tcBorders>
            <w:shd w:fill="auto" w:val="clear"/>
            <w:vAlign w:val="center"/>
          </w:tcPr>
          <w:p>
            <w:pPr>
              <w:pStyle w:val="TableContents"/>
              <w:spacing w:before="0" w:after="283"/>
              <w:jc w:val="center"/>
              <w:rPr>
                <w:rFonts w:ascii="Arial" w:hAnsi="Arial"/>
                <w:color w:val="1A2343"/>
                <w:sz w:val="15"/>
              </w:rPr>
            </w:pPr>
            <w:r>
              <w:rPr>
                <w:rFonts w:ascii="Arial" w:hAnsi="Arial"/>
                <w:color w:val="1A2343"/>
                <w:sz w:val="15"/>
              </w:rPr>
              <w:t>Target</w:t>
              <w:br/>
              <w:t>(100%)</w:t>
            </w:r>
          </w:p>
        </w:tc>
        <w:tc>
          <w:tcPr>
            <w:tcW w:w="647" w:type="dxa"/>
            <w:tcBorders>
              <w:bottom w:val="single" w:sz="12" w:space="0" w:color="1A2343"/>
            </w:tcBorders>
            <w:shd w:fill="auto" w:val="clear"/>
            <w:vAlign w:val="center"/>
          </w:tcPr>
          <w:p>
            <w:pPr>
              <w:pStyle w:val="TableContents"/>
              <w:spacing w:before="0" w:after="283"/>
              <w:jc w:val="center"/>
              <w:rPr/>
            </w:pPr>
            <w:r>
              <w:rPr/>
              <w:t>     </w:t>
            </w:r>
          </w:p>
        </w:tc>
        <w:tc>
          <w:tcPr>
            <w:tcW w:w="1439" w:type="dxa"/>
            <w:tcBorders>
              <w:bottom w:val="single" w:sz="12" w:space="0" w:color="1A2343"/>
            </w:tcBorders>
            <w:shd w:fill="auto" w:val="clear"/>
            <w:vAlign w:val="center"/>
          </w:tcPr>
          <w:p>
            <w:pPr>
              <w:pStyle w:val="TableContents"/>
              <w:spacing w:before="0" w:after="283"/>
              <w:jc w:val="center"/>
              <w:rPr>
                <w:rFonts w:ascii="Arial" w:hAnsi="Arial"/>
                <w:color w:val="1A2343"/>
                <w:sz w:val="15"/>
              </w:rPr>
            </w:pPr>
            <w:r>
              <w:rPr>
                <w:rFonts w:ascii="Arial" w:hAnsi="Arial"/>
                <w:color w:val="1A2343"/>
                <w:sz w:val="15"/>
              </w:rPr>
              <w:t>Maximum</w:t>
              <w:br/>
              <w:t>(200%)</w:t>
            </w:r>
          </w:p>
        </w:tc>
      </w:tr>
      <w:tr>
        <w:trPr/>
        <w:tc>
          <w:tcPr>
            <w:tcW w:w="3615" w:type="dxa"/>
            <w:tcBorders>
              <w:bottom w:val="single" w:sz="8" w:space="0" w:color="5B5975"/>
            </w:tcBorders>
            <w:shd w:fill="auto" w:val="clear"/>
            <w:vAlign w:val="center"/>
          </w:tcPr>
          <w:p>
            <w:pPr>
              <w:pStyle w:val="TableContents"/>
              <w:jc w:val="left"/>
              <w:rPr>
                <w:rFonts w:ascii="Arial" w:hAnsi="Arial"/>
                <w:color w:val="1A2343"/>
                <w:sz w:val="20"/>
              </w:rPr>
            </w:pPr>
            <w:r>
              <w:rPr>
                <w:rFonts w:ascii="Arial" w:hAnsi="Arial"/>
                <w:color w:val="1A2343"/>
                <w:sz w:val="20"/>
              </w:rPr>
              <w:t>Relative TSR vs. Office REIT Peers</w:t>
            </w:r>
            <w:r>
              <w:rPr>
                <w:rFonts w:ascii="Arial" w:hAnsi="Arial"/>
                <w:color w:val="1A2343"/>
                <w:position w:val="7"/>
                <w:sz w:val="16"/>
                <w:sz w:val="20"/>
              </w:rPr>
              <w:t>(1)</w:t>
            </w:r>
          </w:p>
          <w:p>
            <w:pPr>
              <w:pStyle w:val="TableContents"/>
              <w:spacing w:before="0" w:after="0"/>
              <w:ind w:left="0" w:right="0" w:hanging="290"/>
              <w:jc w:val="left"/>
              <w:rPr/>
            </w:pPr>
            <w:r>
              <w:rPr/>
              <w:t>●</w:t>
            </w:r>
            <w:r>
              <w:rPr>
                <w:rFonts w:ascii="arial" w:hAnsi="arial"/>
                <w:sz w:val="20"/>
              </w:rPr>
              <w:t>Provides a comparison of the returns of a hypothetical investor seeking exposure to office REITs as an asset class and reflects how we performed versus other companies in our sector</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vAlign w:val="center"/>
          </w:tcPr>
          <w:p>
            <w:pPr>
              <w:pStyle w:val="TableContents"/>
              <w:spacing w:before="0" w:after="283"/>
              <w:jc w:val="center"/>
              <w:rPr>
                <w:rFonts w:ascii="Arial" w:hAnsi="Arial"/>
                <w:sz w:val="20"/>
              </w:rPr>
            </w:pPr>
            <w:r>
              <w:rPr>
                <w:rFonts w:ascii="Arial" w:hAnsi="Arial"/>
                <w:sz w:val="20"/>
              </w:rPr>
              <w:t>50%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5280" w:type="dxa"/>
            <w:gridSpan w:val="5"/>
            <w:tcBorders>
              <w:bottom w:val="single" w:sz="8" w:space="0" w:color="5B5975"/>
            </w:tcBorders>
            <w:shd w:fill="auto" w:val="clear"/>
            <w:vAlign w:val="center"/>
          </w:tcPr>
          <w:p>
            <w:pPr>
              <w:pStyle w:val="TableContents"/>
              <w:spacing w:before="0" w:after="283"/>
              <w:jc w:val="center"/>
              <w:rPr/>
            </w:pPr>
            <w:r>
              <w:rPr/>
              <w:drawing>
                <wp:inline distT="0" distB="0" distL="0" distR="0">
                  <wp:extent cx="3313430" cy="658495"/>
                  <wp:effectExtent l="0" t="0" r="0" b="0"/>
                  <wp:docPr id="451"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318" descr=""/>
                          <pic:cNvPicPr>
                            <a:picLocks noChangeAspect="1" noChangeArrowheads="1"/>
                          </pic:cNvPicPr>
                        </pic:nvPicPr>
                        <pic:blipFill>
                          <a:blip r:embed="rId319"/>
                          <a:srcRect l="-304" t="-1530" r="-304" b="-1530"/>
                          <a:stretch>
                            <a:fillRect/>
                          </a:stretch>
                        </pic:blipFill>
                        <pic:spPr bwMode="auto">
                          <a:xfrm>
                            <a:off x="0" y="0"/>
                            <a:ext cx="3313430" cy="658495"/>
                          </a:xfrm>
                          <a:prstGeom prst="rect">
                            <a:avLst/>
                          </a:prstGeom>
                          <a:ln w="635">
                            <a:solidFill>
                              <a:srgbClr val="000000"/>
                            </a:solidFill>
                          </a:ln>
                        </pic:spPr>
                      </pic:pic>
                    </a:graphicData>
                  </a:graphic>
                </wp:inline>
              </w:drawing>
            </w:r>
          </w:p>
        </w:tc>
      </w:tr>
      <w:tr>
        <w:trPr/>
        <w:tc>
          <w:tcPr>
            <w:tcW w:w="3615" w:type="dxa"/>
            <w:tcBorders>
              <w:bottom w:val="single" w:sz="12" w:space="0" w:color="1A2343"/>
            </w:tcBorders>
            <w:shd w:fill="auto" w:val="clear"/>
            <w:vAlign w:val="center"/>
          </w:tcPr>
          <w:p>
            <w:pPr>
              <w:pStyle w:val="TableContents"/>
              <w:jc w:val="left"/>
              <w:rPr>
                <w:rFonts w:ascii="Arial" w:hAnsi="Arial"/>
                <w:color w:val="1A2343"/>
                <w:sz w:val="20"/>
              </w:rPr>
            </w:pPr>
            <w:r>
              <w:rPr>
                <w:rFonts w:ascii="Arial" w:hAnsi="Arial"/>
                <w:color w:val="1A2343"/>
                <w:sz w:val="20"/>
              </w:rPr>
              <w:t>Relative TSR vs. NYC REIT Peers</w:t>
            </w:r>
            <w:r>
              <w:rPr>
                <w:rFonts w:ascii="Arial" w:hAnsi="Arial"/>
                <w:color w:val="1A2343"/>
                <w:position w:val="7"/>
                <w:sz w:val="16"/>
                <w:sz w:val="20"/>
              </w:rPr>
              <w:t>(2)</w:t>
            </w:r>
          </w:p>
          <w:p>
            <w:pPr>
              <w:pStyle w:val="TableContents"/>
              <w:spacing w:before="0" w:after="0"/>
              <w:ind w:left="0" w:right="0" w:hanging="290"/>
              <w:jc w:val="left"/>
              <w:rPr/>
            </w:pPr>
            <w:r>
              <w:rPr/>
              <w:t>●</w:t>
            </w:r>
            <w:r>
              <w:rPr>
                <w:rFonts w:ascii="arial" w:hAnsi="arial"/>
                <w:sz w:val="20"/>
              </w:rPr>
              <w:t>Provides a comparison of our performance against companies with office and/or retail commercial real estate portfolios concentrated in the New York City market, which we believe are most directly comparable to the Company due to the market dynamics of New York City that uniquely impact owners and operators of commercial real estate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10" w:type="dxa"/>
            <w:tcBorders>
              <w:bottom w:val="single" w:sz="12" w:space="0" w:color="1A2343"/>
            </w:tcBorders>
            <w:shd w:fill="auto" w:val="clear"/>
            <w:vAlign w:val="center"/>
          </w:tcPr>
          <w:p>
            <w:pPr>
              <w:pStyle w:val="TableContents"/>
              <w:spacing w:before="0" w:after="283"/>
              <w:jc w:val="center"/>
              <w:rPr>
                <w:rFonts w:ascii="Arial" w:hAnsi="Arial"/>
                <w:sz w:val="20"/>
              </w:rPr>
            </w:pPr>
            <w:r>
              <w:rPr>
                <w:rFonts w:ascii="Arial" w:hAnsi="Arial"/>
                <w:sz w:val="20"/>
              </w:rPr>
              <w:t>50%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5280" w:type="dxa"/>
            <w:gridSpan w:val="5"/>
            <w:tcBorders>
              <w:bottom w:val="single" w:sz="12" w:space="0" w:color="1A2343"/>
            </w:tcBorders>
            <w:shd w:fill="auto" w:val="clear"/>
            <w:vAlign w:val="center"/>
          </w:tcPr>
          <w:p>
            <w:pPr>
              <w:pStyle w:val="TableContents"/>
              <w:spacing w:before="0" w:after="283"/>
              <w:jc w:val="center"/>
              <w:rPr/>
            </w:pPr>
            <w:r>
              <w:rPr/>
              <w:drawing>
                <wp:inline distT="0" distB="0" distL="0" distR="0">
                  <wp:extent cx="3352800" cy="806450"/>
                  <wp:effectExtent l="0" t="0" r="0" b="0"/>
                  <wp:docPr id="452"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319" descr=""/>
                          <pic:cNvPicPr>
                            <a:picLocks noChangeAspect="1" noChangeArrowheads="1"/>
                          </pic:cNvPicPr>
                        </pic:nvPicPr>
                        <pic:blipFill>
                          <a:blip r:embed="rId320"/>
                          <a:srcRect l="-300" t="-1250" r="-300" b="-1250"/>
                          <a:stretch>
                            <a:fillRect/>
                          </a:stretch>
                        </pic:blipFill>
                        <pic:spPr bwMode="auto">
                          <a:xfrm>
                            <a:off x="0" y="0"/>
                            <a:ext cx="3352800" cy="806450"/>
                          </a:xfrm>
                          <a:prstGeom prst="rect">
                            <a:avLst/>
                          </a:prstGeom>
                          <a:ln w="635">
                            <a:solidFill>
                              <a:srgbClr val="000000"/>
                            </a:solidFill>
                          </a:ln>
                        </pic:spPr>
                      </pic:pic>
                    </a:graphicData>
                  </a:graphic>
                </wp:inline>
              </w:drawing>
            </w:r>
          </w:p>
        </w:tc>
      </w:tr>
    </w:tbl>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 </w:t>
            </w:r>
          </w:p>
        </w:tc>
        <w:tc>
          <w:tcPr>
            <w:tcW w:w="10002" w:type="dxa"/>
            <w:tcBorders/>
            <w:shd w:fill="auto" w:val="clear"/>
            <w:vAlign w:val="center"/>
          </w:tcPr>
          <w:p>
            <w:pPr>
              <w:pStyle w:val="TableContents"/>
              <w:spacing w:before="0" w:after="283"/>
              <w:jc w:val="left"/>
              <w:rPr>
                <w:rFonts w:ascii="Arial" w:hAnsi="Arial"/>
                <w:sz w:val="15"/>
              </w:rPr>
            </w:pPr>
            <w:r>
              <w:rPr>
                <w:rFonts w:ascii="Arial" w:hAnsi="Arial"/>
                <w:sz w:val="15"/>
              </w:rPr>
              <w:t>The Office REIT Peer Group is comprised of the constituents of the Dow Jones US Real Estate Office Index.</w:t>
            </w:r>
          </w:p>
        </w:tc>
      </w:tr>
      <w:tr>
        <w:trPr/>
        <w:tc>
          <w:tcPr>
            <w:tcW w:w="203" w:type="dxa"/>
            <w:tcBorders/>
            <w:shd w:fill="auto" w:val="clear"/>
            <w:vAlign w:val="center"/>
          </w:tcPr>
          <w:p>
            <w:pPr>
              <w:pStyle w:val="TableContents"/>
              <w:spacing w:before="0" w:after="283"/>
              <w:jc w:val="left"/>
              <w:rPr>
                <w:rFonts w:ascii="Arial" w:hAnsi="Arial"/>
                <w:sz w:val="15"/>
              </w:rPr>
            </w:pPr>
            <w:r>
              <w:rPr>
                <w:rFonts w:ascii="Arial" w:hAnsi="Arial"/>
                <w:sz w:val="15"/>
              </w:rPr>
              <w:t xml:space="preserve">(2) </w:t>
            </w:r>
          </w:p>
        </w:tc>
        <w:tc>
          <w:tcPr>
            <w:tcW w:w="10002" w:type="dxa"/>
            <w:tcBorders/>
            <w:shd w:fill="auto" w:val="clear"/>
            <w:vAlign w:val="center"/>
          </w:tcPr>
          <w:p>
            <w:pPr>
              <w:pStyle w:val="TableContents"/>
              <w:spacing w:before="0" w:after="283"/>
              <w:jc w:val="left"/>
              <w:rPr>
                <w:rFonts w:ascii="Arial" w:hAnsi="Arial"/>
                <w:sz w:val="15"/>
              </w:rPr>
            </w:pPr>
            <w:r>
              <w:rPr>
                <w:rFonts w:ascii="Arial" w:hAnsi="Arial"/>
                <w:sz w:val="15"/>
              </w:rPr>
              <w:t>The NYC Peer Group is comprised of the following companies: Acadia Realty Trust, Columbia Property Trust, Inc., Empire State Realty Trust, Inc., Veris Residential, Inc. (formerly Mack-Cali Realty Corporation), Paramount Group, Inc. and Vornado Realty Trust.</w:t>
            </w:r>
          </w:p>
        </w:tc>
      </w:tr>
    </w:tbl>
    <w:p>
      <w:pPr>
        <w:pStyle w:val="TextBody"/>
        <w:spacing w:before="240" w:after="283"/>
        <w:jc w:val="left"/>
        <w:rPr/>
      </w:pPr>
      <w:r>
        <w:rPr>
          <w:rStyle w:val="StrongEmphasis"/>
          <w:rFonts w:ascii="Arial" w:hAnsi="Arial"/>
          <w:color w:val="1A2343"/>
          <w:sz w:val="20"/>
        </w:rPr>
        <w:t>FINAL RESULTS – 2020-2022 PERFORMANCE-BASED AWARDS</w:t>
      </w:r>
    </w:p>
    <w:p>
      <w:pPr>
        <w:pStyle w:val="TextBody"/>
        <w:jc w:val="left"/>
        <w:rPr/>
      </w:pPr>
      <w:r>
        <w:rPr>
          <w:rFonts w:ascii="Arial" w:hAnsi="Arial"/>
          <w:sz w:val="20"/>
        </w:rPr>
        <w:t xml:space="preserve">The performance period for the 2020 annual performance-based equity awards concluded on December 31, 2022. Under the program, </w:t>
      </w:r>
      <w:r>
        <w:rPr>
          <w:rStyle w:val="StrongEmphasis"/>
          <w:rFonts w:ascii="Arial" w:hAnsi="Arial"/>
          <w:sz w:val="20"/>
        </w:rPr>
        <w:t>115.44%</w:t>
      </w:r>
      <w:r>
        <w:rPr>
          <w:rFonts w:ascii="Arial" w:hAnsi="Arial"/>
          <w:sz w:val="20"/>
        </w:rPr>
        <w:t xml:space="preserve"> of the target operational component was initially earned, which amount was </w:t>
      </w:r>
      <w:r>
        <w:rPr>
          <w:rStyle w:val="StrongEmphasis"/>
          <w:rFonts w:ascii="Arial" w:hAnsi="Arial"/>
          <w:sz w:val="20"/>
        </w:rPr>
        <w:t>reduced by 12.5%</w:t>
      </w:r>
      <w:r>
        <w:rPr>
          <w:rFonts w:ascii="Arial" w:hAnsi="Arial"/>
          <w:sz w:val="20"/>
        </w:rPr>
        <w:t xml:space="preserve"> following application of the absolute TSR modifier at the end of the performance period. We also earned </w:t>
      </w:r>
      <w:r>
        <w:rPr>
          <w:rStyle w:val="StrongEmphasis"/>
          <w:rFonts w:ascii="Arial" w:hAnsi="Arial"/>
          <w:sz w:val="20"/>
        </w:rPr>
        <w:t>75.49%</w:t>
      </w:r>
      <w:r>
        <w:rPr>
          <w:rFonts w:ascii="Arial" w:hAnsi="Arial"/>
          <w:sz w:val="20"/>
        </w:rPr>
        <w:t xml:space="preserve"> of target for the one-third of the relative component that could be earned based on our performance relative to the NYC REIT Peers and </w:t>
      </w:r>
      <w:r>
        <w:rPr>
          <w:rStyle w:val="StrongEmphasis"/>
          <w:rFonts w:ascii="Arial" w:hAnsi="Arial"/>
          <w:sz w:val="20"/>
        </w:rPr>
        <w:t>0.00%</w:t>
      </w:r>
      <w:r>
        <w:rPr>
          <w:rFonts w:ascii="Arial" w:hAnsi="Arial"/>
          <w:sz w:val="20"/>
        </w:rPr>
        <w:t xml:space="preserve"> of the two-thirds of the relative component that could be earned based on our performance relative to the Office REIT Peers.</w:t>
      </w:r>
    </w:p>
    <w:p>
      <w:pPr>
        <w:pStyle w:val="TextBody"/>
        <w:jc w:val="left"/>
        <w:rPr/>
      </w:pPr>
      <w:r>
        <w:rPr>
          <w:rFonts w:ascii="Arial" w:hAnsi="Arial"/>
          <w:sz w:val="20"/>
        </w:rPr>
        <w:t xml:space="preserve">Although we outperformed on the operational aspects of the award that were most under the control of our management team, because our TSR performance was disappointing the aggregate payout for the award was </w:t>
      </w:r>
      <w:r>
        <w:rPr>
          <w:rStyle w:val="StrongEmphasis"/>
          <w:rFonts w:ascii="Arial" w:hAnsi="Arial"/>
          <w:sz w:val="20"/>
        </w:rPr>
        <w:t>reduced to approximately 63%</w:t>
      </w:r>
      <w:r>
        <w:rPr>
          <w:rFonts w:ascii="Arial" w:hAnsi="Arial"/>
          <w:sz w:val="20"/>
        </w:rPr>
        <w:t>, below target levels.</w:t>
      </w:r>
    </w:p>
    <w:p>
      <w:pPr>
        <w:pStyle w:val="TextBody"/>
        <w:jc w:val="left"/>
        <w:rPr>
          <w:rFonts w:ascii="Arial" w:hAnsi="Arial"/>
          <w:sz w:val="20"/>
        </w:rPr>
      </w:pPr>
      <w:r>
        <w:rPr>
          <w:rFonts w:ascii="Arial" w:hAnsi="Arial"/>
          <w:sz w:val="20"/>
        </w:rPr>
        <w:t>The table below summarizes the final value of these awards as of the conclusion of the performance period:</w:t>
      </w:r>
    </w:p>
    <w:tbl>
      <w:tblPr>
        <w:tblW w:w="10205" w:type="dxa"/>
        <w:jc w:val="left"/>
        <w:tblInd w:w="0" w:type="dxa"/>
        <w:tblCellMar>
          <w:top w:w="0" w:type="dxa"/>
          <w:left w:w="0" w:type="dxa"/>
          <w:bottom w:w="28" w:type="dxa"/>
          <w:right w:w="0" w:type="dxa"/>
        </w:tblCellMar>
      </w:tblPr>
      <w:tblGrid>
        <w:gridCol w:w="1879"/>
        <w:gridCol w:w="300"/>
        <w:gridCol w:w="425"/>
        <w:gridCol w:w="875"/>
        <w:gridCol w:w="300"/>
        <w:gridCol w:w="1179"/>
        <w:gridCol w:w="300"/>
        <w:gridCol w:w="1370"/>
        <w:gridCol w:w="300"/>
        <w:gridCol w:w="725"/>
        <w:gridCol w:w="875"/>
        <w:gridCol w:w="300"/>
        <w:gridCol w:w="1377"/>
      </w:tblGrid>
      <w:tr>
        <w:trPr/>
        <w:tc>
          <w:tcPr>
            <w:tcW w:w="1879"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Executive</w:t>
            </w:r>
          </w:p>
        </w:tc>
        <w:tc>
          <w:tcPr>
            <w:tcW w:w="300" w:type="dxa"/>
            <w:tcBorders/>
            <w:shd w:fill="auto" w:val="clear"/>
            <w:tcMar>
              <w:bottom w:w="0" w:type="dxa"/>
            </w:tcMar>
            <w:vAlign w:val="center"/>
          </w:tcPr>
          <w:p>
            <w:pPr>
              <w:pStyle w:val="TableContents"/>
              <w:spacing w:before="0" w:after="283"/>
              <w:jc w:val="left"/>
              <w:rPr/>
            </w:pPr>
            <w:r>
              <w:rPr/>
              <w:t>     </w:t>
            </w:r>
          </w:p>
        </w:tc>
        <w:tc>
          <w:tcPr>
            <w:tcW w:w="1300" w:type="dxa"/>
            <w:gridSpan w:val="2"/>
            <w:tcBorders>
              <w:bottom w:val="single" w:sz="12" w:space="0" w:color="1A2343"/>
            </w:tcBorders>
            <w:shd w:fill="auto" w:val="clear"/>
            <w:vAlign w:val="center"/>
          </w:tcPr>
          <w:p>
            <w:pPr>
              <w:pStyle w:val="TableContents"/>
              <w:spacing w:before="0" w:after="283"/>
              <w:jc w:val="right"/>
              <w:rPr>
                <w:rFonts w:ascii="Arial" w:hAnsi="Arial"/>
                <w:sz w:val="15"/>
              </w:rPr>
            </w:pPr>
            <w:r>
              <w:rPr>
                <w:rFonts w:ascii="Arial" w:hAnsi="Arial"/>
                <w:sz w:val="15"/>
              </w:rPr>
              <w:t>Target Value of</w:t>
              <w:br/>
              <w:t>Grant</w:t>
            </w:r>
          </w:p>
        </w:tc>
        <w:tc>
          <w:tcPr>
            <w:tcW w:w="300" w:type="dxa"/>
            <w:tcBorders/>
            <w:shd w:fill="auto" w:val="clear"/>
            <w:tcMar>
              <w:bottom w:w="0" w:type="dxa"/>
            </w:tcMar>
            <w:vAlign w:val="center"/>
          </w:tcPr>
          <w:p>
            <w:pPr>
              <w:pStyle w:val="TableContents"/>
              <w:spacing w:before="0" w:after="283"/>
              <w:jc w:val="right"/>
              <w:rPr/>
            </w:pPr>
            <w:r>
              <w:rPr/>
              <w:t>     </w:t>
            </w:r>
          </w:p>
        </w:tc>
        <w:tc>
          <w:tcPr>
            <w:tcW w:w="1179"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Number of Units</w:t>
              <w:br/>
              <w:t>Earned at Target</w:t>
            </w:r>
          </w:p>
        </w:tc>
        <w:tc>
          <w:tcPr>
            <w:tcW w:w="300" w:type="dxa"/>
            <w:tcBorders/>
            <w:shd w:fill="auto" w:val="clear"/>
            <w:tcMar>
              <w:bottom w:w="0" w:type="dxa"/>
            </w:tcMar>
            <w:vAlign w:val="center"/>
          </w:tcPr>
          <w:p>
            <w:pPr>
              <w:pStyle w:val="TableContents"/>
              <w:spacing w:before="0" w:after="283"/>
              <w:jc w:val="right"/>
              <w:rPr/>
            </w:pPr>
            <w:r>
              <w:rPr/>
              <w:t>     </w:t>
            </w:r>
          </w:p>
        </w:tc>
        <w:tc>
          <w:tcPr>
            <w:tcW w:w="1370"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Earned Units as of</w:t>
              <w:br/>
              <w:t>December 31, 2022</w:t>
            </w:r>
          </w:p>
        </w:tc>
        <w:tc>
          <w:tcPr>
            <w:tcW w:w="300" w:type="dxa"/>
            <w:tcBorders/>
            <w:shd w:fill="auto" w:val="clear"/>
            <w:tcMar>
              <w:bottom w:w="0" w:type="dxa"/>
            </w:tcMar>
            <w:vAlign w:val="center"/>
          </w:tcPr>
          <w:p>
            <w:pPr>
              <w:pStyle w:val="TableContents"/>
              <w:spacing w:before="0" w:after="283"/>
              <w:jc w:val="right"/>
              <w:rPr/>
            </w:pPr>
            <w:r>
              <w:rPr/>
              <w:t>     </w:t>
            </w:r>
          </w:p>
        </w:tc>
        <w:tc>
          <w:tcPr>
            <w:tcW w:w="1600" w:type="dxa"/>
            <w:gridSpan w:val="2"/>
            <w:tcBorders>
              <w:bottom w:val="single" w:sz="12" w:space="0" w:color="1A2343"/>
            </w:tcBorders>
            <w:shd w:fill="auto" w:val="clear"/>
            <w:vAlign w:val="center"/>
          </w:tcPr>
          <w:p>
            <w:pPr>
              <w:pStyle w:val="TableContents"/>
              <w:spacing w:before="0" w:after="283"/>
              <w:jc w:val="right"/>
              <w:rPr>
                <w:rFonts w:ascii="Arial" w:hAnsi="Arial"/>
                <w:sz w:val="15"/>
              </w:rPr>
            </w:pPr>
            <w:r>
              <w:rPr>
                <w:rFonts w:ascii="Arial" w:hAnsi="Arial"/>
                <w:sz w:val="15"/>
              </w:rPr>
              <w:t>Realized Value as of</w:t>
              <w:br/>
              <w:t>December 31, 2022</w:t>
            </w:r>
            <w:r>
              <w:rPr>
                <w:rFonts w:ascii="Arial" w:hAnsi="Arial"/>
                <w:position w:val="5"/>
                <w:sz w:val="12"/>
                <w:sz w:val="15"/>
              </w:rPr>
              <w:t>(1)</w:t>
            </w:r>
          </w:p>
        </w:tc>
        <w:tc>
          <w:tcPr>
            <w:tcW w:w="300" w:type="dxa"/>
            <w:tcBorders/>
            <w:shd w:fill="auto" w:val="clear"/>
            <w:tcMar>
              <w:bottom w:w="0" w:type="dxa"/>
            </w:tcMar>
            <w:vAlign w:val="center"/>
          </w:tcPr>
          <w:p>
            <w:pPr>
              <w:pStyle w:val="TableContents"/>
              <w:spacing w:before="0" w:after="283"/>
              <w:jc w:val="right"/>
              <w:rPr/>
            </w:pPr>
            <w:r>
              <w:rPr/>
              <w:t>     </w:t>
            </w:r>
          </w:p>
        </w:tc>
        <w:tc>
          <w:tcPr>
            <w:tcW w:w="1377"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Realized Value as</w:t>
              <w:br/>
              <w:t>a Percentage of</w:t>
              <w:br/>
              <w:t>Target Value as of</w:t>
              <w:br/>
              <w:t>December 31, 2022</w:t>
            </w:r>
          </w:p>
        </w:tc>
      </w:tr>
      <w:tr>
        <w:trPr/>
        <w:tc>
          <w:tcPr>
            <w:tcW w:w="1879"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Marc Holliday</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vAlign w:val="center"/>
          </w:tcPr>
          <w:p>
            <w:pPr>
              <w:pStyle w:val="TableContents"/>
              <w:spacing w:before="0" w:after="283"/>
              <w:jc w:val="right"/>
              <w:rPr/>
            </w:pPr>
            <w:r>
              <w:rPr/>
              <w:t>     </w:t>
            </w:r>
            <w:r>
              <w:rPr>
                <w:rFonts w:ascii="Arial" w:hAnsi="Arial"/>
                <w:sz w:val="20"/>
              </w:rPr>
              <w:t>$</w:t>
            </w:r>
          </w:p>
        </w:tc>
        <w:tc>
          <w:tcPr>
            <w:tcW w:w="87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7,500,000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79"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82,157</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37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51,831</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vAlign w:val="center"/>
          </w:tcPr>
          <w:p>
            <w:pPr>
              <w:pStyle w:val="TableContents"/>
              <w:spacing w:before="0" w:after="283"/>
              <w:jc w:val="right"/>
              <w:rPr/>
            </w:pPr>
            <w:r>
              <w:rPr/>
              <w:t>          </w:t>
            </w:r>
            <w:r>
              <w:rPr>
                <w:rFonts w:ascii="Arial" w:hAnsi="Arial"/>
                <w:sz w:val="20"/>
              </w:rPr>
              <w:t>$</w:t>
            </w:r>
          </w:p>
        </w:tc>
        <w:tc>
          <w:tcPr>
            <w:tcW w:w="87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1,747,741</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377"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23.3%</w:t>
            </w:r>
          </w:p>
        </w:tc>
      </w:tr>
      <w:tr>
        <w:trPr/>
        <w:tc>
          <w:tcPr>
            <w:tcW w:w="1879"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Andrew Mathias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w:t>
            </w:r>
          </w:p>
        </w:tc>
        <w:tc>
          <w:tcPr>
            <w:tcW w:w="87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6,000,000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79"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65,726</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37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41,465</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w:t>
            </w:r>
          </w:p>
        </w:tc>
        <w:tc>
          <w:tcPr>
            <w:tcW w:w="87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1,398,200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377"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23.3%</w:t>
            </w:r>
          </w:p>
        </w:tc>
      </w:tr>
      <w:tr>
        <w:trPr/>
        <w:tc>
          <w:tcPr>
            <w:tcW w:w="1879"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Matthew J. DiLiberto</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w:t>
            </w:r>
          </w:p>
        </w:tc>
        <w:tc>
          <w:tcPr>
            <w:tcW w:w="87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555,556</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79"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6,086</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37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3,839</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w:t>
            </w:r>
          </w:p>
        </w:tc>
        <w:tc>
          <w:tcPr>
            <w:tcW w:w="87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129,451</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377"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23.3%</w:t>
            </w:r>
          </w:p>
        </w:tc>
      </w:tr>
      <w:tr>
        <w:trPr/>
        <w:tc>
          <w:tcPr>
            <w:tcW w:w="1879" w:type="dxa"/>
            <w:tcBorders>
              <w:bottom w:val="single" w:sz="12" w:space="0" w:color="1A2343"/>
            </w:tcBorders>
            <w:shd w:fill="auto" w:val="clear"/>
            <w:vAlign w:val="center"/>
          </w:tcPr>
          <w:p>
            <w:pPr>
              <w:pStyle w:val="TableContents"/>
              <w:spacing w:before="0" w:after="283"/>
              <w:jc w:val="left"/>
              <w:rPr/>
            </w:pPr>
            <w:r>
              <w:rPr>
                <w:rStyle w:val="StrongEmphasis"/>
                <w:rFonts w:ascii="Arial" w:hAnsi="Arial"/>
                <w:color w:val="1A2343"/>
                <w:sz w:val="20"/>
              </w:rPr>
              <w:t>Andrew S. Levine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25" w:type="dxa"/>
            <w:tcBorders>
              <w:bottom w:val="single" w:sz="12" w:space="0" w:color="1A2343"/>
            </w:tcBorders>
            <w:shd w:fill="auto" w:val="clear"/>
            <w:vAlign w:val="center"/>
          </w:tcPr>
          <w:p>
            <w:pPr>
              <w:pStyle w:val="TableContents"/>
              <w:spacing w:before="0" w:after="283"/>
              <w:jc w:val="right"/>
              <w:rPr>
                <w:rFonts w:ascii="Arial" w:hAnsi="Arial"/>
                <w:sz w:val="20"/>
              </w:rPr>
            </w:pPr>
            <w:r>
              <w:rPr>
                <w:rFonts w:ascii="Arial" w:hAnsi="Arial"/>
                <w:sz w:val="20"/>
              </w:rPr>
              <w:t>$</w:t>
            </w:r>
          </w:p>
        </w:tc>
        <w:tc>
          <w:tcPr>
            <w:tcW w:w="875" w:type="dxa"/>
            <w:tcBorders>
              <w:bottom w:val="single" w:sz="12" w:space="0" w:color="1A2343"/>
            </w:tcBorders>
            <w:shd w:fill="auto" w:val="clear"/>
            <w:vAlign w:val="center"/>
          </w:tcPr>
          <w:p>
            <w:pPr>
              <w:pStyle w:val="TableContents"/>
              <w:spacing w:before="0" w:after="283"/>
              <w:jc w:val="right"/>
              <w:rPr>
                <w:rFonts w:ascii="Arial" w:hAnsi="Arial"/>
                <w:sz w:val="20"/>
              </w:rPr>
            </w:pPr>
            <w:r>
              <w:rPr>
                <w:rFonts w:ascii="Arial" w:hAnsi="Arial"/>
                <w:sz w:val="20"/>
              </w:rPr>
              <w:t>555,556</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79" w:type="dxa"/>
            <w:tcBorders>
              <w:bottom w:val="single" w:sz="12" w:space="0" w:color="1A2343"/>
            </w:tcBorders>
            <w:shd w:fill="auto" w:val="clear"/>
            <w:vAlign w:val="center"/>
          </w:tcPr>
          <w:p>
            <w:pPr>
              <w:pStyle w:val="TableContents"/>
              <w:spacing w:before="0" w:after="283"/>
              <w:jc w:val="right"/>
              <w:rPr>
                <w:rFonts w:ascii="Arial" w:hAnsi="Arial"/>
                <w:sz w:val="20"/>
              </w:rPr>
            </w:pPr>
            <w:r>
              <w:rPr>
                <w:rFonts w:ascii="Arial" w:hAnsi="Arial"/>
                <w:sz w:val="20"/>
              </w:rPr>
              <w:t>6,086</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370" w:type="dxa"/>
            <w:tcBorders>
              <w:bottom w:val="single" w:sz="12" w:space="0" w:color="1A2343"/>
            </w:tcBorders>
            <w:shd w:fill="auto" w:val="clear"/>
            <w:vAlign w:val="center"/>
          </w:tcPr>
          <w:p>
            <w:pPr>
              <w:pStyle w:val="TableContents"/>
              <w:spacing w:before="0" w:after="283"/>
              <w:jc w:val="right"/>
              <w:rPr>
                <w:rFonts w:ascii="Arial" w:hAnsi="Arial"/>
                <w:sz w:val="20"/>
              </w:rPr>
            </w:pPr>
            <w:r>
              <w:rPr>
                <w:rFonts w:ascii="Arial" w:hAnsi="Arial"/>
                <w:sz w:val="20"/>
              </w:rPr>
              <w:t>3,839</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25" w:type="dxa"/>
            <w:tcBorders>
              <w:bottom w:val="single" w:sz="12" w:space="0" w:color="1A2343"/>
            </w:tcBorders>
            <w:shd w:fill="auto" w:val="clear"/>
            <w:vAlign w:val="center"/>
          </w:tcPr>
          <w:p>
            <w:pPr>
              <w:pStyle w:val="TableContents"/>
              <w:spacing w:before="0" w:after="283"/>
              <w:jc w:val="right"/>
              <w:rPr>
                <w:rFonts w:ascii="Arial" w:hAnsi="Arial"/>
                <w:sz w:val="20"/>
              </w:rPr>
            </w:pPr>
            <w:r>
              <w:rPr>
                <w:rFonts w:ascii="Arial" w:hAnsi="Arial"/>
                <w:sz w:val="20"/>
              </w:rPr>
              <w:t>$</w:t>
            </w:r>
          </w:p>
        </w:tc>
        <w:tc>
          <w:tcPr>
            <w:tcW w:w="875" w:type="dxa"/>
            <w:tcBorders>
              <w:bottom w:val="single" w:sz="12" w:space="0" w:color="1A2343"/>
            </w:tcBorders>
            <w:shd w:fill="auto" w:val="clear"/>
            <w:vAlign w:val="center"/>
          </w:tcPr>
          <w:p>
            <w:pPr>
              <w:pStyle w:val="TableContents"/>
              <w:spacing w:before="0" w:after="283"/>
              <w:jc w:val="right"/>
              <w:rPr>
                <w:rFonts w:ascii="Arial" w:hAnsi="Arial"/>
                <w:sz w:val="20"/>
              </w:rPr>
            </w:pPr>
            <w:r>
              <w:rPr>
                <w:rFonts w:ascii="Arial" w:hAnsi="Arial"/>
                <w:sz w:val="20"/>
              </w:rPr>
              <w:t>129,451</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377" w:type="dxa"/>
            <w:tcBorders>
              <w:bottom w:val="single" w:sz="12" w:space="0" w:color="1A2343"/>
            </w:tcBorders>
            <w:shd w:fill="auto" w:val="clear"/>
            <w:vAlign w:val="center"/>
          </w:tcPr>
          <w:p>
            <w:pPr>
              <w:pStyle w:val="TableContents"/>
              <w:spacing w:before="0" w:after="283"/>
              <w:jc w:val="right"/>
              <w:rPr>
                <w:rFonts w:ascii="Arial" w:hAnsi="Arial"/>
                <w:sz w:val="20"/>
              </w:rPr>
            </w:pPr>
            <w:r>
              <w:rPr>
                <w:rFonts w:ascii="Arial" w:hAnsi="Arial"/>
                <w:sz w:val="20"/>
              </w:rPr>
              <w:t>23.3%</w:t>
            </w:r>
          </w:p>
        </w:tc>
      </w:tr>
    </w:tbl>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 </w:t>
            </w:r>
          </w:p>
        </w:tc>
        <w:tc>
          <w:tcPr>
            <w:tcW w:w="9962" w:type="dxa"/>
            <w:tcBorders/>
            <w:shd w:fill="auto" w:val="clear"/>
            <w:vAlign w:val="center"/>
          </w:tcPr>
          <w:p>
            <w:pPr>
              <w:pStyle w:val="TableContents"/>
              <w:spacing w:before="0" w:after="283"/>
              <w:jc w:val="left"/>
              <w:rPr>
                <w:rFonts w:ascii="Arial" w:hAnsi="Arial"/>
                <w:sz w:val="15"/>
              </w:rPr>
            </w:pPr>
            <w:r>
              <w:rPr>
                <w:rFonts w:ascii="Arial" w:hAnsi="Arial"/>
                <w:sz w:val="15"/>
              </w:rPr>
              <w:t>Based on a per share price of $33.72, which was the closing stock price on the NYSE of one share of our common stock on December 30, 2022.</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455" w:type="dxa"/>
        <w:jc w:val="left"/>
        <w:tblInd w:w="0" w:type="dxa"/>
        <w:tblCellMar>
          <w:top w:w="0" w:type="dxa"/>
          <w:left w:w="0" w:type="dxa"/>
          <w:bottom w:w="0" w:type="dxa"/>
          <w:right w:w="0" w:type="dxa"/>
        </w:tblCellMar>
      </w:tblPr>
      <w:tblGrid>
        <w:gridCol w:w="2165"/>
        <w:gridCol w:w="290"/>
      </w:tblGrid>
      <w:tr>
        <w:trPr/>
        <w:tc>
          <w:tcPr>
            <w:tcW w:w="2165" w:type="dxa"/>
            <w:tcBorders/>
            <w:shd w:fill="auto" w:val="clear"/>
            <w:vAlign w:val="center"/>
          </w:tcPr>
          <w:p>
            <w:pPr>
              <w:pStyle w:val="TableContents"/>
              <w:spacing w:before="0" w:after="283"/>
              <w:jc w:val="left"/>
              <w:rPr>
                <w:rFonts w:ascii="Arial" w:hAnsi="Arial"/>
                <w:b/>
                <w:sz w:val="15"/>
              </w:rPr>
            </w:pPr>
            <w:r>
              <w:rPr>
                <w:rFonts w:ascii="Arial" w:hAnsi="Arial"/>
                <w:b/>
                <w:sz w:val="15"/>
              </w:rPr>
              <w:t>EXECUTIVE COMPENSATION</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55</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F3F6EA" w:val="clear"/>
            <w:vAlign w:val="center"/>
          </w:tcPr>
          <w:p>
            <w:pPr>
              <w:pStyle w:val="TableContents"/>
              <w:spacing w:before="0" w:after="283"/>
              <w:jc w:val="left"/>
              <w:rPr/>
            </w:pPr>
            <w:r>
              <w:rPr>
                <w:rFonts w:ascii="Arial" w:hAnsi="Arial"/>
                <w:sz w:val="20"/>
              </w:rPr>
              <w:t xml:space="preserve">The final payout for our 2020 annual performance-based equity award highlights the rigor of the program, our pay-for-performance philosophy and the alignment between our executives and our stockholders. Despite exceeding target performance for the operational component, </w:t>
            </w:r>
            <w:r>
              <w:rPr>
                <w:rStyle w:val="StrongEmphasis"/>
                <w:rFonts w:ascii="Arial" w:hAnsi="Arial"/>
                <w:sz w:val="20"/>
              </w:rPr>
              <w:t>the realized value of the award was only 23.3% of the initial target value of the award</w:t>
            </w:r>
            <w:r>
              <w:rPr>
                <w:rFonts w:ascii="Arial" w:hAnsi="Arial"/>
                <w:sz w:val="20"/>
              </w:rPr>
              <w:t>.</w:t>
            </w:r>
          </w:p>
        </w:tc>
      </w:tr>
    </w:tbl>
    <w:p>
      <w:pPr>
        <w:pStyle w:val="TextBody"/>
        <w:spacing w:before="240" w:after="283"/>
        <w:jc w:val="left"/>
        <w:rPr/>
      </w:pPr>
      <w:r>
        <w:rPr>
          <w:rStyle w:val="StrongEmphasis"/>
          <w:rFonts w:ascii="Arial" w:hAnsi="Arial"/>
          <w:color w:val="1A2343"/>
          <w:sz w:val="26"/>
        </w:rPr>
        <w:t>2022 NEO Scorecards</w:t>
      </w:r>
    </w:p>
    <w:p>
      <w:pPr>
        <w:pStyle w:val="TextBody"/>
        <w:jc w:val="left"/>
        <w:rPr>
          <w:rFonts w:ascii="Arial" w:hAnsi="Arial"/>
          <w:sz w:val="20"/>
        </w:rPr>
      </w:pPr>
      <w:r>
        <w:rPr>
          <w:rFonts w:ascii="Arial" w:hAnsi="Arial"/>
          <w:sz w:val="20"/>
        </w:rPr>
        <w:t>The following scorecards summarize each element of compensation received by our NEOs for 2022 as of December 31, 2022. For purposes of framing the compensation decisions and pay outcomes, we present the “total direct compensation,” or TDC, amounts awarded for 2022 and contrast such amounts to “projected realizable compensation,” or PRC, for 2022. We believe this presentation provides investors with a clearer understanding of the compensation decisions made by the Committee and the strength of the alignment between pay for performance under our compensation program.</w:t>
      </w:r>
    </w:p>
    <w:p>
      <w:pPr>
        <w:pStyle w:val="TextBody"/>
        <w:jc w:val="left"/>
        <w:rPr>
          <w:rFonts w:ascii="Arial" w:hAnsi="Arial"/>
          <w:sz w:val="20"/>
        </w:rPr>
      </w:pPr>
      <w:r>
        <w:rPr>
          <w:rFonts w:ascii="Arial" w:hAnsi="Arial"/>
          <w:sz w:val="20"/>
        </w:rPr>
        <w:t>For purposes of the PRC calculations, we treated all compensation granted for 2022 in the form of LTIP units as having been issued and outstanding as of December 31, 2022, even amounts issued in January 2023 related to 2022 compensation. Performance-based awards are presented at the target notional value for purposes of TDC and, for purposes of PRC, assuming that our performance through the end of the performance period is the same as our performance as of December 31, 2022.</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F3F6EA" w:val="clear"/>
            <w:vAlign w:val="center"/>
          </w:tcPr>
          <w:p>
            <w:pPr>
              <w:pStyle w:val="TableContents"/>
              <w:spacing w:before="0" w:after="283"/>
              <w:jc w:val="left"/>
              <w:rPr/>
            </w:pPr>
            <w:r>
              <w:rPr>
                <w:rStyle w:val="StrongEmphasis"/>
                <w:rFonts w:ascii="Arial" w:hAnsi="Arial"/>
                <w:sz w:val="20"/>
              </w:rPr>
              <w:t>The Projected Realizable Compensation for all of our NEOs in 2022 is significantly lower than both the Total Direct Compensation approved by the Committee for 2022 and the amounts reported in the Summary Compensation Table.</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56</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0" w:after="0"/>
        <w:rPr/>
      </w:pPr>
      <w:r>
        <w:rPr/>
      </w: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1684655" cy="4353560"/>
                <wp:effectExtent l="0" t="0" r="0" b="0"/>
                <wp:wrapSquare wrapText="largest"/>
                <wp:docPr id="453" name="Frame39"/>
                <a:graphic xmlns:a="http://schemas.openxmlformats.org/drawingml/2006/main">
                  <a:graphicData uri="http://schemas.microsoft.com/office/word/2010/wordprocessingShape">
                    <wps:wsp>
                      <wps:cNvSpPr txBox="1"/>
                      <wps:spPr>
                        <a:xfrm>
                          <a:off x="0" y="0"/>
                          <a:ext cx="1684655" cy="4353560"/>
                        </a:xfrm>
                        <a:prstGeom prst="rect"/>
                      </wps:spPr>
                      <wps:txbx>
                        <w:txbxContent>
                          <w:tbl>
                            <w:tblPr>
                              <w:tblW w:w="10205" w:type="dxa"/>
                              <w:jc w:val="left"/>
                              <w:tblInd w:w="0" w:type="dxa"/>
                              <w:tblCellMar>
                                <w:top w:w="0" w:type="dxa"/>
                                <w:left w:w="0" w:type="dxa"/>
                                <w:bottom w:w="0" w:type="dxa"/>
                                <w:right w:w="0" w:type="dxa"/>
                              </w:tblCellMar>
                            </w:tblPr>
                            <w:tblGrid>
                              <w:gridCol w:w="180"/>
                              <w:gridCol w:w="9845"/>
                              <w:gridCol w:w="180"/>
                            </w:tblGrid>
                            <w:tr>
                              <w:trPr/>
                              <w:tc>
                                <w:tcPr>
                                  <w:tcW w:w="180" w:type="dxa"/>
                                  <w:tcBorders/>
                                  <w:shd w:fill="auto" w:val="clear"/>
                                  <w:vAlign w:val="center"/>
                                </w:tcPr>
                                <w:p>
                                  <w:pPr>
                                    <w:pStyle w:val="TableContents"/>
                                    <w:spacing w:before="0" w:after="283"/>
                                    <w:jc w:val="left"/>
                                    <w:rPr/>
                                  </w:pPr>
                                  <w:r>
                                    <w:rPr/>
                                    <w:t>   </w:t>
                                  </w:r>
                                </w:p>
                              </w:tc>
                              <w:tc>
                                <w:tcPr>
                                  <w:tcW w:w="9845" w:type="dxa"/>
                                  <w:tcBorders>
                                    <w:top w:val="single" w:sz="32" w:space="0" w:color="8EAD3C"/>
                                    <w:left w:val="single" w:sz="32" w:space="0" w:color="8EAD3C"/>
                                  </w:tcBorders>
                                  <w:shd w:fill="auto" w:val="clear"/>
                                  <w:tcMar>
                                    <w:top w:w="28" w:type="dxa"/>
                                    <w:left w:w="28" w:type="dxa"/>
                                  </w:tcMar>
                                  <w:vAlign w:val="center"/>
                                </w:tcPr>
                                <w:p>
                                  <w:pPr>
                                    <w:pStyle w:val="TableContents"/>
                                    <w:spacing w:before="0" w:after="283"/>
                                    <w:rPr>
                                      <w:sz w:val="4"/>
                                      <w:szCs w:val="4"/>
                                    </w:rPr>
                                  </w:pPr>
                                  <w:r>
                                    <w:rPr>
                                      <w:sz w:val="4"/>
                                      <w:szCs w:val="4"/>
                                    </w:rPr>
                                  </w:r>
                                </w:p>
                              </w:tc>
                              <w:tc>
                                <w:tcPr>
                                  <w:tcW w:w="180" w:type="dxa"/>
                                  <w:tcBorders>
                                    <w:top w:val="single" w:sz="32" w:space="0" w:color="8EAD3C"/>
                                    <w:right w:val="single" w:sz="32" w:space="0" w:color="8EAD3C"/>
                                  </w:tcBorders>
                                  <w:shd w:fill="auto" w:val="clear"/>
                                  <w:tcMar>
                                    <w:top w:w="28" w:type="dxa"/>
                                    <w:right w:w="28" w:type="dxa"/>
                                  </w:tcMar>
                                  <w:vAlign w:val="center"/>
                                </w:tcPr>
                                <w:p>
                                  <w:pPr>
                                    <w:pStyle w:val="TableContents"/>
                                    <w:spacing w:before="0" w:after="283"/>
                                    <w:jc w:val="left"/>
                                    <w:rPr/>
                                  </w:pPr>
                                  <w:r>
                                    <w:rPr/>
                                    <w:t>   </w:t>
                                  </w:r>
                                </w:p>
                              </w:tc>
                            </w:tr>
                            <w:tr>
                              <w:trPr/>
                              <w:tc>
                                <w:tcPr>
                                  <w:tcW w:w="180" w:type="dxa"/>
                                  <w:tcBorders/>
                                  <w:shd w:fill="1A2343" w:val="clear"/>
                                  <w:vAlign w:val="center"/>
                                </w:tcPr>
                                <w:p>
                                  <w:pPr>
                                    <w:pStyle w:val="TableContents"/>
                                    <w:spacing w:before="0" w:after="283"/>
                                    <w:rPr>
                                      <w:sz w:val="4"/>
                                      <w:szCs w:val="4"/>
                                    </w:rPr>
                                  </w:pPr>
                                  <w:r>
                                    <w:rPr>
                                      <w:sz w:val="4"/>
                                      <w:szCs w:val="4"/>
                                    </w:rPr>
                                  </w:r>
                                </w:p>
                              </w:tc>
                              <w:tc>
                                <w:tcPr>
                                  <w:tcW w:w="9845" w:type="dxa"/>
                                  <w:tcBorders/>
                                  <w:shd w:fill="1A2343" w:val="clear"/>
                                  <w:vAlign w:val="center"/>
                                </w:tcPr>
                                <w:p>
                                  <w:pPr>
                                    <w:pStyle w:val="TableContents"/>
                                    <w:spacing w:before="0" w:after="120"/>
                                    <w:jc w:val="left"/>
                                    <w:rPr>
                                      <w:rFonts w:ascii="Arial" w:hAnsi="Arial"/>
                                      <w:b/>
                                      <w:color w:val="FFFFFF"/>
                                      <w:sz w:val="24"/>
                                    </w:rPr>
                                  </w:pPr>
                                  <w:r>
                                    <w:rPr>
                                      <w:rFonts w:ascii="Arial" w:hAnsi="Arial"/>
                                      <w:b/>
                                      <w:color w:val="FFFFFF"/>
                                      <w:sz w:val="24"/>
                                    </w:rPr>
                                    <w:t>MARC HOLLIDAY</w:t>
                                  </w:r>
                                </w:p>
                                <w:p>
                                  <w:pPr>
                                    <w:pStyle w:val="TableContents"/>
                                    <w:spacing w:before="0" w:after="120"/>
                                    <w:jc w:val="center"/>
                                    <w:rPr/>
                                  </w:pPr>
                                  <w:r>
                                    <w:rPr/>
                                    <w:drawing>
                                      <wp:inline distT="0" distB="0" distL="0" distR="0">
                                        <wp:extent cx="1085850" cy="1390650"/>
                                        <wp:effectExtent l="0" t="0" r="0" b="0"/>
                                        <wp:docPr id="454"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320" descr=""/>
                                                <pic:cNvPicPr>
                                                  <a:picLocks noChangeAspect="1" noChangeArrowheads="1"/>
                                                </pic:cNvPicPr>
                                              </pic:nvPicPr>
                                              <pic:blipFill>
                                                <a:blip r:embed="rId321"/>
                                                <a:srcRect l="-928" t="-724" r="-928" b="-724"/>
                                                <a:stretch>
                                                  <a:fillRect/>
                                                </a:stretch>
                                              </pic:blipFill>
                                              <pic:spPr bwMode="auto">
                                                <a:xfrm>
                                                  <a:off x="0" y="0"/>
                                                  <a:ext cx="1085850" cy="1390650"/>
                                                </a:xfrm>
                                                <a:prstGeom prst="rect">
                                                  <a:avLst/>
                                                </a:prstGeom>
                                                <a:ln w="635">
                                                  <a:solidFill>
                                                    <a:srgbClr val="000000"/>
                                                  </a:solidFill>
                                                </a:ln>
                                              </pic:spPr>
                                            </pic:pic>
                                          </a:graphicData>
                                        </a:graphic>
                                      </wp:inline>
                                    </w:drawing>
                                  </w:r>
                                </w:p>
                                <w:p>
                                  <w:pPr>
                                    <w:pStyle w:val="TableContents"/>
                                    <w:spacing w:before="0" w:after="120"/>
                                    <w:jc w:val="left"/>
                                    <w:rPr>
                                      <w:rFonts w:ascii="Arial" w:hAnsi="Arial"/>
                                      <w:b/>
                                      <w:color w:val="FFFFFF"/>
                                      <w:sz w:val="20"/>
                                    </w:rPr>
                                  </w:pPr>
                                  <w:r>
                                    <w:rPr>
                                      <w:rFonts w:ascii="Arial" w:hAnsi="Arial"/>
                                      <w:b/>
                                      <w:color w:val="FFFFFF"/>
                                      <w:sz w:val="20"/>
                                    </w:rPr>
                                    <w:t>Chief Executive Officer and Chairman of the Board</w:t>
                                  </w:r>
                                </w:p>
                                <w:p>
                                  <w:pPr>
                                    <w:pStyle w:val="TableContents"/>
                                    <w:spacing w:before="0" w:after="120"/>
                                    <w:jc w:val="left"/>
                                    <w:rPr>
                                      <w:rFonts w:ascii="Arial" w:hAnsi="Arial"/>
                                      <w:color w:val="FFFFFF"/>
                                      <w:sz w:val="20"/>
                                    </w:rPr>
                                  </w:pPr>
                                  <w:r>
                                    <w:rPr>
                                      <w:rFonts w:ascii="Arial" w:hAnsi="Arial"/>
                                      <w:color w:val="FFFFFF"/>
                                      <w:sz w:val="20"/>
                                    </w:rPr>
                                    <w:t>Mr. Holliday’s 2022 compensation reflects the strong alignment between management and our stockholders. Despite delivering a successful operational year in many respects, especially in light of the extremely challenging economic environment, projected realizable pay was significantly lower for our whole management team. This disparity was driven by the significant portion of our compensation program that is equity-based, and particularly impacted Mr. Holliday’s projected realizable pay. However, the unvested equity awards will continue to motivate future outperformance despite the disappointing performance to date.</w:t>
                                  </w:r>
                                </w:p>
                                <w:p>
                                  <w:pPr>
                                    <w:pStyle w:val="TableContents"/>
                                    <w:spacing w:before="0" w:after="0"/>
                                    <w:jc w:val="left"/>
                                    <w:rPr>
                                      <w:rFonts w:ascii="Arial" w:hAnsi="Arial"/>
                                      <w:b/>
                                      <w:color w:val="FFFFFF"/>
                                      <w:sz w:val="20"/>
                                    </w:rPr>
                                  </w:pPr>
                                  <w:r>
                                    <w:rPr>
                                      <w:rFonts w:ascii="Arial" w:hAnsi="Arial"/>
                                      <w:b/>
                                      <w:color w:val="FFFFFF"/>
                                      <w:sz w:val="20"/>
                                    </w:rPr>
                                    <w:t>The Projected Realizable Compensation for Mr. Holliday in 2022 is approximately 35% lower than the Total Direct Compensation approved by the Committee for 2022 and approximately 40% lower than the amount reported in the Summary Compensation Table.</w:t>
                                  </w:r>
                                </w:p>
                              </w:tc>
                              <w:tc>
                                <w:tcPr>
                                  <w:tcW w:w="180" w:type="dxa"/>
                                  <w:tcBorders>
                                    <w:right w:val="single" w:sz="32" w:space="0" w:color="8EAD3C"/>
                                  </w:tcBorders>
                                  <w:shd w:fill="auto" w:val="clear"/>
                                  <w:tcMar>
                                    <w:right w:w="28" w:type="dxa"/>
                                  </w:tcMar>
                                  <w:vAlign w:val="center"/>
                                </w:tcPr>
                                <w:p>
                                  <w:pPr>
                                    <w:pStyle w:val="TableContents"/>
                                    <w:spacing w:before="0" w:after="283"/>
                                    <w:rPr>
                                      <w:sz w:val="4"/>
                                      <w:szCs w:val="4"/>
                                    </w:rPr>
                                  </w:pPr>
                                  <w:r>
                                    <w:rPr>
                                      <w:sz w:val="4"/>
                                      <w:szCs w:val="4"/>
                                    </w:rPr>
                                  </w:r>
                                </w:p>
                              </w:tc>
                            </w:tr>
                            <w:tr>
                              <w:trPr/>
                              <w:tc>
                                <w:tcPr>
                                  <w:tcW w:w="180" w:type="dxa"/>
                                  <w:tcBorders/>
                                  <w:shd w:fill="auto" w:val="clear"/>
                                  <w:vAlign w:val="center"/>
                                </w:tcPr>
                                <w:p>
                                  <w:pPr>
                                    <w:pStyle w:val="TableContents"/>
                                    <w:spacing w:before="0" w:after="283"/>
                                    <w:rPr>
                                      <w:sz w:val="4"/>
                                      <w:szCs w:val="4"/>
                                    </w:rPr>
                                  </w:pPr>
                                  <w:r>
                                    <w:rPr>
                                      <w:sz w:val="4"/>
                                      <w:szCs w:val="4"/>
                                    </w:rPr>
                                  </w:r>
                                </w:p>
                              </w:tc>
                              <w:tc>
                                <w:tcPr>
                                  <w:tcW w:w="9845" w:type="dxa"/>
                                  <w:tcBorders>
                                    <w:left w:val="single" w:sz="32" w:space="0" w:color="8EAD3C"/>
                                    <w:bottom w:val="single" w:sz="32" w:space="0" w:color="8EAD3C"/>
                                  </w:tcBorders>
                                  <w:shd w:fill="auto" w:val="clear"/>
                                  <w:tcMar>
                                    <w:left w:w="28" w:type="dxa"/>
                                    <w:bottom w:w="28"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right w:w="28"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26000</wp14:pctWidth>
                </wp14:sizeRelH>
              </wp:anchor>
            </w:drawing>
          </mc:Choice>
          <mc:Fallback>
            <w:pict>
              <v:rect style="position:absolute;rotation:0;width:132.65pt;height:342.8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CellMar>
                          <w:top w:w="0" w:type="dxa"/>
                          <w:left w:w="0" w:type="dxa"/>
                          <w:bottom w:w="0" w:type="dxa"/>
                          <w:right w:w="0" w:type="dxa"/>
                        </w:tblCellMar>
                      </w:tblPr>
                      <w:tblGrid>
                        <w:gridCol w:w="180"/>
                        <w:gridCol w:w="9845"/>
                        <w:gridCol w:w="180"/>
                      </w:tblGrid>
                      <w:tr>
                        <w:trPr/>
                        <w:tc>
                          <w:tcPr>
                            <w:tcW w:w="180" w:type="dxa"/>
                            <w:tcBorders/>
                            <w:shd w:fill="auto" w:val="clear"/>
                            <w:vAlign w:val="center"/>
                          </w:tcPr>
                          <w:p>
                            <w:pPr>
                              <w:pStyle w:val="TableContents"/>
                              <w:spacing w:before="0" w:after="283"/>
                              <w:jc w:val="left"/>
                              <w:rPr/>
                            </w:pPr>
                            <w:r>
                              <w:rPr/>
                              <w:t>   </w:t>
                            </w:r>
                          </w:p>
                        </w:tc>
                        <w:tc>
                          <w:tcPr>
                            <w:tcW w:w="9845" w:type="dxa"/>
                            <w:tcBorders>
                              <w:top w:val="single" w:sz="32" w:space="0" w:color="8EAD3C"/>
                              <w:left w:val="single" w:sz="32" w:space="0" w:color="8EAD3C"/>
                            </w:tcBorders>
                            <w:shd w:fill="auto" w:val="clear"/>
                            <w:tcMar>
                              <w:top w:w="28" w:type="dxa"/>
                              <w:left w:w="28" w:type="dxa"/>
                            </w:tcMar>
                            <w:vAlign w:val="center"/>
                          </w:tcPr>
                          <w:p>
                            <w:pPr>
                              <w:pStyle w:val="TableContents"/>
                              <w:spacing w:before="0" w:after="283"/>
                              <w:rPr>
                                <w:sz w:val="4"/>
                                <w:szCs w:val="4"/>
                              </w:rPr>
                            </w:pPr>
                            <w:r>
                              <w:rPr>
                                <w:sz w:val="4"/>
                                <w:szCs w:val="4"/>
                              </w:rPr>
                            </w:r>
                          </w:p>
                        </w:tc>
                        <w:tc>
                          <w:tcPr>
                            <w:tcW w:w="180" w:type="dxa"/>
                            <w:tcBorders>
                              <w:top w:val="single" w:sz="32" w:space="0" w:color="8EAD3C"/>
                              <w:right w:val="single" w:sz="32" w:space="0" w:color="8EAD3C"/>
                            </w:tcBorders>
                            <w:shd w:fill="auto" w:val="clear"/>
                            <w:tcMar>
                              <w:top w:w="28" w:type="dxa"/>
                              <w:right w:w="28" w:type="dxa"/>
                            </w:tcMar>
                            <w:vAlign w:val="center"/>
                          </w:tcPr>
                          <w:p>
                            <w:pPr>
                              <w:pStyle w:val="TableContents"/>
                              <w:spacing w:before="0" w:after="283"/>
                              <w:jc w:val="left"/>
                              <w:rPr/>
                            </w:pPr>
                            <w:r>
                              <w:rPr/>
                              <w:t>   </w:t>
                            </w:r>
                          </w:p>
                        </w:tc>
                      </w:tr>
                      <w:tr>
                        <w:trPr/>
                        <w:tc>
                          <w:tcPr>
                            <w:tcW w:w="180" w:type="dxa"/>
                            <w:tcBorders/>
                            <w:shd w:fill="1A2343" w:val="clear"/>
                            <w:vAlign w:val="center"/>
                          </w:tcPr>
                          <w:p>
                            <w:pPr>
                              <w:pStyle w:val="TableContents"/>
                              <w:spacing w:before="0" w:after="283"/>
                              <w:rPr>
                                <w:sz w:val="4"/>
                                <w:szCs w:val="4"/>
                              </w:rPr>
                            </w:pPr>
                            <w:r>
                              <w:rPr>
                                <w:sz w:val="4"/>
                                <w:szCs w:val="4"/>
                              </w:rPr>
                            </w:r>
                          </w:p>
                        </w:tc>
                        <w:tc>
                          <w:tcPr>
                            <w:tcW w:w="9845" w:type="dxa"/>
                            <w:tcBorders/>
                            <w:shd w:fill="1A2343" w:val="clear"/>
                            <w:vAlign w:val="center"/>
                          </w:tcPr>
                          <w:p>
                            <w:pPr>
                              <w:pStyle w:val="TableContents"/>
                              <w:spacing w:before="0" w:after="120"/>
                              <w:jc w:val="left"/>
                              <w:rPr>
                                <w:rFonts w:ascii="Arial" w:hAnsi="Arial"/>
                                <w:b/>
                                <w:color w:val="FFFFFF"/>
                                <w:sz w:val="24"/>
                              </w:rPr>
                            </w:pPr>
                            <w:r>
                              <w:rPr>
                                <w:rFonts w:ascii="Arial" w:hAnsi="Arial"/>
                                <w:b/>
                                <w:color w:val="FFFFFF"/>
                                <w:sz w:val="24"/>
                              </w:rPr>
                              <w:t>MARC HOLLIDAY</w:t>
                            </w:r>
                          </w:p>
                          <w:p>
                            <w:pPr>
                              <w:pStyle w:val="TableContents"/>
                              <w:spacing w:before="0" w:after="120"/>
                              <w:jc w:val="center"/>
                              <w:rPr/>
                            </w:pPr>
                            <w:r>
                              <w:rPr/>
                              <w:drawing>
                                <wp:inline distT="0" distB="0" distL="0" distR="0">
                                  <wp:extent cx="1085850" cy="1390650"/>
                                  <wp:effectExtent l="0" t="0" r="0" b="0"/>
                                  <wp:docPr id="455"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320" descr=""/>
                                          <pic:cNvPicPr>
                                            <a:picLocks noChangeAspect="1" noChangeArrowheads="1"/>
                                          </pic:cNvPicPr>
                                        </pic:nvPicPr>
                                        <pic:blipFill>
                                          <a:blip r:embed="rId321"/>
                                          <a:srcRect l="-928" t="-724" r="-928" b="-724"/>
                                          <a:stretch>
                                            <a:fillRect/>
                                          </a:stretch>
                                        </pic:blipFill>
                                        <pic:spPr bwMode="auto">
                                          <a:xfrm>
                                            <a:off x="0" y="0"/>
                                            <a:ext cx="1085850" cy="1390650"/>
                                          </a:xfrm>
                                          <a:prstGeom prst="rect">
                                            <a:avLst/>
                                          </a:prstGeom>
                                          <a:ln w="635">
                                            <a:solidFill>
                                              <a:srgbClr val="000000"/>
                                            </a:solidFill>
                                          </a:ln>
                                        </pic:spPr>
                                      </pic:pic>
                                    </a:graphicData>
                                  </a:graphic>
                                </wp:inline>
                              </w:drawing>
                            </w:r>
                          </w:p>
                          <w:p>
                            <w:pPr>
                              <w:pStyle w:val="TableContents"/>
                              <w:spacing w:before="0" w:after="120"/>
                              <w:jc w:val="left"/>
                              <w:rPr>
                                <w:rFonts w:ascii="Arial" w:hAnsi="Arial"/>
                                <w:b/>
                                <w:color w:val="FFFFFF"/>
                                <w:sz w:val="20"/>
                              </w:rPr>
                            </w:pPr>
                            <w:r>
                              <w:rPr>
                                <w:rFonts w:ascii="Arial" w:hAnsi="Arial"/>
                                <w:b/>
                                <w:color w:val="FFFFFF"/>
                                <w:sz w:val="20"/>
                              </w:rPr>
                              <w:t>Chief Executive Officer and Chairman of the Board</w:t>
                            </w:r>
                          </w:p>
                          <w:p>
                            <w:pPr>
                              <w:pStyle w:val="TableContents"/>
                              <w:spacing w:before="0" w:after="120"/>
                              <w:jc w:val="left"/>
                              <w:rPr>
                                <w:rFonts w:ascii="Arial" w:hAnsi="Arial"/>
                                <w:color w:val="FFFFFF"/>
                                <w:sz w:val="20"/>
                              </w:rPr>
                            </w:pPr>
                            <w:r>
                              <w:rPr>
                                <w:rFonts w:ascii="Arial" w:hAnsi="Arial"/>
                                <w:color w:val="FFFFFF"/>
                                <w:sz w:val="20"/>
                              </w:rPr>
                              <w:t>Mr. Holliday’s 2022 compensation reflects the strong alignment between management and our stockholders. Despite delivering a successful operational year in many respects, especially in light of the extremely challenging economic environment, projected realizable pay was significantly lower for our whole management team. This disparity was driven by the significant portion of our compensation program that is equity-based, and particularly impacted Mr. Holliday’s projected realizable pay. However, the unvested equity awards will continue to motivate future outperformance despite the disappointing performance to date.</w:t>
                            </w:r>
                          </w:p>
                          <w:p>
                            <w:pPr>
                              <w:pStyle w:val="TableContents"/>
                              <w:spacing w:before="0" w:after="0"/>
                              <w:jc w:val="left"/>
                              <w:rPr>
                                <w:rFonts w:ascii="Arial" w:hAnsi="Arial"/>
                                <w:b/>
                                <w:color w:val="FFFFFF"/>
                                <w:sz w:val="20"/>
                              </w:rPr>
                            </w:pPr>
                            <w:r>
                              <w:rPr>
                                <w:rFonts w:ascii="Arial" w:hAnsi="Arial"/>
                                <w:b/>
                                <w:color w:val="FFFFFF"/>
                                <w:sz w:val="20"/>
                              </w:rPr>
                              <w:t>The Projected Realizable Compensation for Mr. Holliday in 2022 is approximately 35% lower than the Total Direct Compensation approved by the Committee for 2022 and approximately 40% lower than the amount reported in the Summary Compensation Table.</w:t>
                            </w:r>
                          </w:p>
                        </w:tc>
                        <w:tc>
                          <w:tcPr>
                            <w:tcW w:w="180" w:type="dxa"/>
                            <w:tcBorders>
                              <w:right w:val="single" w:sz="32" w:space="0" w:color="8EAD3C"/>
                            </w:tcBorders>
                            <w:shd w:fill="auto" w:val="clear"/>
                            <w:tcMar>
                              <w:right w:w="28" w:type="dxa"/>
                            </w:tcMar>
                            <w:vAlign w:val="center"/>
                          </w:tcPr>
                          <w:p>
                            <w:pPr>
                              <w:pStyle w:val="TableContents"/>
                              <w:spacing w:before="0" w:after="283"/>
                              <w:rPr>
                                <w:sz w:val="4"/>
                                <w:szCs w:val="4"/>
                              </w:rPr>
                            </w:pPr>
                            <w:r>
                              <w:rPr>
                                <w:sz w:val="4"/>
                                <w:szCs w:val="4"/>
                              </w:rPr>
                            </w:r>
                          </w:p>
                        </w:tc>
                      </w:tr>
                      <w:tr>
                        <w:trPr/>
                        <w:tc>
                          <w:tcPr>
                            <w:tcW w:w="180" w:type="dxa"/>
                            <w:tcBorders/>
                            <w:shd w:fill="auto" w:val="clear"/>
                            <w:vAlign w:val="center"/>
                          </w:tcPr>
                          <w:p>
                            <w:pPr>
                              <w:pStyle w:val="TableContents"/>
                              <w:spacing w:before="0" w:after="283"/>
                              <w:rPr>
                                <w:sz w:val="4"/>
                                <w:szCs w:val="4"/>
                              </w:rPr>
                            </w:pPr>
                            <w:r>
                              <w:rPr>
                                <w:sz w:val="4"/>
                                <w:szCs w:val="4"/>
                              </w:rPr>
                            </w:r>
                          </w:p>
                        </w:tc>
                        <w:tc>
                          <w:tcPr>
                            <w:tcW w:w="9845" w:type="dxa"/>
                            <w:tcBorders>
                              <w:left w:val="single" w:sz="32" w:space="0" w:color="8EAD3C"/>
                              <w:bottom w:val="single" w:sz="32" w:space="0" w:color="8EAD3C"/>
                            </w:tcBorders>
                            <w:shd w:fill="auto" w:val="clear"/>
                            <w:tcMar>
                              <w:left w:w="28" w:type="dxa"/>
                              <w:bottom w:w="28"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right w:w="28"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3">
                <wp:simplePos x="0" y="0"/>
                <wp:positionH relativeFrom="column">
                  <wp:align>right</wp:align>
                </wp:positionH>
                <wp:positionV relativeFrom="line">
                  <wp:posOffset>635</wp:posOffset>
                </wp:positionV>
                <wp:extent cx="4600575" cy="6217920"/>
                <wp:effectExtent l="0" t="0" r="0" b="0"/>
                <wp:wrapSquare wrapText="largest"/>
                <wp:docPr id="456" name="Frame40"/>
                <a:graphic xmlns:a="http://schemas.openxmlformats.org/drawingml/2006/main">
                  <a:graphicData uri="http://schemas.microsoft.com/office/word/2010/wordprocessingShape">
                    <wps:wsp>
                      <wps:cNvSpPr txBox="1"/>
                      <wps:spPr>
                        <a:xfrm>
                          <a:off x="0" y="0"/>
                          <a:ext cx="4600575" cy="6217920"/>
                        </a:xfrm>
                        <a:prstGeom prst="rect"/>
                      </wps:spPr>
                      <wps:txbx>
                        <w:txbxContent>
                          <w:p>
                            <w:pPr>
                              <w:pStyle w:val="TextBody"/>
                              <w:jc w:val="left"/>
                              <w:rPr/>
                            </w:pPr>
                            <w:r>
                              <w:rPr>
                                <w:rFonts w:ascii="Arial" w:hAnsi="Arial"/>
                                <w:b/>
                                <w:color w:val="8EAD3C"/>
                                <w:sz w:val="22"/>
                              </w:rPr>
                              <w:t>2022 Performance and Compensation –</w:t>
                            </w:r>
                            <w:r>
                              <w:rPr>
                                <w:rFonts w:ascii="Arial" w:hAnsi="Arial"/>
                                <w:color w:val="8EAD3C"/>
                                <w:sz w:val="22"/>
                              </w:rPr>
                              <w:br/>
                            </w:r>
                            <w:r>
                              <w:rPr>
                                <w:rFonts w:ascii="Arial" w:hAnsi="Arial"/>
                                <w:b/>
                                <w:color w:val="8EAD3C"/>
                                <w:sz w:val="22"/>
                              </w:rPr>
                              <w:t>Projected Realizable Compensation vs. Total Direct Compensation</w:t>
                            </w:r>
                          </w:p>
                          <w:tbl>
                            <w:tblPr>
                              <w:tblW w:w="10205" w:type="dxa"/>
                              <w:jc w:val="left"/>
                              <w:tblInd w:w="0" w:type="dxa"/>
                              <w:tblCellMar>
                                <w:top w:w="0" w:type="dxa"/>
                                <w:left w:w="0" w:type="dxa"/>
                                <w:bottom w:w="40" w:type="dxa"/>
                                <w:right w:w="0" w:type="dxa"/>
                              </w:tblCellMar>
                            </w:tblPr>
                            <w:tblGrid>
                              <w:gridCol w:w="1085"/>
                              <w:gridCol w:w="1085"/>
                              <w:gridCol w:w="1873"/>
                              <w:gridCol w:w="1595"/>
                              <w:gridCol w:w="1754"/>
                              <w:gridCol w:w="2813"/>
                            </w:tblGrid>
                            <w:tr>
                              <w:trPr/>
                              <w:tc>
                                <w:tcPr>
                                  <w:tcW w:w="1085" w:type="dxa"/>
                                  <w:tcBorders>
                                    <w:bottom w:val="single" w:sz="12" w:space="0" w:color="1A2343"/>
                                  </w:tcBorders>
                                  <w:shd w:fill="F3F6EA" w:val="clear"/>
                                  <w:vAlign w:val="center"/>
                                </w:tcPr>
                                <w:p>
                                  <w:pPr>
                                    <w:pStyle w:val="TableContents"/>
                                    <w:spacing w:before="0" w:after="283"/>
                                    <w:jc w:val="left"/>
                                    <w:rPr>
                                      <w:rFonts w:ascii="Arial" w:hAnsi="Arial"/>
                                      <w:color w:val="1A2343"/>
                                      <w:sz w:val="15"/>
                                    </w:rPr>
                                  </w:pPr>
                                  <w:r>
                                    <w:rPr>
                                      <w:rFonts w:ascii="Arial" w:hAnsi="Arial"/>
                                      <w:color w:val="1A2343"/>
                                      <w:sz w:val="15"/>
                                    </w:rPr>
                                    <w:t>PRC</w:t>
                                  </w:r>
                                </w:p>
                              </w:tc>
                              <w:tc>
                                <w:tcPr>
                                  <w:tcW w:w="1085"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TDC</w:t>
                                  </w:r>
                                </w:p>
                              </w:tc>
                              <w:tc>
                                <w:tcPr>
                                  <w:tcW w:w="8035" w:type="dxa"/>
                                  <w:gridSpan w:val="4"/>
                                  <w:tcBorders>
                                    <w:bottom w:val="single" w:sz="12" w:space="0" w:color="1A2343"/>
                                  </w:tcBorders>
                                  <w:shd w:fill="auto" w:val="clear"/>
                                  <w:vAlign w:val="center"/>
                                </w:tcPr>
                                <w:p>
                                  <w:pPr>
                                    <w:pStyle w:val="TableContents"/>
                                    <w:spacing w:before="0" w:after="283"/>
                                    <w:jc w:val="left"/>
                                    <w:rPr/>
                                  </w:pPr>
                                  <w:r>
                                    <w:rPr>
                                      <w:rFonts w:ascii="Arial" w:hAnsi="Arial"/>
                                      <w:color w:val="1A2343"/>
                                      <w:sz w:val="15"/>
                                    </w:rPr>
                                    <w:t>Element of Compensation</w:t>
                                  </w:r>
                                  <w:r>
                                    <w:rPr/>
                                    <w:t xml:space="preserve"> </w:t>
                                  </w:r>
                                </w:p>
                              </w:tc>
                            </w:tr>
                            <w:tr>
                              <w:trPr/>
                              <w:tc>
                                <w:tcPr>
                                  <w:tcW w:w="1085"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13%</w:t>
                                    <w:br/>
                                  </w:r>
                                  <w:r>
                                    <w:rPr>
                                      <w:rFonts w:ascii="Arial" w:hAnsi="Arial"/>
                                      <w:b/>
                                      <w:sz w:val="20"/>
                                    </w:rPr>
                                    <w:t>$1,250,000</w:t>
                                  </w:r>
                                </w:p>
                              </w:tc>
                              <w:tc>
                                <w:tcPr>
                                  <w:tcW w:w="1085"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8%</w:t>
                                    <w:br/>
                                  </w:r>
                                  <w:r>
                                    <w:rPr>
                                      <w:rFonts w:ascii="Arial" w:hAnsi="Arial"/>
                                      <w:b/>
                                      <w:sz w:val="20"/>
                                    </w:rPr>
                                    <w:t>$1,250,000</w:t>
                                  </w:r>
                                </w:p>
                              </w:tc>
                              <w:tc>
                                <w:tcPr>
                                  <w:tcW w:w="8035" w:type="dxa"/>
                                  <w:gridSpan w:val="4"/>
                                  <w:tcBorders>
                                    <w:bottom w:val="single" w:sz="8" w:space="0" w:color="5B5975"/>
                                  </w:tcBorders>
                                  <w:shd w:fill="auto" w:val="clear"/>
                                  <w:vAlign w:val="center"/>
                                </w:tcPr>
                                <w:p>
                                  <w:pPr>
                                    <w:pStyle w:val="TableContents"/>
                                    <w:spacing w:before="0" w:after="0"/>
                                    <w:jc w:val="left"/>
                                    <w:rPr/>
                                  </w:pPr>
                                  <w:r>
                                    <w:rPr>
                                      <w:rFonts w:ascii="Arial" w:hAnsi="Arial"/>
                                      <w:b/>
                                      <w:sz w:val="20"/>
                                    </w:rPr>
                                    <w:t>Annual Base Salary</w:t>
                                  </w:r>
                                  <w:r>
                                    <w:rPr>
                                      <w:rFonts w:ascii="Arial" w:hAnsi="Arial"/>
                                      <w:sz w:val="20"/>
                                    </w:rPr>
                                    <w:br/>
                                  </w:r>
                                  <w:r>
                                    <w:rPr>
                                      <w:rFonts w:ascii="Arial" w:hAnsi="Arial"/>
                                      <w:sz w:val="15"/>
                                    </w:rPr>
                                    <w:t>Mr. Hollidays base salary was equal to the minimum set forth in his employment agreement. There has been no change to his base salary since it was retroactively reduced in 2018.</w:t>
                                  </w:r>
                                </w:p>
                              </w:tc>
                            </w:tr>
                            <w:tr>
                              <w:trPr/>
                              <w:tc>
                                <w:tcPr>
                                  <w:tcW w:w="1085"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21%</w:t>
                                    <w:br/>
                                  </w:r>
                                  <w:r>
                                    <w:rPr>
                                      <w:rFonts w:ascii="Arial" w:hAnsi="Arial"/>
                                      <w:b/>
                                      <w:sz w:val="20"/>
                                    </w:rPr>
                                    <w:t>$2,035,044</w:t>
                                  </w:r>
                                </w:p>
                              </w:tc>
                              <w:tc>
                                <w:tcPr>
                                  <w:tcW w:w="1085"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14%</w:t>
                                    <w:br/>
                                  </w:r>
                                  <w:r>
                                    <w:rPr>
                                      <w:rFonts w:ascii="Arial" w:hAnsi="Arial"/>
                                      <w:b/>
                                      <w:sz w:val="20"/>
                                    </w:rPr>
                                    <w:t>$2,102,187</w:t>
                                  </w:r>
                                </w:p>
                              </w:tc>
                              <w:tc>
                                <w:tcPr>
                                  <w:tcW w:w="8035" w:type="dxa"/>
                                  <w:gridSpan w:val="4"/>
                                  <w:tcBorders>
                                    <w:bottom w:val="single" w:sz="8" w:space="0" w:color="5B5975"/>
                                  </w:tcBorders>
                                  <w:shd w:fill="auto" w:val="clear"/>
                                  <w:vAlign w:val="center"/>
                                </w:tcPr>
                                <w:p>
                                  <w:pPr>
                                    <w:pStyle w:val="TableContents"/>
                                    <w:spacing w:before="0" w:after="0"/>
                                    <w:jc w:val="left"/>
                                    <w:rPr/>
                                  </w:pPr>
                                  <w:r>
                                    <w:rPr>
                                      <w:rFonts w:ascii="Arial" w:hAnsi="Arial"/>
                                      <w:b/>
                                      <w:sz w:val="20"/>
                                    </w:rPr>
                                    <w:t>100% Formulaic Annual Cash Incentive Bonus</w:t>
                                  </w:r>
                                  <w:r>
                                    <w:rPr>
                                      <w:rFonts w:ascii="Arial" w:hAnsi="Arial"/>
                                      <w:sz w:val="20"/>
                                    </w:rPr>
                                    <w:br/>
                                  </w:r>
                                  <w:r>
                                    <w:rPr>
                                      <w:rFonts w:ascii="Arial" w:hAnsi="Arial"/>
                                      <w:sz w:val="15"/>
                                    </w:rPr>
                                    <w:t xml:space="preserve">Determined formulaically based on performance relative to preset objective bonus criteria established by the Committee in January 2022. These amounts reflect the earning of </w:t>
                                  </w:r>
                                  <w:r>
                                    <w:rPr>
                                      <w:rFonts w:ascii="Arial" w:hAnsi="Arial"/>
                                      <w:b/>
                                      <w:sz w:val="15"/>
                                    </w:rPr>
                                    <w:t>84%</w:t>
                                  </w:r>
                                  <w:r>
                                    <w:rPr>
                                      <w:rFonts w:ascii="Arial" w:hAnsi="Arial"/>
                                      <w:sz w:val="15"/>
                                    </w:rPr>
                                    <w:t xml:space="preserve"> of target and include true-up adjustments made in January 2023 on account of actual 2021 and 2022 performance.</w:t>
                                  </w:r>
                                  <w:r>
                                    <w:rPr/>
                                    <w:t xml:space="preserve"> </w:t>
                                  </w:r>
                                </w:p>
                                <w:p>
                                  <w:pPr>
                                    <w:pStyle w:val="TableContents"/>
                                    <w:spacing w:before="0" w:after="0"/>
                                    <w:jc w:val="left"/>
                                    <w:rPr>
                                      <w:rFonts w:ascii="Arial" w:hAnsi="Arial"/>
                                      <w:sz w:val="15"/>
                                    </w:rPr>
                                  </w:pPr>
                                  <w:r>
                                    <w:rPr>
                                      <w:rFonts w:ascii="Arial" w:hAnsi="Arial"/>
                                      <w:sz w:val="15"/>
                                    </w:rPr>
                                    <w:t xml:space="preserve">Mr. Holliday elected to receive </w:t>
                                  </w:r>
                                  <w:r>
                                    <w:rPr>
                                      <w:rFonts w:ascii="Arial" w:hAnsi="Arial"/>
                                      <w:b/>
                                      <w:sz w:val="15"/>
                                    </w:rPr>
                                    <w:t>50%</w:t>
                                  </w:r>
                                  <w:r>
                                    <w:rPr>
                                      <w:rFonts w:ascii="Arial" w:hAnsi="Arial"/>
                                      <w:sz w:val="15"/>
                                    </w:rPr>
                                    <w:t xml:space="preserve"> of the bonus in the form of equity. The corresponding </w:t>
                                  </w:r>
                                  <w:r>
                                    <w:rPr>
                                      <w:rFonts w:ascii="Arial" w:hAnsi="Arial"/>
                                      <w:b/>
                                      <w:sz w:val="15"/>
                                    </w:rPr>
                                    <w:t>29,180</w:t>
                                  </w:r>
                                  <w:r>
                                    <w:rPr>
                                      <w:rFonts w:ascii="Arial" w:hAnsi="Arial"/>
                                      <w:sz w:val="15"/>
                                    </w:rPr>
                                    <w:t xml:space="preserve"> LTIP units granted in December 2022 and January 2023 were fully vested upon grant, but remain subject to a three-year no-sell restriction. The difference between the PRC and TDC relates to the valuation of these LTIP units as of December 31, 2022, compared to the date on which the bonus was determined.</w:t>
                                  </w:r>
                                </w:p>
                              </w:tc>
                            </w:tr>
                            <w:tr>
                              <w:trPr/>
                              <w:tc>
                                <w:tcPr>
                                  <w:tcW w:w="1085" w:type="dxa"/>
                                  <w:tcBorders/>
                                  <w:shd w:fill="F3F6EA" w:val="clear"/>
                                  <w:tcMar>
                                    <w:bottom w:w="0" w:type="dxa"/>
                                  </w:tcMar>
                                  <w:vAlign w:val="center"/>
                                </w:tcPr>
                                <w:p>
                                  <w:pPr>
                                    <w:pStyle w:val="TableContents"/>
                                    <w:spacing w:before="0" w:after="0"/>
                                    <w:jc w:val="left"/>
                                    <w:rPr/>
                                  </w:pPr>
                                  <w:r>
                                    <w:rPr>
                                      <w:rFonts w:ascii="Arial" w:hAnsi="Arial"/>
                                      <w:color w:val="1A2343"/>
                                      <w:sz w:val="36"/>
                                    </w:rPr>
                                    <w:t>21%</w:t>
                                    <w:br/>
                                  </w:r>
                                  <w:r>
                                    <w:rPr>
                                      <w:rFonts w:ascii="Arial" w:hAnsi="Arial"/>
                                      <w:b/>
                                      <w:sz w:val="20"/>
                                    </w:rPr>
                                    <w:t>$2,118,358</w:t>
                                  </w:r>
                                </w:p>
                              </w:tc>
                              <w:tc>
                                <w:tcPr>
                                  <w:tcW w:w="1085" w:type="dxa"/>
                                  <w:tcBorders/>
                                  <w:shd w:fill="auto" w:val="clear"/>
                                  <w:tcMar>
                                    <w:bottom w:w="0" w:type="dxa"/>
                                  </w:tcMar>
                                  <w:vAlign w:val="center"/>
                                </w:tcPr>
                                <w:p>
                                  <w:pPr>
                                    <w:pStyle w:val="TableContents"/>
                                    <w:spacing w:before="0" w:after="0"/>
                                    <w:jc w:val="left"/>
                                    <w:rPr/>
                                  </w:pPr>
                                  <w:r>
                                    <w:rPr>
                                      <w:rFonts w:ascii="Arial" w:hAnsi="Arial"/>
                                      <w:color w:val="1A2343"/>
                                      <w:sz w:val="36"/>
                                    </w:rPr>
                                    <w:t>49%</w:t>
                                    <w:br/>
                                  </w:r>
                                  <w:r>
                                    <w:rPr>
                                      <w:rFonts w:ascii="Arial" w:hAnsi="Arial"/>
                                      <w:b/>
                                      <w:sz w:val="20"/>
                                    </w:rPr>
                                    <w:t>$7,500,000</w:t>
                                  </w:r>
                                </w:p>
                              </w:tc>
                              <w:tc>
                                <w:tcPr>
                                  <w:tcW w:w="8035" w:type="dxa"/>
                                  <w:gridSpan w:val="4"/>
                                  <w:tcBorders/>
                                  <w:shd w:fill="auto" w:val="clear"/>
                                  <w:tcMar>
                                    <w:bottom w:w="0" w:type="dxa"/>
                                  </w:tcMar>
                                  <w:vAlign w:val="center"/>
                                </w:tcPr>
                                <w:p>
                                  <w:pPr>
                                    <w:pStyle w:val="TableContents"/>
                                    <w:spacing w:before="0" w:after="120"/>
                                    <w:jc w:val="left"/>
                                    <w:rPr/>
                                  </w:pPr>
                                  <w:r>
                                    <w:rPr>
                                      <w:rFonts w:ascii="Arial" w:hAnsi="Arial"/>
                                      <w:b/>
                                      <w:sz w:val="20"/>
                                    </w:rPr>
                                    <w:t>Performance-Based Equity Awards</w:t>
                                  </w:r>
                                  <w:r>
                                    <w:rPr>
                                      <w:rFonts w:ascii="Arial" w:hAnsi="Arial"/>
                                      <w:sz w:val="20"/>
                                    </w:rPr>
                                    <w:br/>
                                  </w:r>
                                  <w:r>
                                    <w:rPr>
                                      <w:rFonts w:ascii="Arial" w:hAnsi="Arial"/>
                                      <w:sz w:val="15"/>
                                    </w:rPr>
                                    <w:t xml:space="preserve">The PRC amount reflects the value of the award based on projected performance as of December 31, 2022 and our stock price on such date. The TDC amount reflects the target notional value of </w:t>
                                  </w:r>
                                  <w:r>
                                    <w:rPr>
                                      <w:rFonts w:ascii="Arial" w:hAnsi="Arial"/>
                                      <w:b/>
                                      <w:sz w:val="15"/>
                                    </w:rPr>
                                    <w:t>$7,500,000</w:t>
                                  </w:r>
                                  <w:r>
                                    <w:rPr>
                                      <w:rFonts w:ascii="Arial" w:hAnsi="Arial"/>
                                      <w:sz w:val="15"/>
                                    </w:rPr>
                                    <w:t xml:space="preserve">, consistent with the minimum set forth in Mr. Hollidays employment agreement. </w:t>
                                  </w:r>
                                  <w:r>
                                    <w:rPr>
                                      <w:rFonts w:ascii="Arial" w:hAnsi="Arial"/>
                                      <w:b/>
                                      <w:sz w:val="15"/>
                                    </w:rPr>
                                    <w:t>The difference between the PRC and TDC amounts is the value of these LTIP units as of December 31, 2022 compared to the grant amount.</w:t>
                                  </w:r>
                                  <w:r>
                                    <w:rPr>
                                      <w:rFonts w:ascii="Arial" w:hAnsi="Arial"/>
                                      <w:sz w:val="15"/>
                                    </w:rPr>
                                    <w:t xml:space="preserve"> </w:t>
                                  </w:r>
                                </w:p>
                                <w:p>
                                  <w:pPr>
                                    <w:pStyle w:val="TableContents"/>
                                    <w:spacing w:before="0" w:after="0"/>
                                    <w:jc w:val="left"/>
                                    <w:rPr>
                                      <w:rFonts w:ascii="Arial" w:hAnsi="Arial"/>
                                      <w:sz w:val="15"/>
                                    </w:rPr>
                                  </w:pPr>
                                  <w:r>
                                    <w:rPr>
                                      <w:rFonts w:ascii="Arial" w:hAnsi="Arial"/>
                                      <w:sz w:val="15"/>
                                    </w:rPr>
                                    <w:t>The award relates to the following number of LTIP units:</w:t>
                                  </w:r>
                                </w:p>
                              </w:tc>
                            </w:tr>
                            <w:tr>
                              <w:trPr/>
                              <w:tc>
                                <w:tcPr>
                                  <w:tcW w:w="1085" w:type="dxa"/>
                                  <w:tcBorders/>
                                  <w:shd w:fill="F3F6EA" w:val="clear"/>
                                  <w:tcMar>
                                    <w:bottom w:w="0" w:type="dxa"/>
                                  </w:tcMar>
                                  <w:vAlign w:val="center"/>
                                </w:tcPr>
                                <w:p>
                                  <w:pPr>
                                    <w:pStyle w:val="TableContents"/>
                                    <w:spacing w:before="0" w:after="283"/>
                                    <w:rPr>
                                      <w:sz w:val="4"/>
                                      <w:szCs w:val="4"/>
                                    </w:rPr>
                                  </w:pPr>
                                  <w:r>
                                    <w:rPr>
                                      <w:sz w:val="4"/>
                                      <w:szCs w:val="4"/>
                                    </w:rPr>
                                  </w:r>
                                </w:p>
                              </w:tc>
                              <w:tc>
                                <w:tcPr>
                                  <w:tcW w:w="1085" w:type="dxa"/>
                                  <w:tcBorders/>
                                  <w:shd w:fill="auto" w:val="clear"/>
                                  <w:tcMar>
                                    <w:bottom w:w="0" w:type="dxa"/>
                                  </w:tcMar>
                                  <w:vAlign w:val="center"/>
                                </w:tcPr>
                                <w:p>
                                  <w:pPr>
                                    <w:pStyle w:val="TableContents"/>
                                    <w:spacing w:before="0" w:after="283"/>
                                    <w:rPr>
                                      <w:sz w:val="4"/>
                                      <w:szCs w:val="4"/>
                                    </w:rPr>
                                  </w:pPr>
                                  <w:r>
                                    <w:rPr>
                                      <w:sz w:val="4"/>
                                      <w:szCs w:val="4"/>
                                    </w:rPr>
                                  </w:r>
                                </w:p>
                              </w:tc>
                              <w:tc>
                                <w:tcPr>
                                  <w:tcW w:w="8035" w:type="dxa"/>
                                  <w:gridSpan w:val="4"/>
                                  <w:tcBorders>
                                    <w:top w:val="single" w:sz="16" w:space="0" w:color="1A2343"/>
                                    <w:bottom w:val="single" w:sz="16" w:space="0" w:color="1A2343"/>
                                  </w:tcBorders>
                                  <w:shd w:fill="auto" w:val="clear"/>
                                  <w:tcMar>
                                    <w:top w:w="40" w:type="dxa"/>
                                  </w:tcMar>
                                  <w:vAlign w:val="center"/>
                                </w:tcPr>
                                <w:p>
                                  <w:pPr>
                                    <w:pStyle w:val="TableContents"/>
                                    <w:spacing w:before="0" w:after="283"/>
                                    <w:jc w:val="center"/>
                                    <w:rPr>
                                      <w:rFonts w:ascii="Arial" w:hAnsi="Arial"/>
                                      <w:color w:val="1A2343"/>
                                      <w:sz w:val="15"/>
                                    </w:rPr>
                                  </w:pPr>
                                  <w:r>
                                    <w:rPr>
                                      <w:rFonts w:ascii="Arial" w:hAnsi="Arial"/>
                                      <w:color w:val="1A2343"/>
                                      <w:sz w:val="15"/>
                                    </w:rPr>
                                    <w:t>2022 Performance-Based Award –</w:t>
                                    <w:br/>
                                    <w:t>Number of LTIP Units Granted</w:t>
                                  </w:r>
                                </w:p>
                              </w:tc>
                            </w:tr>
                            <w:tr>
                              <w:trPr/>
                              <w:tc>
                                <w:tcPr>
                                  <w:tcW w:w="1085" w:type="dxa"/>
                                  <w:tcBorders/>
                                  <w:shd w:fill="F3F6EA" w:val="clear"/>
                                  <w:tcMar>
                                    <w:bottom w:w="0" w:type="dxa"/>
                                  </w:tcMar>
                                  <w:vAlign w:val="center"/>
                                </w:tcPr>
                                <w:p>
                                  <w:pPr>
                                    <w:pStyle w:val="TableContents"/>
                                    <w:spacing w:before="0" w:after="283"/>
                                    <w:rPr>
                                      <w:sz w:val="4"/>
                                      <w:szCs w:val="4"/>
                                    </w:rPr>
                                  </w:pPr>
                                  <w:r>
                                    <w:rPr>
                                      <w:sz w:val="4"/>
                                      <w:szCs w:val="4"/>
                                    </w:rPr>
                                  </w:r>
                                </w:p>
                              </w:tc>
                              <w:tc>
                                <w:tcPr>
                                  <w:tcW w:w="1085" w:type="dxa"/>
                                  <w:tcBorders/>
                                  <w:shd w:fill="auto" w:val="clear"/>
                                  <w:tcMar>
                                    <w:bottom w:w="0" w:type="dxa"/>
                                  </w:tcMar>
                                  <w:vAlign w:val="center"/>
                                </w:tcPr>
                                <w:p>
                                  <w:pPr>
                                    <w:pStyle w:val="TableContents"/>
                                    <w:spacing w:before="0" w:after="283"/>
                                    <w:rPr>
                                      <w:sz w:val="4"/>
                                      <w:szCs w:val="4"/>
                                    </w:rPr>
                                  </w:pPr>
                                  <w:r>
                                    <w:rPr>
                                      <w:sz w:val="4"/>
                                      <w:szCs w:val="4"/>
                                    </w:rPr>
                                  </w:r>
                                </w:p>
                              </w:tc>
                              <w:tc>
                                <w:tcPr>
                                  <w:tcW w:w="1873"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Threshold</w:t>
                                  </w:r>
                                </w:p>
                              </w:tc>
                              <w:tc>
                                <w:tcPr>
                                  <w:tcW w:w="1595"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Target</w:t>
                                  </w:r>
                                </w:p>
                              </w:tc>
                              <w:tc>
                                <w:tcPr>
                                  <w:tcW w:w="1754"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Maximum</w:t>
                                  </w:r>
                                </w:p>
                              </w:tc>
                              <w:tc>
                                <w:tcPr>
                                  <w:tcW w:w="2813"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Projected Earned</w:t>
                                    <w:br/>
                                    <w:t>as of 12/31/2022</w:t>
                                  </w:r>
                                </w:p>
                              </w:tc>
                            </w:tr>
                            <w:tr>
                              <w:trPr/>
                              <w:tc>
                                <w:tcPr>
                                  <w:tcW w:w="1085" w:type="dxa"/>
                                  <w:tcBorders/>
                                  <w:shd w:fill="F3F6EA" w:val="clear"/>
                                  <w:tcMar>
                                    <w:bottom w:w="0" w:type="dxa"/>
                                  </w:tcMar>
                                  <w:vAlign w:val="center"/>
                                </w:tcPr>
                                <w:p>
                                  <w:pPr>
                                    <w:pStyle w:val="TableContents"/>
                                    <w:spacing w:before="0" w:after="283"/>
                                    <w:rPr>
                                      <w:sz w:val="4"/>
                                      <w:szCs w:val="4"/>
                                    </w:rPr>
                                  </w:pPr>
                                  <w:r>
                                    <w:rPr>
                                      <w:sz w:val="4"/>
                                      <w:szCs w:val="4"/>
                                    </w:rPr>
                                  </w:r>
                                </w:p>
                              </w:tc>
                              <w:tc>
                                <w:tcPr>
                                  <w:tcW w:w="1085" w:type="dxa"/>
                                  <w:tcBorders/>
                                  <w:shd w:fill="auto" w:val="clear"/>
                                  <w:tcMar>
                                    <w:bottom w:w="0" w:type="dxa"/>
                                  </w:tcMar>
                                  <w:vAlign w:val="center"/>
                                </w:tcPr>
                                <w:p>
                                  <w:pPr>
                                    <w:pStyle w:val="TableContents"/>
                                    <w:spacing w:before="0" w:after="283"/>
                                    <w:rPr>
                                      <w:sz w:val="4"/>
                                      <w:szCs w:val="4"/>
                                    </w:rPr>
                                  </w:pPr>
                                  <w:r>
                                    <w:rPr>
                                      <w:sz w:val="4"/>
                                      <w:szCs w:val="4"/>
                                    </w:rPr>
                                  </w:r>
                                </w:p>
                              </w:tc>
                              <w:tc>
                                <w:tcPr>
                                  <w:tcW w:w="1873"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47,640</w:t>
                                  </w:r>
                                </w:p>
                              </w:tc>
                              <w:tc>
                                <w:tcPr>
                                  <w:tcW w:w="1595"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101,632</w:t>
                                  </w:r>
                                </w:p>
                              </w:tc>
                              <w:tc>
                                <w:tcPr>
                                  <w:tcW w:w="1754"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228,675</w:t>
                                  </w:r>
                                </w:p>
                              </w:tc>
                              <w:tc>
                                <w:tcPr>
                                  <w:tcW w:w="2813"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62,822</w:t>
                                  </w:r>
                                </w:p>
                              </w:tc>
                            </w:tr>
                            <w:tr>
                              <w:trPr/>
                              <w:tc>
                                <w:tcPr>
                                  <w:tcW w:w="1085" w:type="dxa"/>
                                  <w:tcBorders>
                                    <w:bottom w:val="single" w:sz="8" w:space="0" w:color="5B5975"/>
                                  </w:tcBorders>
                                  <w:shd w:fill="F3F6EA" w:val="clear"/>
                                  <w:vAlign w:val="center"/>
                                </w:tcPr>
                                <w:p>
                                  <w:pPr>
                                    <w:pStyle w:val="TableContents"/>
                                    <w:spacing w:before="0" w:after="283"/>
                                    <w:rPr>
                                      <w:sz w:val="4"/>
                                      <w:szCs w:val="4"/>
                                    </w:rPr>
                                  </w:pPr>
                                  <w:r>
                                    <w:rPr>
                                      <w:sz w:val="4"/>
                                      <w:szCs w:val="4"/>
                                    </w:rPr>
                                  </w:r>
                                </w:p>
                              </w:tc>
                              <w:tc>
                                <w:tcPr>
                                  <w:tcW w:w="108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8035" w:type="dxa"/>
                                  <w:gridSpan w:val="4"/>
                                  <w:tcBorders>
                                    <w:bottom w:val="single" w:sz="8" w:space="0" w:color="5B5975"/>
                                  </w:tcBorders>
                                  <w:shd w:fill="auto" w:val="clear"/>
                                  <w:vAlign w:val="center"/>
                                </w:tcPr>
                                <w:p>
                                  <w:pPr>
                                    <w:pStyle w:val="TableContents"/>
                                    <w:spacing w:before="0" w:after="0"/>
                                    <w:jc w:val="left"/>
                                    <w:rPr>
                                      <w:rFonts w:ascii="Arial" w:hAnsi="Arial"/>
                                      <w:sz w:val="15"/>
                                    </w:rPr>
                                  </w:pPr>
                                  <w:r>
                                    <w:rPr>
                                      <w:rFonts w:ascii="Arial" w:hAnsi="Arial"/>
                                      <w:sz w:val="15"/>
                                    </w:rPr>
                                    <w:t>The actual number of LTIP units earned will be determined based on Company performance measured after the end of the full performance period ending December 31, 2024, based on our absolute and relative TSR, with earned LTIP units vesting in full as of December 31, 2024.</w:t>
                                  </w:r>
                                </w:p>
                              </w:tc>
                            </w:tr>
                            <w:tr>
                              <w:trPr/>
                              <w:tc>
                                <w:tcPr>
                                  <w:tcW w:w="1085"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45%</w:t>
                                    <w:br/>
                                  </w:r>
                                  <w:r>
                                    <w:rPr>
                                      <w:rFonts w:ascii="Arial" w:hAnsi="Arial"/>
                                      <w:b/>
                                      <w:sz w:val="20"/>
                                    </w:rPr>
                                    <w:t>$4,523,740</w:t>
                                  </w:r>
                                </w:p>
                              </w:tc>
                              <w:tc>
                                <w:tcPr>
                                  <w:tcW w:w="1085"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29%</w:t>
                                    <w:br/>
                                  </w:r>
                                  <w:r>
                                    <w:rPr>
                                      <w:rFonts w:ascii="Arial" w:hAnsi="Arial"/>
                                      <w:b/>
                                      <w:sz w:val="20"/>
                                    </w:rPr>
                                    <w:t>$4,500,000</w:t>
                                  </w:r>
                                </w:p>
                              </w:tc>
                              <w:tc>
                                <w:tcPr>
                                  <w:tcW w:w="8035" w:type="dxa"/>
                                  <w:gridSpan w:val="4"/>
                                  <w:tcBorders>
                                    <w:bottom w:val="single" w:sz="8" w:space="0" w:color="5B5975"/>
                                  </w:tcBorders>
                                  <w:shd w:fill="auto" w:val="clear"/>
                                  <w:vAlign w:val="center"/>
                                </w:tcPr>
                                <w:p>
                                  <w:pPr>
                                    <w:pStyle w:val="TableContents"/>
                                    <w:spacing w:before="0" w:after="120"/>
                                    <w:jc w:val="left"/>
                                    <w:rPr/>
                                  </w:pPr>
                                  <w:r>
                                    <w:rPr>
                                      <w:rFonts w:ascii="Arial" w:hAnsi="Arial"/>
                                      <w:b/>
                                      <w:sz w:val="20"/>
                                    </w:rPr>
                                    <w:t>Time-Based Equity Awards</w:t>
                                  </w:r>
                                  <w:r>
                                    <w:rPr>
                                      <w:rFonts w:ascii="Arial" w:hAnsi="Arial"/>
                                      <w:sz w:val="20"/>
                                    </w:rPr>
                                    <w:br/>
                                  </w:r>
                                  <w:r>
                                    <w:rPr>
                                      <w:rFonts w:ascii="Arial" w:hAnsi="Arial"/>
                                      <w:sz w:val="15"/>
                                    </w:rPr>
                                    <w:t xml:space="preserve">The Committee granted time-based awards in January 2023 based on the companys 2022 performance. The awards had a target value of </w:t>
                                  </w:r>
                                  <w:r>
                                    <w:rPr>
                                      <w:rFonts w:ascii="Arial" w:hAnsi="Arial"/>
                                      <w:b/>
                                      <w:sz w:val="15"/>
                                    </w:rPr>
                                    <w:t>$4,500,000</w:t>
                                  </w:r>
                                  <w:r>
                                    <w:rPr>
                                      <w:rFonts w:ascii="Arial" w:hAnsi="Arial"/>
                                      <w:sz w:val="15"/>
                                    </w:rPr>
                                    <w:t xml:space="preserve">, equal to the minimum in Mr. Hollidays employment agreement. </w:t>
                                  </w:r>
                                </w:p>
                                <w:p>
                                  <w:pPr>
                                    <w:pStyle w:val="TableContents"/>
                                    <w:spacing w:before="0" w:after="0"/>
                                    <w:jc w:val="left"/>
                                    <w:rPr>
                                      <w:rFonts w:ascii="Arial" w:hAnsi="Arial"/>
                                      <w:sz w:val="15"/>
                                    </w:rPr>
                                  </w:pPr>
                                  <w:r>
                                    <w:rPr>
                                      <w:rFonts w:ascii="Arial" w:hAnsi="Arial"/>
                                      <w:sz w:val="15"/>
                                    </w:rPr>
                                    <w:t xml:space="preserve">The corresponding </w:t>
                                  </w:r>
                                  <w:r>
                                    <w:rPr>
                                      <w:rFonts w:ascii="Arial" w:hAnsi="Arial"/>
                                      <w:b/>
                                      <w:sz w:val="15"/>
                                    </w:rPr>
                                    <w:t>134,156</w:t>
                                  </w:r>
                                  <w:r>
                                    <w:rPr>
                                      <w:rFonts w:ascii="Arial" w:hAnsi="Arial"/>
                                      <w:sz w:val="15"/>
                                    </w:rPr>
                                    <w:t xml:space="preserve"> LTIP units will vest in three equal installments on January 1, 2024, January 1, 2025 and January 1, 2026. The difference between the PRC and TDC amounts relates to the valuation of these LTIP units as of December 31, 2022, compared to the ten-day trailing average used to price the awards pursuant to Mr. Hollidays employment agreement. </w:t>
                                  </w:r>
                                </w:p>
                              </w:tc>
                            </w:tr>
                            <w:tr>
                              <w:trPr/>
                              <w:tc>
                                <w:tcPr>
                                  <w:tcW w:w="1085" w:type="dxa"/>
                                  <w:tcBorders>
                                    <w:bottom w:val="single" w:sz="12" w:space="0" w:color="1A2343"/>
                                  </w:tcBorders>
                                  <w:shd w:fill="F3F6EA" w:val="clear"/>
                                  <w:vAlign w:val="center"/>
                                </w:tcPr>
                                <w:p>
                                  <w:pPr>
                                    <w:pStyle w:val="TableContents"/>
                                    <w:spacing w:before="0" w:after="0"/>
                                    <w:jc w:val="left"/>
                                    <w:rPr/>
                                  </w:pPr>
                                  <w:r>
                                    <w:rPr>
                                      <w:rFonts w:ascii="Arial" w:hAnsi="Arial"/>
                                      <w:color w:val="1A2343"/>
                                      <w:sz w:val="36"/>
                                    </w:rPr>
                                    <w:t>100%</w:t>
                                    <w:br/>
                                  </w:r>
                                  <w:r>
                                    <w:rPr>
                                      <w:rFonts w:ascii="Arial" w:hAnsi="Arial"/>
                                      <w:b/>
                                      <w:sz w:val="20"/>
                                    </w:rPr>
                                    <w:t>$10,002,202</w:t>
                                  </w:r>
                                </w:p>
                              </w:tc>
                              <w:tc>
                                <w:tcPr>
                                  <w:tcW w:w="1085" w:type="dxa"/>
                                  <w:tcBorders>
                                    <w:bottom w:val="single" w:sz="12" w:space="0" w:color="1A2343"/>
                                  </w:tcBorders>
                                  <w:shd w:fill="auto" w:val="clear"/>
                                  <w:vAlign w:val="center"/>
                                </w:tcPr>
                                <w:p>
                                  <w:pPr>
                                    <w:pStyle w:val="TableContents"/>
                                    <w:spacing w:before="0" w:after="0"/>
                                    <w:jc w:val="left"/>
                                    <w:rPr/>
                                  </w:pPr>
                                  <w:r>
                                    <w:rPr>
                                      <w:rFonts w:ascii="Arial" w:hAnsi="Arial"/>
                                      <w:color w:val="1A2343"/>
                                      <w:sz w:val="36"/>
                                    </w:rPr>
                                    <w:t>100%</w:t>
                                    <w:br/>
                                  </w:r>
                                  <w:r>
                                    <w:rPr>
                                      <w:rFonts w:ascii="Arial" w:hAnsi="Arial"/>
                                      <w:b/>
                                      <w:sz w:val="20"/>
                                    </w:rPr>
                                    <w:t>$15,427,247</w:t>
                                  </w:r>
                                </w:p>
                              </w:tc>
                              <w:tc>
                                <w:tcPr>
                                  <w:tcW w:w="8035" w:type="dxa"/>
                                  <w:gridSpan w:val="4"/>
                                  <w:tcBorders>
                                    <w:bottom w:val="single" w:sz="12" w:space="0" w:color="1A2343"/>
                                  </w:tcBorders>
                                  <w:shd w:fill="auto" w:val="clear"/>
                                  <w:vAlign w:val="center"/>
                                </w:tcPr>
                                <w:p>
                                  <w:pPr>
                                    <w:pStyle w:val="TableContents"/>
                                    <w:spacing w:before="0" w:after="0"/>
                                    <w:jc w:val="left"/>
                                    <w:rPr>
                                      <w:rFonts w:ascii="Arial" w:hAnsi="Arial"/>
                                      <w:sz w:val="15"/>
                                    </w:rPr>
                                  </w:pPr>
                                  <w:r>
                                    <w:rPr>
                                      <w:rFonts w:ascii="Arial" w:hAnsi="Arial"/>
                                      <w:sz w:val="15"/>
                                    </w:rPr>
                                    <w:t>Both totals include $75,060 of “Other Compensation,” as reflected in the Summary Compensation Table.</w:t>
                                  </w:r>
                                </w:p>
                              </w:tc>
                            </w:tr>
                          </w:tbl>
                          <w:p>
                            <w:pPr>
                              <w:pStyle w:val="TextBody"/>
                              <w:spacing w:before="0" w:after="283"/>
                              <w:rPr/>
                            </w:pPr>
                            <w:r>
                              <w:rPr/>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489.6pt;mso-wrap-distance-left:0pt;mso-wrap-distance-right:0pt;mso-wrap-distance-top:0pt;mso-wrap-distance-bottom:0pt;margin-top:0pt;mso-position-vertical:top;mso-position-vertical-relative:text;margin-left:148pt;mso-position-horizontal:right;mso-position-horizontal-relative:text">
                <v:textbox>
                  <w:txbxContent>
                    <w:p>
                      <w:pPr>
                        <w:pStyle w:val="TextBody"/>
                        <w:jc w:val="left"/>
                        <w:rPr/>
                      </w:pPr>
                      <w:r>
                        <w:rPr>
                          <w:rFonts w:ascii="Arial" w:hAnsi="Arial"/>
                          <w:b/>
                          <w:color w:val="8EAD3C"/>
                          <w:sz w:val="22"/>
                        </w:rPr>
                        <w:t>2022 Performance and Compensation –</w:t>
                      </w:r>
                      <w:r>
                        <w:rPr>
                          <w:rFonts w:ascii="Arial" w:hAnsi="Arial"/>
                          <w:color w:val="8EAD3C"/>
                          <w:sz w:val="22"/>
                        </w:rPr>
                        <w:br/>
                      </w:r>
                      <w:r>
                        <w:rPr>
                          <w:rFonts w:ascii="Arial" w:hAnsi="Arial"/>
                          <w:b/>
                          <w:color w:val="8EAD3C"/>
                          <w:sz w:val="22"/>
                        </w:rPr>
                        <w:t>Projected Realizable Compensation vs. Total Direct Compensation</w:t>
                      </w:r>
                    </w:p>
                    <w:tbl>
                      <w:tblPr>
                        <w:tblW w:w="10205" w:type="dxa"/>
                        <w:jc w:val="left"/>
                        <w:tblInd w:w="0" w:type="dxa"/>
                        <w:tblCellMar>
                          <w:top w:w="0" w:type="dxa"/>
                          <w:left w:w="0" w:type="dxa"/>
                          <w:bottom w:w="40" w:type="dxa"/>
                          <w:right w:w="0" w:type="dxa"/>
                        </w:tblCellMar>
                      </w:tblPr>
                      <w:tblGrid>
                        <w:gridCol w:w="1085"/>
                        <w:gridCol w:w="1085"/>
                        <w:gridCol w:w="1873"/>
                        <w:gridCol w:w="1595"/>
                        <w:gridCol w:w="1754"/>
                        <w:gridCol w:w="2813"/>
                      </w:tblGrid>
                      <w:tr>
                        <w:trPr/>
                        <w:tc>
                          <w:tcPr>
                            <w:tcW w:w="1085" w:type="dxa"/>
                            <w:tcBorders>
                              <w:bottom w:val="single" w:sz="12" w:space="0" w:color="1A2343"/>
                            </w:tcBorders>
                            <w:shd w:fill="F3F6EA" w:val="clear"/>
                            <w:vAlign w:val="center"/>
                          </w:tcPr>
                          <w:p>
                            <w:pPr>
                              <w:pStyle w:val="TableContents"/>
                              <w:spacing w:before="0" w:after="283"/>
                              <w:jc w:val="left"/>
                              <w:rPr>
                                <w:rFonts w:ascii="Arial" w:hAnsi="Arial"/>
                                <w:color w:val="1A2343"/>
                                <w:sz w:val="15"/>
                              </w:rPr>
                            </w:pPr>
                            <w:r>
                              <w:rPr>
                                <w:rFonts w:ascii="Arial" w:hAnsi="Arial"/>
                                <w:color w:val="1A2343"/>
                                <w:sz w:val="15"/>
                              </w:rPr>
                              <w:t>PRC</w:t>
                            </w:r>
                          </w:p>
                        </w:tc>
                        <w:tc>
                          <w:tcPr>
                            <w:tcW w:w="1085"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TDC</w:t>
                            </w:r>
                          </w:p>
                        </w:tc>
                        <w:tc>
                          <w:tcPr>
                            <w:tcW w:w="8035" w:type="dxa"/>
                            <w:gridSpan w:val="4"/>
                            <w:tcBorders>
                              <w:bottom w:val="single" w:sz="12" w:space="0" w:color="1A2343"/>
                            </w:tcBorders>
                            <w:shd w:fill="auto" w:val="clear"/>
                            <w:vAlign w:val="center"/>
                          </w:tcPr>
                          <w:p>
                            <w:pPr>
                              <w:pStyle w:val="TableContents"/>
                              <w:spacing w:before="0" w:after="283"/>
                              <w:jc w:val="left"/>
                              <w:rPr/>
                            </w:pPr>
                            <w:r>
                              <w:rPr>
                                <w:rFonts w:ascii="Arial" w:hAnsi="Arial"/>
                                <w:color w:val="1A2343"/>
                                <w:sz w:val="15"/>
                              </w:rPr>
                              <w:t>Element of Compensation</w:t>
                            </w:r>
                            <w:r>
                              <w:rPr/>
                              <w:t xml:space="preserve"> </w:t>
                            </w:r>
                          </w:p>
                        </w:tc>
                      </w:tr>
                      <w:tr>
                        <w:trPr/>
                        <w:tc>
                          <w:tcPr>
                            <w:tcW w:w="1085"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13%</w:t>
                              <w:br/>
                            </w:r>
                            <w:r>
                              <w:rPr>
                                <w:rFonts w:ascii="Arial" w:hAnsi="Arial"/>
                                <w:b/>
                                <w:sz w:val="20"/>
                              </w:rPr>
                              <w:t>$1,250,000</w:t>
                            </w:r>
                          </w:p>
                        </w:tc>
                        <w:tc>
                          <w:tcPr>
                            <w:tcW w:w="1085"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8%</w:t>
                              <w:br/>
                            </w:r>
                            <w:r>
                              <w:rPr>
                                <w:rFonts w:ascii="Arial" w:hAnsi="Arial"/>
                                <w:b/>
                                <w:sz w:val="20"/>
                              </w:rPr>
                              <w:t>$1,250,000</w:t>
                            </w:r>
                          </w:p>
                        </w:tc>
                        <w:tc>
                          <w:tcPr>
                            <w:tcW w:w="8035" w:type="dxa"/>
                            <w:gridSpan w:val="4"/>
                            <w:tcBorders>
                              <w:bottom w:val="single" w:sz="8" w:space="0" w:color="5B5975"/>
                            </w:tcBorders>
                            <w:shd w:fill="auto" w:val="clear"/>
                            <w:vAlign w:val="center"/>
                          </w:tcPr>
                          <w:p>
                            <w:pPr>
                              <w:pStyle w:val="TableContents"/>
                              <w:spacing w:before="0" w:after="0"/>
                              <w:jc w:val="left"/>
                              <w:rPr/>
                            </w:pPr>
                            <w:r>
                              <w:rPr>
                                <w:rFonts w:ascii="Arial" w:hAnsi="Arial"/>
                                <w:b/>
                                <w:sz w:val="20"/>
                              </w:rPr>
                              <w:t>Annual Base Salary</w:t>
                            </w:r>
                            <w:r>
                              <w:rPr>
                                <w:rFonts w:ascii="Arial" w:hAnsi="Arial"/>
                                <w:sz w:val="20"/>
                              </w:rPr>
                              <w:br/>
                            </w:r>
                            <w:r>
                              <w:rPr>
                                <w:rFonts w:ascii="Arial" w:hAnsi="Arial"/>
                                <w:sz w:val="15"/>
                              </w:rPr>
                              <w:t>Mr. Hollidays base salary was equal to the minimum set forth in his employment agreement. There has been no change to his base salary since it was retroactively reduced in 2018.</w:t>
                            </w:r>
                          </w:p>
                        </w:tc>
                      </w:tr>
                      <w:tr>
                        <w:trPr/>
                        <w:tc>
                          <w:tcPr>
                            <w:tcW w:w="1085"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21%</w:t>
                              <w:br/>
                            </w:r>
                            <w:r>
                              <w:rPr>
                                <w:rFonts w:ascii="Arial" w:hAnsi="Arial"/>
                                <w:b/>
                                <w:sz w:val="20"/>
                              </w:rPr>
                              <w:t>$2,035,044</w:t>
                            </w:r>
                          </w:p>
                        </w:tc>
                        <w:tc>
                          <w:tcPr>
                            <w:tcW w:w="1085"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14%</w:t>
                              <w:br/>
                            </w:r>
                            <w:r>
                              <w:rPr>
                                <w:rFonts w:ascii="Arial" w:hAnsi="Arial"/>
                                <w:b/>
                                <w:sz w:val="20"/>
                              </w:rPr>
                              <w:t>$2,102,187</w:t>
                            </w:r>
                          </w:p>
                        </w:tc>
                        <w:tc>
                          <w:tcPr>
                            <w:tcW w:w="8035" w:type="dxa"/>
                            <w:gridSpan w:val="4"/>
                            <w:tcBorders>
                              <w:bottom w:val="single" w:sz="8" w:space="0" w:color="5B5975"/>
                            </w:tcBorders>
                            <w:shd w:fill="auto" w:val="clear"/>
                            <w:vAlign w:val="center"/>
                          </w:tcPr>
                          <w:p>
                            <w:pPr>
                              <w:pStyle w:val="TableContents"/>
                              <w:spacing w:before="0" w:after="0"/>
                              <w:jc w:val="left"/>
                              <w:rPr/>
                            </w:pPr>
                            <w:r>
                              <w:rPr>
                                <w:rFonts w:ascii="Arial" w:hAnsi="Arial"/>
                                <w:b/>
                                <w:sz w:val="20"/>
                              </w:rPr>
                              <w:t>100% Formulaic Annual Cash Incentive Bonus</w:t>
                            </w:r>
                            <w:r>
                              <w:rPr>
                                <w:rFonts w:ascii="Arial" w:hAnsi="Arial"/>
                                <w:sz w:val="20"/>
                              </w:rPr>
                              <w:br/>
                            </w:r>
                            <w:r>
                              <w:rPr>
                                <w:rFonts w:ascii="Arial" w:hAnsi="Arial"/>
                                <w:sz w:val="15"/>
                              </w:rPr>
                              <w:t xml:space="preserve">Determined formulaically based on performance relative to preset objective bonus criteria established by the Committee in January 2022. These amounts reflect the earning of </w:t>
                            </w:r>
                            <w:r>
                              <w:rPr>
                                <w:rFonts w:ascii="Arial" w:hAnsi="Arial"/>
                                <w:b/>
                                <w:sz w:val="15"/>
                              </w:rPr>
                              <w:t>84%</w:t>
                            </w:r>
                            <w:r>
                              <w:rPr>
                                <w:rFonts w:ascii="Arial" w:hAnsi="Arial"/>
                                <w:sz w:val="15"/>
                              </w:rPr>
                              <w:t xml:space="preserve"> of target and include true-up adjustments made in January 2023 on account of actual 2021 and 2022 performance.</w:t>
                            </w:r>
                            <w:r>
                              <w:rPr/>
                              <w:t xml:space="preserve"> </w:t>
                            </w:r>
                          </w:p>
                          <w:p>
                            <w:pPr>
                              <w:pStyle w:val="TableContents"/>
                              <w:spacing w:before="0" w:after="0"/>
                              <w:jc w:val="left"/>
                              <w:rPr>
                                <w:rFonts w:ascii="Arial" w:hAnsi="Arial"/>
                                <w:sz w:val="15"/>
                              </w:rPr>
                            </w:pPr>
                            <w:r>
                              <w:rPr>
                                <w:rFonts w:ascii="Arial" w:hAnsi="Arial"/>
                                <w:sz w:val="15"/>
                              </w:rPr>
                              <w:t xml:space="preserve">Mr. Holliday elected to receive </w:t>
                            </w:r>
                            <w:r>
                              <w:rPr>
                                <w:rFonts w:ascii="Arial" w:hAnsi="Arial"/>
                                <w:b/>
                                <w:sz w:val="15"/>
                              </w:rPr>
                              <w:t>50%</w:t>
                            </w:r>
                            <w:r>
                              <w:rPr>
                                <w:rFonts w:ascii="Arial" w:hAnsi="Arial"/>
                                <w:sz w:val="15"/>
                              </w:rPr>
                              <w:t xml:space="preserve"> of the bonus in the form of equity. The corresponding </w:t>
                            </w:r>
                            <w:r>
                              <w:rPr>
                                <w:rFonts w:ascii="Arial" w:hAnsi="Arial"/>
                                <w:b/>
                                <w:sz w:val="15"/>
                              </w:rPr>
                              <w:t>29,180</w:t>
                            </w:r>
                            <w:r>
                              <w:rPr>
                                <w:rFonts w:ascii="Arial" w:hAnsi="Arial"/>
                                <w:sz w:val="15"/>
                              </w:rPr>
                              <w:t xml:space="preserve"> LTIP units granted in December 2022 and January 2023 were fully vested upon grant, but remain subject to a three-year no-sell restriction. The difference between the PRC and TDC relates to the valuation of these LTIP units as of December 31, 2022, compared to the date on which the bonus was determined.</w:t>
                            </w:r>
                          </w:p>
                        </w:tc>
                      </w:tr>
                      <w:tr>
                        <w:trPr/>
                        <w:tc>
                          <w:tcPr>
                            <w:tcW w:w="1085" w:type="dxa"/>
                            <w:tcBorders/>
                            <w:shd w:fill="F3F6EA" w:val="clear"/>
                            <w:tcMar>
                              <w:bottom w:w="0" w:type="dxa"/>
                            </w:tcMar>
                            <w:vAlign w:val="center"/>
                          </w:tcPr>
                          <w:p>
                            <w:pPr>
                              <w:pStyle w:val="TableContents"/>
                              <w:spacing w:before="0" w:after="0"/>
                              <w:jc w:val="left"/>
                              <w:rPr/>
                            </w:pPr>
                            <w:r>
                              <w:rPr>
                                <w:rFonts w:ascii="Arial" w:hAnsi="Arial"/>
                                <w:color w:val="1A2343"/>
                                <w:sz w:val="36"/>
                              </w:rPr>
                              <w:t>21%</w:t>
                              <w:br/>
                            </w:r>
                            <w:r>
                              <w:rPr>
                                <w:rFonts w:ascii="Arial" w:hAnsi="Arial"/>
                                <w:b/>
                                <w:sz w:val="20"/>
                              </w:rPr>
                              <w:t>$2,118,358</w:t>
                            </w:r>
                          </w:p>
                        </w:tc>
                        <w:tc>
                          <w:tcPr>
                            <w:tcW w:w="1085" w:type="dxa"/>
                            <w:tcBorders/>
                            <w:shd w:fill="auto" w:val="clear"/>
                            <w:tcMar>
                              <w:bottom w:w="0" w:type="dxa"/>
                            </w:tcMar>
                            <w:vAlign w:val="center"/>
                          </w:tcPr>
                          <w:p>
                            <w:pPr>
                              <w:pStyle w:val="TableContents"/>
                              <w:spacing w:before="0" w:after="0"/>
                              <w:jc w:val="left"/>
                              <w:rPr/>
                            </w:pPr>
                            <w:r>
                              <w:rPr>
                                <w:rFonts w:ascii="Arial" w:hAnsi="Arial"/>
                                <w:color w:val="1A2343"/>
                                <w:sz w:val="36"/>
                              </w:rPr>
                              <w:t>49%</w:t>
                              <w:br/>
                            </w:r>
                            <w:r>
                              <w:rPr>
                                <w:rFonts w:ascii="Arial" w:hAnsi="Arial"/>
                                <w:b/>
                                <w:sz w:val="20"/>
                              </w:rPr>
                              <w:t>$7,500,000</w:t>
                            </w:r>
                          </w:p>
                        </w:tc>
                        <w:tc>
                          <w:tcPr>
                            <w:tcW w:w="8035" w:type="dxa"/>
                            <w:gridSpan w:val="4"/>
                            <w:tcBorders/>
                            <w:shd w:fill="auto" w:val="clear"/>
                            <w:tcMar>
                              <w:bottom w:w="0" w:type="dxa"/>
                            </w:tcMar>
                            <w:vAlign w:val="center"/>
                          </w:tcPr>
                          <w:p>
                            <w:pPr>
                              <w:pStyle w:val="TableContents"/>
                              <w:spacing w:before="0" w:after="120"/>
                              <w:jc w:val="left"/>
                              <w:rPr/>
                            </w:pPr>
                            <w:r>
                              <w:rPr>
                                <w:rFonts w:ascii="Arial" w:hAnsi="Arial"/>
                                <w:b/>
                                <w:sz w:val="20"/>
                              </w:rPr>
                              <w:t>Performance-Based Equity Awards</w:t>
                            </w:r>
                            <w:r>
                              <w:rPr>
                                <w:rFonts w:ascii="Arial" w:hAnsi="Arial"/>
                                <w:sz w:val="20"/>
                              </w:rPr>
                              <w:br/>
                            </w:r>
                            <w:r>
                              <w:rPr>
                                <w:rFonts w:ascii="Arial" w:hAnsi="Arial"/>
                                <w:sz w:val="15"/>
                              </w:rPr>
                              <w:t xml:space="preserve">The PRC amount reflects the value of the award based on projected performance as of December 31, 2022 and our stock price on such date. The TDC amount reflects the target notional value of </w:t>
                            </w:r>
                            <w:r>
                              <w:rPr>
                                <w:rFonts w:ascii="Arial" w:hAnsi="Arial"/>
                                <w:b/>
                                <w:sz w:val="15"/>
                              </w:rPr>
                              <w:t>$7,500,000</w:t>
                            </w:r>
                            <w:r>
                              <w:rPr>
                                <w:rFonts w:ascii="Arial" w:hAnsi="Arial"/>
                                <w:sz w:val="15"/>
                              </w:rPr>
                              <w:t xml:space="preserve">, consistent with the minimum set forth in Mr. Hollidays employment agreement. </w:t>
                            </w:r>
                            <w:r>
                              <w:rPr>
                                <w:rFonts w:ascii="Arial" w:hAnsi="Arial"/>
                                <w:b/>
                                <w:sz w:val="15"/>
                              </w:rPr>
                              <w:t>The difference between the PRC and TDC amounts is the value of these LTIP units as of December 31, 2022 compared to the grant amount.</w:t>
                            </w:r>
                            <w:r>
                              <w:rPr>
                                <w:rFonts w:ascii="Arial" w:hAnsi="Arial"/>
                                <w:sz w:val="15"/>
                              </w:rPr>
                              <w:t xml:space="preserve"> </w:t>
                            </w:r>
                          </w:p>
                          <w:p>
                            <w:pPr>
                              <w:pStyle w:val="TableContents"/>
                              <w:spacing w:before="0" w:after="0"/>
                              <w:jc w:val="left"/>
                              <w:rPr>
                                <w:rFonts w:ascii="Arial" w:hAnsi="Arial"/>
                                <w:sz w:val="15"/>
                              </w:rPr>
                            </w:pPr>
                            <w:r>
                              <w:rPr>
                                <w:rFonts w:ascii="Arial" w:hAnsi="Arial"/>
                                <w:sz w:val="15"/>
                              </w:rPr>
                              <w:t>The award relates to the following number of LTIP units:</w:t>
                            </w:r>
                          </w:p>
                        </w:tc>
                      </w:tr>
                      <w:tr>
                        <w:trPr/>
                        <w:tc>
                          <w:tcPr>
                            <w:tcW w:w="1085" w:type="dxa"/>
                            <w:tcBorders/>
                            <w:shd w:fill="F3F6EA" w:val="clear"/>
                            <w:tcMar>
                              <w:bottom w:w="0" w:type="dxa"/>
                            </w:tcMar>
                            <w:vAlign w:val="center"/>
                          </w:tcPr>
                          <w:p>
                            <w:pPr>
                              <w:pStyle w:val="TableContents"/>
                              <w:spacing w:before="0" w:after="283"/>
                              <w:rPr>
                                <w:sz w:val="4"/>
                                <w:szCs w:val="4"/>
                              </w:rPr>
                            </w:pPr>
                            <w:r>
                              <w:rPr>
                                <w:sz w:val="4"/>
                                <w:szCs w:val="4"/>
                              </w:rPr>
                            </w:r>
                          </w:p>
                        </w:tc>
                        <w:tc>
                          <w:tcPr>
                            <w:tcW w:w="1085" w:type="dxa"/>
                            <w:tcBorders/>
                            <w:shd w:fill="auto" w:val="clear"/>
                            <w:tcMar>
                              <w:bottom w:w="0" w:type="dxa"/>
                            </w:tcMar>
                            <w:vAlign w:val="center"/>
                          </w:tcPr>
                          <w:p>
                            <w:pPr>
                              <w:pStyle w:val="TableContents"/>
                              <w:spacing w:before="0" w:after="283"/>
                              <w:rPr>
                                <w:sz w:val="4"/>
                                <w:szCs w:val="4"/>
                              </w:rPr>
                            </w:pPr>
                            <w:r>
                              <w:rPr>
                                <w:sz w:val="4"/>
                                <w:szCs w:val="4"/>
                              </w:rPr>
                            </w:r>
                          </w:p>
                        </w:tc>
                        <w:tc>
                          <w:tcPr>
                            <w:tcW w:w="8035" w:type="dxa"/>
                            <w:gridSpan w:val="4"/>
                            <w:tcBorders>
                              <w:top w:val="single" w:sz="16" w:space="0" w:color="1A2343"/>
                              <w:bottom w:val="single" w:sz="16" w:space="0" w:color="1A2343"/>
                            </w:tcBorders>
                            <w:shd w:fill="auto" w:val="clear"/>
                            <w:tcMar>
                              <w:top w:w="40" w:type="dxa"/>
                            </w:tcMar>
                            <w:vAlign w:val="center"/>
                          </w:tcPr>
                          <w:p>
                            <w:pPr>
                              <w:pStyle w:val="TableContents"/>
                              <w:spacing w:before="0" w:after="283"/>
                              <w:jc w:val="center"/>
                              <w:rPr>
                                <w:rFonts w:ascii="Arial" w:hAnsi="Arial"/>
                                <w:color w:val="1A2343"/>
                                <w:sz w:val="15"/>
                              </w:rPr>
                            </w:pPr>
                            <w:r>
                              <w:rPr>
                                <w:rFonts w:ascii="Arial" w:hAnsi="Arial"/>
                                <w:color w:val="1A2343"/>
                                <w:sz w:val="15"/>
                              </w:rPr>
                              <w:t>2022 Performance-Based Award –</w:t>
                              <w:br/>
                              <w:t>Number of LTIP Units Granted</w:t>
                            </w:r>
                          </w:p>
                        </w:tc>
                      </w:tr>
                      <w:tr>
                        <w:trPr/>
                        <w:tc>
                          <w:tcPr>
                            <w:tcW w:w="1085" w:type="dxa"/>
                            <w:tcBorders/>
                            <w:shd w:fill="F3F6EA" w:val="clear"/>
                            <w:tcMar>
                              <w:bottom w:w="0" w:type="dxa"/>
                            </w:tcMar>
                            <w:vAlign w:val="center"/>
                          </w:tcPr>
                          <w:p>
                            <w:pPr>
                              <w:pStyle w:val="TableContents"/>
                              <w:spacing w:before="0" w:after="283"/>
                              <w:rPr>
                                <w:sz w:val="4"/>
                                <w:szCs w:val="4"/>
                              </w:rPr>
                            </w:pPr>
                            <w:r>
                              <w:rPr>
                                <w:sz w:val="4"/>
                                <w:szCs w:val="4"/>
                              </w:rPr>
                            </w:r>
                          </w:p>
                        </w:tc>
                        <w:tc>
                          <w:tcPr>
                            <w:tcW w:w="1085" w:type="dxa"/>
                            <w:tcBorders/>
                            <w:shd w:fill="auto" w:val="clear"/>
                            <w:tcMar>
                              <w:bottom w:w="0" w:type="dxa"/>
                            </w:tcMar>
                            <w:vAlign w:val="center"/>
                          </w:tcPr>
                          <w:p>
                            <w:pPr>
                              <w:pStyle w:val="TableContents"/>
                              <w:spacing w:before="0" w:after="283"/>
                              <w:rPr>
                                <w:sz w:val="4"/>
                                <w:szCs w:val="4"/>
                              </w:rPr>
                            </w:pPr>
                            <w:r>
                              <w:rPr>
                                <w:sz w:val="4"/>
                                <w:szCs w:val="4"/>
                              </w:rPr>
                            </w:r>
                          </w:p>
                        </w:tc>
                        <w:tc>
                          <w:tcPr>
                            <w:tcW w:w="1873"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Threshold</w:t>
                            </w:r>
                          </w:p>
                        </w:tc>
                        <w:tc>
                          <w:tcPr>
                            <w:tcW w:w="1595"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Target</w:t>
                            </w:r>
                          </w:p>
                        </w:tc>
                        <w:tc>
                          <w:tcPr>
                            <w:tcW w:w="1754"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Maximum</w:t>
                            </w:r>
                          </w:p>
                        </w:tc>
                        <w:tc>
                          <w:tcPr>
                            <w:tcW w:w="2813"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Projected Earned</w:t>
                              <w:br/>
                              <w:t>as of 12/31/2022</w:t>
                            </w:r>
                          </w:p>
                        </w:tc>
                      </w:tr>
                      <w:tr>
                        <w:trPr/>
                        <w:tc>
                          <w:tcPr>
                            <w:tcW w:w="1085" w:type="dxa"/>
                            <w:tcBorders/>
                            <w:shd w:fill="F3F6EA" w:val="clear"/>
                            <w:tcMar>
                              <w:bottom w:w="0" w:type="dxa"/>
                            </w:tcMar>
                            <w:vAlign w:val="center"/>
                          </w:tcPr>
                          <w:p>
                            <w:pPr>
                              <w:pStyle w:val="TableContents"/>
                              <w:spacing w:before="0" w:after="283"/>
                              <w:rPr>
                                <w:sz w:val="4"/>
                                <w:szCs w:val="4"/>
                              </w:rPr>
                            </w:pPr>
                            <w:r>
                              <w:rPr>
                                <w:sz w:val="4"/>
                                <w:szCs w:val="4"/>
                              </w:rPr>
                            </w:r>
                          </w:p>
                        </w:tc>
                        <w:tc>
                          <w:tcPr>
                            <w:tcW w:w="1085" w:type="dxa"/>
                            <w:tcBorders/>
                            <w:shd w:fill="auto" w:val="clear"/>
                            <w:tcMar>
                              <w:bottom w:w="0" w:type="dxa"/>
                            </w:tcMar>
                            <w:vAlign w:val="center"/>
                          </w:tcPr>
                          <w:p>
                            <w:pPr>
                              <w:pStyle w:val="TableContents"/>
                              <w:spacing w:before="0" w:after="283"/>
                              <w:rPr>
                                <w:sz w:val="4"/>
                                <w:szCs w:val="4"/>
                              </w:rPr>
                            </w:pPr>
                            <w:r>
                              <w:rPr>
                                <w:sz w:val="4"/>
                                <w:szCs w:val="4"/>
                              </w:rPr>
                            </w:r>
                          </w:p>
                        </w:tc>
                        <w:tc>
                          <w:tcPr>
                            <w:tcW w:w="1873"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47,640</w:t>
                            </w:r>
                          </w:p>
                        </w:tc>
                        <w:tc>
                          <w:tcPr>
                            <w:tcW w:w="1595"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101,632</w:t>
                            </w:r>
                          </w:p>
                        </w:tc>
                        <w:tc>
                          <w:tcPr>
                            <w:tcW w:w="1754"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228,675</w:t>
                            </w:r>
                          </w:p>
                        </w:tc>
                        <w:tc>
                          <w:tcPr>
                            <w:tcW w:w="2813"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62,822</w:t>
                            </w:r>
                          </w:p>
                        </w:tc>
                      </w:tr>
                      <w:tr>
                        <w:trPr/>
                        <w:tc>
                          <w:tcPr>
                            <w:tcW w:w="1085" w:type="dxa"/>
                            <w:tcBorders>
                              <w:bottom w:val="single" w:sz="8" w:space="0" w:color="5B5975"/>
                            </w:tcBorders>
                            <w:shd w:fill="F3F6EA" w:val="clear"/>
                            <w:vAlign w:val="center"/>
                          </w:tcPr>
                          <w:p>
                            <w:pPr>
                              <w:pStyle w:val="TableContents"/>
                              <w:spacing w:before="0" w:after="283"/>
                              <w:rPr>
                                <w:sz w:val="4"/>
                                <w:szCs w:val="4"/>
                              </w:rPr>
                            </w:pPr>
                            <w:r>
                              <w:rPr>
                                <w:sz w:val="4"/>
                                <w:szCs w:val="4"/>
                              </w:rPr>
                            </w:r>
                          </w:p>
                        </w:tc>
                        <w:tc>
                          <w:tcPr>
                            <w:tcW w:w="108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8035" w:type="dxa"/>
                            <w:gridSpan w:val="4"/>
                            <w:tcBorders>
                              <w:bottom w:val="single" w:sz="8" w:space="0" w:color="5B5975"/>
                            </w:tcBorders>
                            <w:shd w:fill="auto" w:val="clear"/>
                            <w:vAlign w:val="center"/>
                          </w:tcPr>
                          <w:p>
                            <w:pPr>
                              <w:pStyle w:val="TableContents"/>
                              <w:spacing w:before="0" w:after="0"/>
                              <w:jc w:val="left"/>
                              <w:rPr>
                                <w:rFonts w:ascii="Arial" w:hAnsi="Arial"/>
                                <w:sz w:val="15"/>
                              </w:rPr>
                            </w:pPr>
                            <w:r>
                              <w:rPr>
                                <w:rFonts w:ascii="Arial" w:hAnsi="Arial"/>
                                <w:sz w:val="15"/>
                              </w:rPr>
                              <w:t>The actual number of LTIP units earned will be determined based on Company performance measured after the end of the full performance period ending December 31, 2024, based on our absolute and relative TSR, with earned LTIP units vesting in full as of December 31, 2024.</w:t>
                            </w:r>
                          </w:p>
                        </w:tc>
                      </w:tr>
                      <w:tr>
                        <w:trPr/>
                        <w:tc>
                          <w:tcPr>
                            <w:tcW w:w="1085"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45%</w:t>
                              <w:br/>
                            </w:r>
                            <w:r>
                              <w:rPr>
                                <w:rFonts w:ascii="Arial" w:hAnsi="Arial"/>
                                <w:b/>
                                <w:sz w:val="20"/>
                              </w:rPr>
                              <w:t>$4,523,740</w:t>
                            </w:r>
                          </w:p>
                        </w:tc>
                        <w:tc>
                          <w:tcPr>
                            <w:tcW w:w="1085"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29%</w:t>
                              <w:br/>
                            </w:r>
                            <w:r>
                              <w:rPr>
                                <w:rFonts w:ascii="Arial" w:hAnsi="Arial"/>
                                <w:b/>
                                <w:sz w:val="20"/>
                              </w:rPr>
                              <w:t>$4,500,000</w:t>
                            </w:r>
                          </w:p>
                        </w:tc>
                        <w:tc>
                          <w:tcPr>
                            <w:tcW w:w="8035" w:type="dxa"/>
                            <w:gridSpan w:val="4"/>
                            <w:tcBorders>
                              <w:bottom w:val="single" w:sz="8" w:space="0" w:color="5B5975"/>
                            </w:tcBorders>
                            <w:shd w:fill="auto" w:val="clear"/>
                            <w:vAlign w:val="center"/>
                          </w:tcPr>
                          <w:p>
                            <w:pPr>
                              <w:pStyle w:val="TableContents"/>
                              <w:spacing w:before="0" w:after="120"/>
                              <w:jc w:val="left"/>
                              <w:rPr/>
                            </w:pPr>
                            <w:r>
                              <w:rPr>
                                <w:rFonts w:ascii="Arial" w:hAnsi="Arial"/>
                                <w:b/>
                                <w:sz w:val="20"/>
                              </w:rPr>
                              <w:t>Time-Based Equity Awards</w:t>
                            </w:r>
                            <w:r>
                              <w:rPr>
                                <w:rFonts w:ascii="Arial" w:hAnsi="Arial"/>
                                <w:sz w:val="20"/>
                              </w:rPr>
                              <w:br/>
                            </w:r>
                            <w:r>
                              <w:rPr>
                                <w:rFonts w:ascii="Arial" w:hAnsi="Arial"/>
                                <w:sz w:val="15"/>
                              </w:rPr>
                              <w:t xml:space="preserve">The Committee granted time-based awards in January 2023 based on the companys 2022 performance. The awards had a target value of </w:t>
                            </w:r>
                            <w:r>
                              <w:rPr>
                                <w:rFonts w:ascii="Arial" w:hAnsi="Arial"/>
                                <w:b/>
                                <w:sz w:val="15"/>
                              </w:rPr>
                              <w:t>$4,500,000</w:t>
                            </w:r>
                            <w:r>
                              <w:rPr>
                                <w:rFonts w:ascii="Arial" w:hAnsi="Arial"/>
                                <w:sz w:val="15"/>
                              </w:rPr>
                              <w:t xml:space="preserve">, equal to the minimum in Mr. Hollidays employment agreement. </w:t>
                            </w:r>
                          </w:p>
                          <w:p>
                            <w:pPr>
                              <w:pStyle w:val="TableContents"/>
                              <w:spacing w:before="0" w:after="0"/>
                              <w:jc w:val="left"/>
                              <w:rPr>
                                <w:rFonts w:ascii="Arial" w:hAnsi="Arial"/>
                                <w:sz w:val="15"/>
                              </w:rPr>
                            </w:pPr>
                            <w:r>
                              <w:rPr>
                                <w:rFonts w:ascii="Arial" w:hAnsi="Arial"/>
                                <w:sz w:val="15"/>
                              </w:rPr>
                              <w:t xml:space="preserve">The corresponding </w:t>
                            </w:r>
                            <w:r>
                              <w:rPr>
                                <w:rFonts w:ascii="Arial" w:hAnsi="Arial"/>
                                <w:b/>
                                <w:sz w:val="15"/>
                              </w:rPr>
                              <w:t>134,156</w:t>
                            </w:r>
                            <w:r>
                              <w:rPr>
                                <w:rFonts w:ascii="Arial" w:hAnsi="Arial"/>
                                <w:sz w:val="15"/>
                              </w:rPr>
                              <w:t xml:space="preserve"> LTIP units will vest in three equal installments on January 1, 2024, January 1, 2025 and January 1, 2026. The difference between the PRC and TDC amounts relates to the valuation of these LTIP units as of December 31, 2022, compared to the ten-day trailing average used to price the awards pursuant to Mr. Hollidays employment agreement. </w:t>
                            </w:r>
                          </w:p>
                        </w:tc>
                      </w:tr>
                      <w:tr>
                        <w:trPr/>
                        <w:tc>
                          <w:tcPr>
                            <w:tcW w:w="1085" w:type="dxa"/>
                            <w:tcBorders>
                              <w:bottom w:val="single" w:sz="12" w:space="0" w:color="1A2343"/>
                            </w:tcBorders>
                            <w:shd w:fill="F3F6EA" w:val="clear"/>
                            <w:vAlign w:val="center"/>
                          </w:tcPr>
                          <w:p>
                            <w:pPr>
                              <w:pStyle w:val="TableContents"/>
                              <w:spacing w:before="0" w:after="0"/>
                              <w:jc w:val="left"/>
                              <w:rPr/>
                            </w:pPr>
                            <w:r>
                              <w:rPr>
                                <w:rFonts w:ascii="Arial" w:hAnsi="Arial"/>
                                <w:color w:val="1A2343"/>
                                <w:sz w:val="36"/>
                              </w:rPr>
                              <w:t>100%</w:t>
                              <w:br/>
                            </w:r>
                            <w:r>
                              <w:rPr>
                                <w:rFonts w:ascii="Arial" w:hAnsi="Arial"/>
                                <w:b/>
                                <w:sz w:val="20"/>
                              </w:rPr>
                              <w:t>$10,002,202</w:t>
                            </w:r>
                          </w:p>
                        </w:tc>
                        <w:tc>
                          <w:tcPr>
                            <w:tcW w:w="1085" w:type="dxa"/>
                            <w:tcBorders>
                              <w:bottom w:val="single" w:sz="12" w:space="0" w:color="1A2343"/>
                            </w:tcBorders>
                            <w:shd w:fill="auto" w:val="clear"/>
                            <w:vAlign w:val="center"/>
                          </w:tcPr>
                          <w:p>
                            <w:pPr>
                              <w:pStyle w:val="TableContents"/>
                              <w:spacing w:before="0" w:after="0"/>
                              <w:jc w:val="left"/>
                              <w:rPr/>
                            </w:pPr>
                            <w:r>
                              <w:rPr>
                                <w:rFonts w:ascii="Arial" w:hAnsi="Arial"/>
                                <w:color w:val="1A2343"/>
                                <w:sz w:val="36"/>
                              </w:rPr>
                              <w:t>100%</w:t>
                              <w:br/>
                            </w:r>
                            <w:r>
                              <w:rPr>
                                <w:rFonts w:ascii="Arial" w:hAnsi="Arial"/>
                                <w:b/>
                                <w:sz w:val="20"/>
                              </w:rPr>
                              <w:t>$15,427,247</w:t>
                            </w:r>
                          </w:p>
                        </w:tc>
                        <w:tc>
                          <w:tcPr>
                            <w:tcW w:w="8035" w:type="dxa"/>
                            <w:gridSpan w:val="4"/>
                            <w:tcBorders>
                              <w:bottom w:val="single" w:sz="12" w:space="0" w:color="1A2343"/>
                            </w:tcBorders>
                            <w:shd w:fill="auto" w:val="clear"/>
                            <w:vAlign w:val="center"/>
                          </w:tcPr>
                          <w:p>
                            <w:pPr>
                              <w:pStyle w:val="TableContents"/>
                              <w:spacing w:before="0" w:after="0"/>
                              <w:jc w:val="left"/>
                              <w:rPr>
                                <w:rFonts w:ascii="Arial" w:hAnsi="Arial"/>
                                <w:sz w:val="15"/>
                              </w:rPr>
                            </w:pPr>
                            <w:r>
                              <w:rPr>
                                <w:rFonts w:ascii="Arial" w:hAnsi="Arial"/>
                                <w:sz w:val="15"/>
                              </w:rPr>
                              <w:t>Both totals include $75,060 of “Other Compensation,” as reflected in the Summary Compensation Table.</w:t>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455" w:type="dxa"/>
        <w:jc w:val="left"/>
        <w:tblInd w:w="0" w:type="dxa"/>
        <w:tblCellMar>
          <w:top w:w="0" w:type="dxa"/>
          <w:left w:w="0" w:type="dxa"/>
          <w:bottom w:w="0" w:type="dxa"/>
          <w:right w:w="0" w:type="dxa"/>
        </w:tblCellMar>
      </w:tblPr>
      <w:tblGrid>
        <w:gridCol w:w="2165"/>
        <w:gridCol w:w="290"/>
      </w:tblGrid>
      <w:tr>
        <w:trPr/>
        <w:tc>
          <w:tcPr>
            <w:tcW w:w="2165" w:type="dxa"/>
            <w:tcBorders/>
            <w:shd w:fill="auto" w:val="clear"/>
            <w:vAlign w:val="center"/>
          </w:tcPr>
          <w:p>
            <w:pPr>
              <w:pStyle w:val="TableContents"/>
              <w:spacing w:before="0" w:after="283"/>
              <w:jc w:val="left"/>
              <w:rPr>
                <w:rFonts w:ascii="Arial" w:hAnsi="Arial"/>
                <w:b/>
                <w:sz w:val="15"/>
              </w:rPr>
            </w:pPr>
            <w:r>
              <w:rPr>
                <w:rFonts w:ascii="Arial" w:hAnsi="Arial"/>
                <w:b/>
                <w:sz w:val="15"/>
              </w:rPr>
              <w:t>EXECUTIVE COMPENSATION</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57</w:t>
            </w:r>
          </w:p>
        </w:tc>
      </w:tr>
    </w:tbl>
    <w:p>
      <w:pPr>
        <w:pStyle w:val="TextBody"/>
        <w:spacing w:before="0" w:after="0"/>
        <w:rPr/>
      </w:pPr>
      <w:r>
        <w:rPr/>
      </w:r>
    </w:p>
    <w:p>
      <w:pPr>
        <w:pStyle w:val="TextBody"/>
        <w:spacing w:before="0" w:after="0"/>
        <w:rPr/>
      </w:pPr>
      <w:r>
        <w:rPr/>
        <w:t> </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1684655" cy="4088130"/>
                <wp:effectExtent l="0" t="0" r="0" b="0"/>
                <wp:wrapSquare wrapText="largest"/>
                <wp:docPr id="457" name="Frame41"/>
                <a:graphic xmlns:a="http://schemas.openxmlformats.org/drawingml/2006/main">
                  <a:graphicData uri="http://schemas.microsoft.com/office/word/2010/wordprocessingShape">
                    <wps:wsp>
                      <wps:cNvSpPr txBox="1"/>
                      <wps:spPr>
                        <a:xfrm>
                          <a:off x="0" y="0"/>
                          <a:ext cx="1684655" cy="4088130"/>
                        </a:xfrm>
                        <a:prstGeom prst="rect"/>
                      </wps:spPr>
                      <wps:txbx>
                        <w:txbxContent>
                          <w:tbl>
                            <w:tblPr>
                              <w:tblW w:w="10205" w:type="dxa"/>
                              <w:jc w:val="left"/>
                              <w:tblInd w:w="0" w:type="dxa"/>
                              <w:tblCellMar>
                                <w:top w:w="0" w:type="dxa"/>
                                <w:left w:w="0" w:type="dxa"/>
                                <w:bottom w:w="0" w:type="dxa"/>
                                <w:right w:w="0" w:type="dxa"/>
                              </w:tblCellMar>
                            </w:tblPr>
                            <w:tblGrid>
                              <w:gridCol w:w="180"/>
                              <w:gridCol w:w="9845"/>
                              <w:gridCol w:w="180"/>
                            </w:tblGrid>
                            <w:tr>
                              <w:trPr/>
                              <w:tc>
                                <w:tcPr>
                                  <w:tcW w:w="180" w:type="dxa"/>
                                  <w:tcBorders/>
                                  <w:shd w:fill="auto" w:val="clear"/>
                                  <w:vAlign w:val="center"/>
                                </w:tcPr>
                                <w:p>
                                  <w:pPr>
                                    <w:pStyle w:val="TableContents"/>
                                    <w:spacing w:before="0" w:after="283"/>
                                    <w:jc w:val="left"/>
                                    <w:rPr/>
                                  </w:pPr>
                                  <w:r>
                                    <w:rPr/>
                                    <w:t>   </w:t>
                                  </w:r>
                                </w:p>
                              </w:tc>
                              <w:tc>
                                <w:tcPr>
                                  <w:tcW w:w="9845" w:type="dxa"/>
                                  <w:tcBorders>
                                    <w:top w:val="single" w:sz="32" w:space="0" w:color="8EAD3C"/>
                                    <w:left w:val="single" w:sz="32" w:space="0" w:color="8EAD3C"/>
                                  </w:tcBorders>
                                  <w:shd w:fill="auto" w:val="clear"/>
                                  <w:tcMar>
                                    <w:top w:w="28" w:type="dxa"/>
                                    <w:left w:w="28" w:type="dxa"/>
                                  </w:tcMar>
                                  <w:vAlign w:val="center"/>
                                </w:tcPr>
                                <w:p>
                                  <w:pPr>
                                    <w:pStyle w:val="TableContents"/>
                                    <w:spacing w:before="0" w:after="283"/>
                                    <w:rPr>
                                      <w:sz w:val="4"/>
                                      <w:szCs w:val="4"/>
                                    </w:rPr>
                                  </w:pPr>
                                  <w:r>
                                    <w:rPr>
                                      <w:sz w:val="4"/>
                                      <w:szCs w:val="4"/>
                                    </w:rPr>
                                  </w:r>
                                </w:p>
                              </w:tc>
                              <w:tc>
                                <w:tcPr>
                                  <w:tcW w:w="180" w:type="dxa"/>
                                  <w:tcBorders>
                                    <w:top w:val="single" w:sz="32" w:space="0" w:color="8EAD3C"/>
                                    <w:right w:val="single" w:sz="32" w:space="0" w:color="8EAD3C"/>
                                  </w:tcBorders>
                                  <w:shd w:fill="auto" w:val="clear"/>
                                  <w:tcMar>
                                    <w:top w:w="28" w:type="dxa"/>
                                    <w:right w:w="28" w:type="dxa"/>
                                  </w:tcMar>
                                  <w:vAlign w:val="center"/>
                                </w:tcPr>
                                <w:p>
                                  <w:pPr>
                                    <w:pStyle w:val="TableContents"/>
                                    <w:spacing w:before="0" w:after="283"/>
                                    <w:jc w:val="left"/>
                                    <w:rPr/>
                                  </w:pPr>
                                  <w:r>
                                    <w:rPr/>
                                    <w:t>   </w:t>
                                  </w:r>
                                </w:p>
                              </w:tc>
                            </w:tr>
                            <w:tr>
                              <w:trPr/>
                              <w:tc>
                                <w:tcPr>
                                  <w:tcW w:w="180" w:type="dxa"/>
                                  <w:tcBorders/>
                                  <w:shd w:fill="1A2343" w:val="clear"/>
                                  <w:vAlign w:val="center"/>
                                </w:tcPr>
                                <w:p>
                                  <w:pPr>
                                    <w:pStyle w:val="TableContents"/>
                                    <w:spacing w:before="0" w:after="283"/>
                                    <w:rPr>
                                      <w:sz w:val="4"/>
                                      <w:szCs w:val="4"/>
                                    </w:rPr>
                                  </w:pPr>
                                  <w:r>
                                    <w:rPr>
                                      <w:sz w:val="4"/>
                                      <w:szCs w:val="4"/>
                                    </w:rPr>
                                  </w:r>
                                </w:p>
                              </w:tc>
                              <w:tc>
                                <w:tcPr>
                                  <w:tcW w:w="9845" w:type="dxa"/>
                                  <w:tcBorders/>
                                  <w:shd w:fill="1A2343" w:val="clear"/>
                                  <w:vAlign w:val="center"/>
                                </w:tcPr>
                                <w:p>
                                  <w:pPr>
                                    <w:pStyle w:val="TableContents"/>
                                    <w:spacing w:before="0" w:after="120"/>
                                    <w:jc w:val="left"/>
                                    <w:rPr>
                                      <w:rFonts w:ascii="Arial" w:hAnsi="Arial"/>
                                      <w:b/>
                                      <w:color w:val="FFFFFF"/>
                                      <w:sz w:val="24"/>
                                    </w:rPr>
                                  </w:pPr>
                                  <w:r>
                                    <w:rPr>
                                      <w:rFonts w:ascii="Arial" w:hAnsi="Arial"/>
                                      <w:b/>
                                      <w:color w:val="FFFFFF"/>
                                      <w:sz w:val="24"/>
                                    </w:rPr>
                                    <w:t>ANDREW MATHIAS</w:t>
                                  </w:r>
                                </w:p>
                                <w:p>
                                  <w:pPr>
                                    <w:pStyle w:val="TableContents"/>
                                    <w:spacing w:before="0" w:after="120"/>
                                    <w:jc w:val="center"/>
                                    <w:rPr/>
                                  </w:pPr>
                                  <w:r>
                                    <w:rPr/>
                                    <w:drawing>
                                      <wp:inline distT="0" distB="0" distL="0" distR="0">
                                        <wp:extent cx="1085850" cy="1417320"/>
                                        <wp:effectExtent l="0" t="0" r="0" b="0"/>
                                        <wp:docPr id="458"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321" descr=""/>
                                                <pic:cNvPicPr>
                                                  <a:picLocks noChangeAspect="1" noChangeArrowheads="1"/>
                                                </pic:cNvPicPr>
                                              </pic:nvPicPr>
                                              <pic:blipFill>
                                                <a:blip r:embed="rId322"/>
                                                <a:srcRect l="-896" t="-711" r="-896" b="-711"/>
                                                <a:stretch>
                                                  <a:fillRect/>
                                                </a:stretch>
                                              </pic:blipFill>
                                              <pic:spPr bwMode="auto">
                                                <a:xfrm>
                                                  <a:off x="0" y="0"/>
                                                  <a:ext cx="1085850" cy="1417320"/>
                                                </a:xfrm>
                                                <a:prstGeom prst="rect">
                                                  <a:avLst/>
                                                </a:prstGeom>
                                                <a:ln w="635">
                                                  <a:solidFill>
                                                    <a:srgbClr val="000000"/>
                                                  </a:solidFill>
                                                </a:ln>
                                              </pic:spPr>
                                            </pic:pic>
                                          </a:graphicData>
                                        </a:graphic>
                                      </wp:inline>
                                    </w:drawing>
                                  </w:r>
                                </w:p>
                                <w:p>
                                  <w:pPr>
                                    <w:pStyle w:val="TableContents"/>
                                    <w:spacing w:before="0" w:after="120"/>
                                    <w:jc w:val="left"/>
                                    <w:rPr>
                                      <w:rFonts w:ascii="Arial" w:hAnsi="Arial"/>
                                      <w:b/>
                                      <w:color w:val="FFFFFF"/>
                                      <w:sz w:val="20"/>
                                    </w:rPr>
                                  </w:pPr>
                                  <w:r>
                                    <w:rPr>
                                      <w:rFonts w:ascii="Arial" w:hAnsi="Arial"/>
                                      <w:b/>
                                      <w:color w:val="FFFFFF"/>
                                      <w:sz w:val="20"/>
                                    </w:rPr>
                                    <w:t>President</w:t>
                                  </w:r>
                                </w:p>
                                <w:p>
                                  <w:pPr>
                                    <w:pStyle w:val="TableContents"/>
                                    <w:spacing w:before="0" w:after="120"/>
                                    <w:jc w:val="left"/>
                                    <w:rPr>
                                      <w:rFonts w:ascii="Arial" w:hAnsi="Arial"/>
                                      <w:color w:val="FFFFFF"/>
                                      <w:sz w:val="20"/>
                                    </w:rPr>
                                  </w:pPr>
                                  <w:r>
                                    <w:rPr>
                                      <w:rFonts w:ascii="Arial" w:hAnsi="Arial"/>
                                      <w:color w:val="FFFFFF"/>
                                      <w:sz w:val="20"/>
                                    </w:rPr>
                                    <w:t>Mr. Mathias’s 2022 compensation reflects the challenging year the company experienced and the impact that the struggling New York City office sector had on our financial and stock price performance. Although Mr. Mathias continued to provide exceptional leadership to advance our organizational goals and operational achievements, his realizable compensation declined given the significant equity pay elements.</w:t>
                                  </w:r>
                                </w:p>
                                <w:p>
                                  <w:pPr>
                                    <w:pStyle w:val="TableContents"/>
                                    <w:spacing w:before="0" w:after="0"/>
                                    <w:jc w:val="left"/>
                                    <w:rPr>
                                      <w:rFonts w:ascii="Arial" w:hAnsi="Arial"/>
                                      <w:b/>
                                      <w:color w:val="FFFFFF"/>
                                      <w:sz w:val="20"/>
                                    </w:rPr>
                                  </w:pPr>
                                  <w:r>
                                    <w:rPr>
                                      <w:rFonts w:ascii="Arial" w:hAnsi="Arial"/>
                                      <w:b/>
                                      <w:color w:val="FFFFFF"/>
                                      <w:sz w:val="20"/>
                                    </w:rPr>
                                    <w:t>The Projected Realizable Compensation for Mr. Mathias in 2022 is approximately 37% lower than the Total Direct Compensation approved by the Committee for 2022 and approximately 41% lower than the amount reported in the Summary Compensation Table.</w:t>
                                  </w:r>
                                </w:p>
                              </w:tc>
                              <w:tc>
                                <w:tcPr>
                                  <w:tcW w:w="180" w:type="dxa"/>
                                  <w:tcBorders>
                                    <w:right w:val="single" w:sz="32" w:space="0" w:color="8EAD3C"/>
                                  </w:tcBorders>
                                  <w:shd w:fill="auto" w:val="clear"/>
                                  <w:tcMar>
                                    <w:right w:w="28" w:type="dxa"/>
                                  </w:tcMar>
                                  <w:vAlign w:val="center"/>
                                </w:tcPr>
                                <w:p>
                                  <w:pPr>
                                    <w:pStyle w:val="TableContents"/>
                                    <w:spacing w:before="0" w:after="283"/>
                                    <w:rPr>
                                      <w:sz w:val="4"/>
                                      <w:szCs w:val="4"/>
                                    </w:rPr>
                                  </w:pPr>
                                  <w:r>
                                    <w:rPr>
                                      <w:sz w:val="4"/>
                                      <w:szCs w:val="4"/>
                                    </w:rPr>
                                  </w:r>
                                </w:p>
                              </w:tc>
                            </w:tr>
                            <w:tr>
                              <w:trPr/>
                              <w:tc>
                                <w:tcPr>
                                  <w:tcW w:w="180" w:type="dxa"/>
                                  <w:tcBorders/>
                                  <w:shd w:fill="auto" w:val="clear"/>
                                  <w:vAlign w:val="center"/>
                                </w:tcPr>
                                <w:p>
                                  <w:pPr>
                                    <w:pStyle w:val="TableContents"/>
                                    <w:spacing w:before="0" w:after="283"/>
                                    <w:rPr>
                                      <w:sz w:val="4"/>
                                      <w:szCs w:val="4"/>
                                    </w:rPr>
                                  </w:pPr>
                                  <w:r>
                                    <w:rPr>
                                      <w:sz w:val="4"/>
                                      <w:szCs w:val="4"/>
                                    </w:rPr>
                                  </w:r>
                                </w:p>
                              </w:tc>
                              <w:tc>
                                <w:tcPr>
                                  <w:tcW w:w="9845" w:type="dxa"/>
                                  <w:tcBorders>
                                    <w:left w:val="single" w:sz="32" w:space="0" w:color="8EAD3C"/>
                                    <w:bottom w:val="single" w:sz="32" w:space="0" w:color="8EAD3C"/>
                                  </w:tcBorders>
                                  <w:shd w:fill="auto" w:val="clear"/>
                                  <w:tcMar>
                                    <w:left w:w="28" w:type="dxa"/>
                                    <w:bottom w:w="28"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right w:w="28"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26000</wp14:pctWidth>
                </wp14:sizeRelH>
              </wp:anchor>
            </w:drawing>
          </mc:Choice>
          <mc:Fallback>
            <w:pict>
              <v:rect style="position:absolute;rotation:0;width:132.65pt;height:321.9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CellMar>
                          <w:top w:w="0" w:type="dxa"/>
                          <w:left w:w="0" w:type="dxa"/>
                          <w:bottom w:w="0" w:type="dxa"/>
                          <w:right w:w="0" w:type="dxa"/>
                        </w:tblCellMar>
                      </w:tblPr>
                      <w:tblGrid>
                        <w:gridCol w:w="180"/>
                        <w:gridCol w:w="9845"/>
                        <w:gridCol w:w="180"/>
                      </w:tblGrid>
                      <w:tr>
                        <w:trPr/>
                        <w:tc>
                          <w:tcPr>
                            <w:tcW w:w="180" w:type="dxa"/>
                            <w:tcBorders/>
                            <w:shd w:fill="auto" w:val="clear"/>
                            <w:vAlign w:val="center"/>
                          </w:tcPr>
                          <w:p>
                            <w:pPr>
                              <w:pStyle w:val="TableContents"/>
                              <w:spacing w:before="0" w:after="283"/>
                              <w:jc w:val="left"/>
                              <w:rPr/>
                            </w:pPr>
                            <w:r>
                              <w:rPr/>
                              <w:t>   </w:t>
                            </w:r>
                          </w:p>
                        </w:tc>
                        <w:tc>
                          <w:tcPr>
                            <w:tcW w:w="9845" w:type="dxa"/>
                            <w:tcBorders>
                              <w:top w:val="single" w:sz="32" w:space="0" w:color="8EAD3C"/>
                              <w:left w:val="single" w:sz="32" w:space="0" w:color="8EAD3C"/>
                            </w:tcBorders>
                            <w:shd w:fill="auto" w:val="clear"/>
                            <w:tcMar>
                              <w:top w:w="28" w:type="dxa"/>
                              <w:left w:w="28" w:type="dxa"/>
                            </w:tcMar>
                            <w:vAlign w:val="center"/>
                          </w:tcPr>
                          <w:p>
                            <w:pPr>
                              <w:pStyle w:val="TableContents"/>
                              <w:spacing w:before="0" w:after="283"/>
                              <w:rPr>
                                <w:sz w:val="4"/>
                                <w:szCs w:val="4"/>
                              </w:rPr>
                            </w:pPr>
                            <w:r>
                              <w:rPr>
                                <w:sz w:val="4"/>
                                <w:szCs w:val="4"/>
                              </w:rPr>
                            </w:r>
                          </w:p>
                        </w:tc>
                        <w:tc>
                          <w:tcPr>
                            <w:tcW w:w="180" w:type="dxa"/>
                            <w:tcBorders>
                              <w:top w:val="single" w:sz="32" w:space="0" w:color="8EAD3C"/>
                              <w:right w:val="single" w:sz="32" w:space="0" w:color="8EAD3C"/>
                            </w:tcBorders>
                            <w:shd w:fill="auto" w:val="clear"/>
                            <w:tcMar>
                              <w:top w:w="28" w:type="dxa"/>
                              <w:right w:w="28" w:type="dxa"/>
                            </w:tcMar>
                            <w:vAlign w:val="center"/>
                          </w:tcPr>
                          <w:p>
                            <w:pPr>
                              <w:pStyle w:val="TableContents"/>
                              <w:spacing w:before="0" w:after="283"/>
                              <w:jc w:val="left"/>
                              <w:rPr/>
                            </w:pPr>
                            <w:r>
                              <w:rPr/>
                              <w:t>   </w:t>
                            </w:r>
                          </w:p>
                        </w:tc>
                      </w:tr>
                      <w:tr>
                        <w:trPr/>
                        <w:tc>
                          <w:tcPr>
                            <w:tcW w:w="180" w:type="dxa"/>
                            <w:tcBorders/>
                            <w:shd w:fill="1A2343" w:val="clear"/>
                            <w:vAlign w:val="center"/>
                          </w:tcPr>
                          <w:p>
                            <w:pPr>
                              <w:pStyle w:val="TableContents"/>
                              <w:spacing w:before="0" w:after="283"/>
                              <w:rPr>
                                <w:sz w:val="4"/>
                                <w:szCs w:val="4"/>
                              </w:rPr>
                            </w:pPr>
                            <w:r>
                              <w:rPr>
                                <w:sz w:val="4"/>
                                <w:szCs w:val="4"/>
                              </w:rPr>
                            </w:r>
                          </w:p>
                        </w:tc>
                        <w:tc>
                          <w:tcPr>
                            <w:tcW w:w="9845" w:type="dxa"/>
                            <w:tcBorders/>
                            <w:shd w:fill="1A2343" w:val="clear"/>
                            <w:vAlign w:val="center"/>
                          </w:tcPr>
                          <w:p>
                            <w:pPr>
                              <w:pStyle w:val="TableContents"/>
                              <w:spacing w:before="0" w:after="120"/>
                              <w:jc w:val="left"/>
                              <w:rPr>
                                <w:rFonts w:ascii="Arial" w:hAnsi="Arial"/>
                                <w:b/>
                                <w:color w:val="FFFFFF"/>
                                <w:sz w:val="24"/>
                              </w:rPr>
                            </w:pPr>
                            <w:r>
                              <w:rPr>
                                <w:rFonts w:ascii="Arial" w:hAnsi="Arial"/>
                                <w:b/>
                                <w:color w:val="FFFFFF"/>
                                <w:sz w:val="24"/>
                              </w:rPr>
                              <w:t>ANDREW MATHIAS</w:t>
                            </w:r>
                          </w:p>
                          <w:p>
                            <w:pPr>
                              <w:pStyle w:val="TableContents"/>
                              <w:spacing w:before="0" w:after="120"/>
                              <w:jc w:val="center"/>
                              <w:rPr/>
                            </w:pPr>
                            <w:r>
                              <w:rPr/>
                              <w:drawing>
                                <wp:inline distT="0" distB="0" distL="0" distR="0">
                                  <wp:extent cx="1085850" cy="1417320"/>
                                  <wp:effectExtent l="0" t="0" r="0" b="0"/>
                                  <wp:docPr id="459"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321" descr=""/>
                                          <pic:cNvPicPr>
                                            <a:picLocks noChangeAspect="1" noChangeArrowheads="1"/>
                                          </pic:cNvPicPr>
                                        </pic:nvPicPr>
                                        <pic:blipFill>
                                          <a:blip r:embed="rId322"/>
                                          <a:srcRect l="-896" t="-711" r="-896" b="-711"/>
                                          <a:stretch>
                                            <a:fillRect/>
                                          </a:stretch>
                                        </pic:blipFill>
                                        <pic:spPr bwMode="auto">
                                          <a:xfrm>
                                            <a:off x="0" y="0"/>
                                            <a:ext cx="1085850" cy="1417320"/>
                                          </a:xfrm>
                                          <a:prstGeom prst="rect">
                                            <a:avLst/>
                                          </a:prstGeom>
                                          <a:ln w="635">
                                            <a:solidFill>
                                              <a:srgbClr val="000000"/>
                                            </a:solidFill>
                                          </a:ln>
                                        </pic:spPr>
                                      </pic:pic>
                                    </a:graphicData>
                                  </a:graphic>
                                </wp:inline>
                              </w:drawing>
                            </w:r>
                          </w:p>
                          <w:p>
                            <w:pPr>
                              <w:pStyle w:val="TableContents"/>
                              <w:spacing w:before="0" w:after="120"/>
                              <w:jc w:val="left"/>
                              <w:rPr>
                                <w:rFonts w:ascii="Arial" w:hAnsi="Arial"/>
                                <w:b/>
                                <w:color w:val="FFFFFF"/>
                                <w:sz w:val="20"/>
                              </w:rPr>
                            </w:pPr>
                            <w:r>
                              <w:rPr>
                                <w:rFonts w:ascii="Arial" w:hAnsi="Arial"/>
                                <w:b/>
                                <w:color w:val="FFFFFF"/>
                                <w:sz w:val="20"/>
                              </w:rPr>
                              <w:t>President</w:t>
                            </w:r>
                          </w:p>
                          <w:p>
                            <w:pPr>
                              <w:pStyle w:val="TableContents"/>
                              <w:spacing w:before="0" w:after="120"/>
                              <w:jc w:val="left"/>
                              <w:rPr>
                                <w:rFonts w:ascii="Arial" w:hAnsi="Arial"/>
                                <w:color w:val="FFFFFF"/>
                                <w:sz w:val="20"/>
                              </w:rPr>
                            </w:pPr>
                            <w:r>
                              <w:rPr>
                                <w:rFonts w:ascii="Arial" w:hAnsi="Arial"/>
                                <w:color w:val="FFFFFF"/>
                                <w:sz w:val="20"/>
                              </w:rPr>
                              <w:t>Mr. Mathias’s 2022 compensation reflects the challenging year the company experienced and the impact that the struggling New York City office sector had on our financial and stock price performance. Although Mr. Mathias continued to provide exceptional leadership to advance our organizational goals and operational achievements, his realizable compensation declined given the significant equity pay elements.</w:t>
                            </w:r>
                          </w:p>
                          <w:p>
                            <w:pPr>
                              <w:pStyle w:val="TableContents"/>
                              <w:spacing w:before="0" w:after="0"/>
                              <w:jc w:val="left"/>
                              <w:rPr>
                                <w:rFonts w:ascii="Arial" w:hAnsi="Arial"/>
                                <w:b/>
                                <w:color w:val="FFFFFF"/>
                                <w:sz w:val="20"/>
                              </w:rPr>
                            </w:pPr>
                            <w:r>
                              <w:rPr>
                                <w:rFonts w:ascii="Arial" w:hAnsi="Arial"/>
                                <w:b/>
                                <w:color w:val="FFFFFF"/>
                                <w:sz w:val="20"/>
                              </w:rPr>
                              <w:t>The Projected Realizable Compensation for Mr. Mathias in 2022 is approximately 37% lower than the Total Direct Compensation approved by the Committee for 2022 and approximately 41% lower than the amount reported in the Summary Compensation Table.</w:t>
                            </w:r>
                          </w:p>
                        </w:tc>
                        <w:tc>
                          <w:tcPr>
                            <w:tcW w:w="180" w:type="dxa"/>
                            <w:tcBorders>
                              <w:right w:val="single" w:sz="32" w:space="0" w:color="8EAD3C"/>
                            </w:tcBorders>
                            <w:shd w:fill="auto" w:val="clear"/>
                            <w:tcMar>
                              <w:right w:w="28" w:type="dxa"/>
                            </w:tcMar>
                            <w:vAlign w:val="center"/>
                          </w:tcPr>
                          <w:p>
                            <w:pPr>
                              <w:pStyle w:val="TableContents"/>
                              <w:spacing w:before="0" w:after="283"/>
                              <w:rPr>
                                <w:sz w:val="4"/>
                                <w:szCs w:val="4"/>
                              </w:rPr>
                            </w:pPr>
                            <w:r>
                              <w:rPr>
                                <w:sz w:val="4"/>
                                <w:szCs w:val="4"/>
                              </w:rPr>
                            </w:r>
                          </w:p>
                        </w:tc>
                      </w:tr>
                      <w:tr>
                        <w:trPr/>
                        <w:tc>
                          <w:tcPr>
                            <w:tcW w:w="180" w:type="dxa"/>
                            <w:tcBorders/>
                            <w:shd w:fill="auto" w:val="clear"/>
                            <w:vAlign w:val="center"/>
                          </w:tcPr>
                          <w:p>
                            <w:pPr>
                              <w:pStyle w:val="TableContents"/>
                              <w:spacing w:before="0" w:after="283"/>
                              <w:rPr>
                                <w:sz w:val="4"/>
                                <w:szCs w:val="4"/>
                              </w:rPr>
                            </w:pPr>
                            <w:r>
                              <w:rPr>
                                <w:sz w:val="4"/>
                                <w:szCs w:val="4"/>
                              </w:rPr>
                            </w:r>
                          </w:p>
                        </w:tc>
                        <w:tc>
                          <w:tcPr>
                            <w:tcW w:w="9845" w:type="dxa"/>
                            <w:tcBorders>
                              <w:left w:val="single" w:sz="32" w:space="0" w:color="8EAD3C"/>
                              <w:bottom w:val="single" w:sz="32" w:space="0" w:color="8EAD3C"/>
                            </w:tcBorders>
                            <w:shd w:fill="auto" w:val="clear"/>
                            <w:tcMar>
                              <w:left w:w="28" w:type="dxa"/>
                              <w:bottom w:w="28"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right w:w="28"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5">
                <wp:simplePos x="0" y="0"/>
                <wp:positionH relativeFrom="column">
                  <wp:align>right</wp:align>
                </wp:positionH>
                <wp:positionV relativeFrom="line">
                  <wp:posOffset>635</wp:posOffset>
                </wp:positionV>
                <wp:extent cx="4600575" cy="6006465"/>
                <wp:effectExtent l="0" t="0" r="0" b="0"/>
                <wp:wrapSquare wrapText="largest"/>
                <wp:docPr id="460" name="Frame42"/>
                <a:graphic xmlns:a="http://schemas.openxmlformats.org/drawingml/2006/main">
                  <a:graphicData uri="http://schemas.microsoft.com/office/word/2010/wordprocessingShape">
                    <wps:wsp>
                      <wps:cNvSpPr txBox="1"/>
                      <wps:spPr>
                        <a:xfrm>
                          <a:off x="0" y="0"/>
                          <a:ext cx="4600575" cy="6006465"/>
                        </a:xfrm>
                        <a:prstGeom prst="rect"/>
                      </wps:spPr>
                      <wps:txbx>
                        <w:txbxContent>
                          <w:p>
                            <w:pPr>
                              <w:pStyle w:val="TextBody"/>
                              <w:jc w:val="left"/>
                              <w:rPr/>
                            </w:pPr>
                            <w:r>
                              <w:rPr>
                                <w:rFonts w:ascii="Arial" w:hAnsi="Arial"/>
                                <w:b/>
                                <w:color w:val="8EAD3C"/>
                                <w:sz w:val="22"/>
                              </w:rPr>
                              <w:t>2022 Performance and Compensation –</w:t>
                            </w:r>
                            <w:r>
                              <w:rPr>
                                <w:rFonts w:ascii="Arial" w:hAnsi="Arial"/>
                                <w:color w:val="8EAD3C"/>
                                <w:sz w:val="22"/>
                              </w:rPr>
                              <w:br/>
                            </w:r>
                            <w:r>
                              <w:rPr>
                                <w:rFonts w:ascii="Arial" w:hAnsi="Arial"/>
                                <w:b/>
                                <w:color w:val="8EAD3C"/>
                                <w:sz w:val="22"/>
                              </w:rPr>
                              <w:t>Projected Realizable Compensation vs. Total Direct Compensation</w:t>
                            </w:r>
                          </w:p>
                          <w:tbl>
                            <w:tblPr>
                              <w:tblW w:w="10205" w:type="dxa"/>
                              <w:jc w:val="left"/>
                              <w:tblInd w:w="0" w:type="dxa"/>
                              <w:tblCellMar>
                                <w:top w:w="0" w:type="dxa"/>
                                <w:left w:w="0" w:type="dxa"/>
                                <w:bottom w:w="40" w:type="dxa"/>
                                <w:right w:w="0" w:type="dxa"/>
                              </w:tblCellMar>
                            </w:tblPr>
                            <w:tblGrid>
                              <w:gridCol w:w="980"/>
                              <w:gridCol w:w="1085"/>
                              <w:gridCol w:w="1949"/>
                              <w:gridCol w:w="1414"/>
                              <w:gridCol w:w="1826"/>
                              <w:gridCol w:w="2951"/>
                            </w:tblGrid>
                            <w:tr>
                              <w:trPr/>
                              <w:tc>
                                <w:tcPr>
                                  <w:tcW w:w="980" w:type="dxa"/>
                                  <w:tcBorders>
                                    <w:bottom w:val="single" w:sz="12" w:space="0" w:color="1A2343"/>
                                  </w:tcBorders>
                                  <w:shd w:fill="F3F6EA" w:val="clear"/>
                                  <w:vAlign w:val="center"/>
                                </w:tcPr>
                                <w:p>
                                  <w:pPr>
                                    <w:pStyle w:val="TableContents"/>
                                    <w:spacing w:before="0" w:after="283"/>
                                    <w:jc w:val="left"/>
                                    <w:rPr>
                                      <w:rFonts w:ascii="Arial" w:hAnsi="Arial"/>
                                      <w:color w:val="1A2343"/>
                                      <w:sz w:val="15"/>
                                    </w:rPr>
                                  </w:pPr>
                                  <w:r>
                                    <w:rPr>
                                      <w:rFonts w:ascii="Arial" w:hAnsi="Arial"/>
                                      <w:color w:val="1A2343"/>
                                      <w:sz w:val="15"/>
                                    </w:rPr>
                                    <w:t>PRC</w:t>
                                  </w:r>
                                </w:p>
                              </w:tc>
                              <w:tc>
                                <w:tcPr>
                                  <w:tcW w:w="1085"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TDC</w:t>
                                  </w:r>
                                </w:p>
                              </w:tc>
                              <w:tc>
                                <w:tcPr>
                                  <w:tcW w:w="8140" w:type="dxa"/>
                                  <w:gridSpan w:val="4"/>
                                  <w:tcBorders>
                                    <w:bottom w:val="single" w:sz="12" w:space="0" w:color="1A2343"/>
                                  </w:tcBorders>
                                  <w:shd w:fill="auto" w:val="clear"/>
                                  <w:vAlign w:val="center"/>
                                </w:tcPr>
                                <w:p>
                                  <w:pPr>
                                    <w:pStyle w:val="TableContents"/>
                                    <w:spacing w:before="0" w:after="283"/>
                                    <w:jc w:val="left"/>
                                    <w:rPr/>
                                  </w:pPr>
                                  <w:r>
                                    <w:rPr>
                                      <w:rFonts w:ascii="Arial" w:hAnsi="Arial"/>
                                      <w:color w:val="1A2343"/>
                                      <w:sz w:val="15"/>
                                    </w:rPr>
                                    <w:t>Element of Compensation</w:t>
                                  </w:r>
                                  <w:r>
                                    <w:rPr/>
                                    <w:t xml:space="preserve"> </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13%</w:t>
                                    <w:br/>
                                  </w:r>
                                  <w:r>
                                    <w:rPr>
                                      <w:rFonts w:ascii="Arial" w:hAnsi="Arial"/>
                                      <w:b/>
                                      <w:sz w:val="20"/>
                                    </w:rPr>
                                    <w:t>$950,000</w:t>
                                  </w:r>
                                </w:p>
                              </w:tc>
                              <w:tc>
                                <w:tcPr>
                                  <w:tcW w:w="1085"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8%</w:t>
                                    <w:br/>
                                  </w:r>
                                  <w:r>
                                    <w:rPr>
                                      <w:rFonts w:ascii="Arial" w:hAnsi="Arial"/>
                                      <w:b/>
                                      <w:sz w:val="20"/>
                                    </w:rPr>
                                    <w:t>$950,000</w:t>
                                  </w:r>
                                </w:p>
                              </w:tc>
                              <w:tc>
                                <w:tcPr>
                                  <w:tcW w:w="8140" w:type="dxa"/>
                                  <w:gridSpan w:val="4"/>
                                  <w:tcBorders>
                                    <w:bottom w:val="single" w:sz="8" w:space="0" w:color="5B5975"/>
                                  </w:tcBorders>
                                  <w:shd w:fill="auto" w:val="clear"/>
                                  <w:vAlign w:val="center"/>
                                </w:tcPr>
                                <w:p>
                                  <w:pPr>
                                    <w:pStyle w:val="TableContents"/>
                                    <w:spacing w:before="0" w:after="0"/>
                                    <w:jc w:val="left"/>
                                    <w:rPr/>
                                  </w:pPr>
                                  <w:r>
                                    <w:rPr>
                                      <w:rFonts w:ascii="Arial" w:hAnsi="Arial"/>
                                      <w:b/>
                                      <w:sz w:val="20"/>
                                    </w:rPr>
                                    <w:t>Annual Base Salary</w:t>
                                  </w:r>
                                  <w:r>
                                    <w:rPr>
                                      <w:rFonts w:ascii="Arial" w:hAnsi="Arial"/>
                                      <w:sz w:val="20"/>
                                    </w:rPr>
                                    <w:br/>
                                  </w:r>
                                  <w:r>
                                    <w:rPr>
                                      <w:rFonts w:ascii="Arial" w:hAnsi="Arial"/>
                                      <w:sz w:val="15"/>
                                    </w:rPr>
                                    <w:t>Mr. Mathias’s base salary was equal to the minimum set forth in his employment agreement. There has been no change to his base salary since 2019.</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17%</w:t>
                                    <w:br/>
                                  </w:r>
                                  <w:r>
                                    <w:rPr>
                                      <w:rFonts w:ascii="Arial" w:hAnsi="Arial"/>
                                      <w:b/>
                                      <w:sz w:val="20"/>
                                    </w:rPr>
                                    <w:t>$1,274,481</w:t>
                                  </w:r>
                                </w:p>
                              </w:tc>
                              <w:tc>
                                <w:tcPr>
                                  <w:tcW w:w="1085"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11%</w:t>
                                    <w:br/>
                                  </w:r>
                                  <w:r>
                                    <w:rPr>
                                      <w:rFonts w:ascii="Arial" w:hAnsi="Arial"/>
                                      <w:b/>
                                      <w:sz w:val="20"/>
                                    </w:rPr>
                                    <w:t>$1,361,469</w:t>
                                  </w:r>
                                </w:p>
                              </w:tc>
                              <w:tc>
                                <w:tcPr>
                                  <w:tcW w:w="8140" w:type="dxa"/>
                                  <w:gridSpan w:val="4"/>
                                  <w:tcBorders>
                                    <w:bottom w:val="single" w:sz="8" w:space="0" w:color="5B5975"/>
                                  </w:tcBorders>
                                  <w:shd w:fill="auto" w:val="clear"/>
                                  <w:vAlign w:val="center"/>
                                </w:tcPr>
                                <w:p>
                                  <w:pPr>
                                    <w:pStyle w:val="TableContents"/>
                                    <w:spacing w:before="0" w:after="0"/>
                                    <w:jc w:val="left"/>
                                    <w:rPr/>
                                  </w:pPr>
                                  <w:r>
                                    <w:rPr>
                                      <w:rFonts w:ascii="Arial" w:hAnsi="Arial"/>
                                      <w:b/>
                                      <w:sz w:val="15"/>
                                    </w:rPr>
                                    <w:t>100% Formulaic Annual Cash Incentive Bonus</w:t>
                                  </w:r>
                                  <w:r>
                                    <w:rPr>
                                      <w:rFonts w:ascii="Arial" w:hAnsi="Arial"/>
                                      <w:sz w:val="15"/>
                                    </w:rPr>
                                    <w:br/>
                                    <w:t xml:space="preserve">Determined formulaically based on performance relative to preset objective bonus criteria established by the Committee in January 2021. These amounts reflect the earning of </w:t>
                                  </w:r>
                                  <w:r>
                                    <w:rPr>
                                      <w:rFonts w:ascii="Arial" w:hAnsi="Arial"/>
                                      <w:b/>
                                      <w:sz w:val="15"/>
                                    </w:rPr>
                                    <w:t>82%</w:t>
                                  </w:r>
                                  <w:r>
                                    <w:rPr>
                                      <w:rFonts w:ascii="Arial" w:hAnsi="Arial"/>
                                      <w:sz w:val="15"/>
                                    </w:rPr>
                                    <w:t xml:space="preserve"> of target and include true-up adjustments made in January 2023 on account of actual 2021 and 2022 performance.</w:t>
                                  </w:r>
                                </w:p>
                                <w:p>
                                  <w:pPr>
                                    <w:pStyle w:val="TableContents"/>
                                    <w:spacing w:before="0" w:after="0"/>
                                    <w:jc w:val="left"/>
                                    <w:rPr/>
                                  </w:pPr>
                                  <w:r>
                                    <w:rPr>
                                      <w:rFonts w:ascii="Arial" w:hAnsi="Arial"/>
                                      <w:sz w:val="15"/>
                                    </w:rPr>
                                    <w:t xml:space="preserve">Mr. Mathias elected to receive </w:t>
                                  </w:r>
                                  <w:r>
                                    <w:rPr>
                                      <w:rFonts w:ascii="Arial" w:hAnsi="Arial"/>
                                      <w:b/>
                                      <w:sz w:val="15"/>
                                    </w:rPr>
                                    <w:t>100%</w:t>
                                  </w:r>
                                  <w:r>
                                    <w:rPr>
                                      <w:rFonts w:ascii="Arial" w:hAnsi="Arial"/>
                                      <w:sz w:val="15"/>
                                    </w:rPr>
                                    <w:t xml:space="preserve"> of the bonus in the form of equity. The corresponding </w:t>
                                  </w:r>
                                  <w:r>
                                    <w:rPr>
                                      <w:rFonts w:ascii="Arial" w:hAnsi="Arial"/>
                                      <w:b/>
                                      <w:sz w:val="15"/>
                                    </w:rPr>
                                    <w:t>37,796</w:t>
                                  </w:r>
                                  <w:r>
                                    <w:rPr>
                                      <w:rFonts w:ascii="Arial" w:hAnsi="Arial"/>
                                      <w:sz w:val="15"/>
                                    </w:rPr>
                                    <w:t xml:space="preserve"> LTIP units in December 2022 and January 2023 were fully vested upon grant, but remain subject to a three-year no-sell restriction. The difference between the PRC and TDC amounts relates to the valuation of these LTIP units as of December 31, 2022, compared to the date on which the bonus was determined.</w:t>
                                  </w:r>
                                </w:p>
                              </w:tc>
                            </w:tr>
                            <w:tr>
                              <w:trPr/>
                              <w:tc>
                                <w:tcPr>
                                  <w:tcW w:w="980" w:type="dxa"/>
                                  <w:tcBorders/>
                                  <w:shd w:fill="F3F6EA" w:val="clear"/>
                                  <w:tcMar>
                                    <w:bottom w:w="0" w:type="dxa"/>
                                  </w:tcMar>
                                  <w:vAlign w:val="center"/>
                                </w:tcPr>
                                <w:p>
                                  <w:pPr>
                                    <w:pStyle w:val="TableContents"/>
                                    <w:spacing w:before="0" w:after="0"/>
                                    <w:jc w:val="left"/>
                                    <w:rPr/>
                                  </w:pPr>
                                  <w:r>
                                    <w:rPr>
                                      <w:rFonts w:ascii="Arial" w:hAnsi="Arial"/>
                                      <w:color w:val="1A2343"/>
                                      <w:sz w:val="36"/>
                                    </w:rPr>
                                    <w:t>23%</w:t>
                                    <w:br/>
                                  </w:r>
                                  <w:r>
                                    <w:rPr>
                                      <w:rFonts w:ascii="Arial" w:hAnsi="Arial"/>
                                      <w:b/>
                                      <w:sz w:val="20"/>
                                    </w:rPr>
                                    <w:t>$1,694,700</w:t>
                                  </w:r>
                                </w:p>
                              </w:tc>
                              <w:tc>
                                <w:tcPr>
                                  <w:tcW w:w="1085" w:type="dxa"/>
                                  <w:tcBorders/>
                                  <w:shd w:fill="auto" w:val="clear"/>
                                  <w:tcMar>
                                    <w:bottom w:w="0" w:type="dxa"/>
                                  </w:tcMar>
                                  <w:vAlign w:val="center"/>
                                </w:tcPr>
                                <w:p>
                                  <w:pPr>
                                    <w:pStyle w:val="TableContents"/>
                                    <w:spacing w:before="0" w:after="0"/>
                                    <w:jc w:val="left"/>
                                    <w:rPr/>
                                  </w:pPr>
                                  <w:r>
                                    <w:rPr>
                                      <w:rFonts w:ascii="Arial" w:hAnsi="Arial"/>
                                      <w:color w:val="1A2343"/>
                                      <w:sz w:val="36"/>
                                    </w:rPr>
                                    <w:t>51%</w:t>
                                    <w:br/>
                                  </w:r>
                                  <w:r>
                                    <w:rPr>
                                      <w:rFonts w:ascii="Arial" w:hAnsi="Arial"/>
                                      <w:b/>
                                      <w:sz w:val="20"/>
                                    </w:rPr>
                                    <w:t>$6,000,000</w:t>
                                  </w:r>
                                </w:p>
                              </w:tc>
                              <w:tc>
                                <w:tcPr>
                                  <w:tcW w:w="8140" w:type="dxa"/>
                                  <w:gridSpan w:val="4"/>
                                  <w:tcBorders/>
                                  <w:shd w:fill="auto" w:val="clear"/>
                                  <w:tcMar>
                                    <w:bottom w:w="0" w:type="dxa"/>
                                  </w:tcMar>
                                  <w:vAlign w:val="center"/>
                                </w:tcPr>
                                <w:p>
                                  <w:pPr>
                                    <w:pStyle w:val="TableContents"/>
                                    <w:spacing w:before="0" w:after="120"/>
                                    <w:jc w:val="left"/>
                                    <w:rPr/>
                                  </w:pPr>
                                  <w:r>
                                    <w:rPr>
                                      <w:rFonts w:ascii="Arial" w:hAnsi="Arial"/>
                                      <w:b/>
                                      <w:sz w:val="20"/>
                                    </w:rPr>
                                    <w:t>Performance-Based Equity Awards</w:t>
                                  </w:r>
                                  <w:r>
                                    <w:rPr>
                                      <w:rFonts w:ascii="Arial" w:hAnsi="Arial"/>
                                      <w:sz w:val="20"/>
                                    </w:rPr>
                                    <w:br/>
                                  </w:r>
                                  <w:r>
                                    <w:rPr>
                                      <w:rFonts w:ascii="Arial" w:hAnsi="Arial"/>
                                      <w:sz w:val="15"/>
                                    </w:rPr>
                                    <w:t xml:space="preserve">The PRC amount reflects the value of the award based on projected performance as of December 31, 2022 and our stock price on such date. The TDC amount reflects the target notional value of </w:t>
                                  </w:r>
                                  <w:r>
                                    <w:rPr>
                                      <w:rFonts w:ascii="Arial" w:hAnsi="Arial"/>
                                      <w:b/>
                                      <w:sz w:val="15"/>
                                    </w:rPr>
                                    <w:t>$6,000,000</w:t>
                                  </w:r>
                                  <w:r>
                                    <w:rPr>
                                      <w:rFonts w:ascii="Arial" w:hAnsi="Arial"/>
                                      <w:sz w:val="15"/>
                                    </w:rPr>
                                    <w:t xml:space="preserve">, consistent with the minimum set forth in Mr. Mathias’s employment agreement. </w:t>
                                  </w:r>
                                  <w:r>
                                    <w:rPr>
                                      <w:rFonts w:ascii="Arial" w:hAnsi="Arial"/>
                                      <w:b/>
                                      <w:sz w:val="15"/>
                                    </w:rPr>
                                    <w:t>The difference between the PRC and TDC amounts is the value of these LTIP units as of December 31, 2022 compared to the grant amount</w:t>
                                  </w:r>
                                  <w:r>
                                    <w:rPr>
                                      <w:rFonts w:ascii="Arial" w:hAnsi="Arial"/>
                                      <w:sz w:val="15"/>
                                    </w:rPr>
                                    <w:t>.</w:t>
                                  </w:r>
                                </w:p>
                                <w:p>
                                  <w:pPr>
                                    <w:pStyle w:val="TableContents"/>
                                    <w:spacing w:before="0" w:after="0"/>
                                    <w:jc w:val="left"/>
                                    <w:rPr>
                                      <w:rFonts w:ascii="Arial" w:hAnsi="Arial"/>
                                      <w:sz w:val="15"/>
                                    </w:rPr>
                                  </w:pPr>
                                  <w:r>
                                    <w:rPr>
                                      <w:rFonts w:ascii="Arial" w:hAnsi="Arial"/>
                                      <w:sz w:val="15"/>
                                    </w:rPr>
                                    <w:t>The award relates to the following number of LTIP units:</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1085" w:type="dxa"/>
                                  <w:tcBorders/>
                                  <w:shd w:fill="auto" w:val="clear"/>
                                  <w:tcMar>
                                    <w:bottom w:w="0" w:type="dxa"/>
                                  </w:tcMar>
                                  <w:vAlign w:val="center"/>
                                </w:tcPr>
                                <w:p>
                                  <w:pPr>
                                    <w:pStyle w:val="TableContents"/>
                                    <w:spacing w:before="0" w:after="283"/>
                                    <w:rPr>
                                      <w:sz w:val="4"/>
                                      <w:szCs w:val="4"/>
                                    </w:rPr>
                                  </w:pPr>
                                  <w:r>
                                    <w:rPr>
                                      <w:sz w:val="4"/>
                                      <w:szCs w:val="4"/>
                                    </w:rPr>
                                  </w:r>
                                </w:p>
                              </w:tc>
                              <w:tc>
                                <w:tcPr>
                                  <w:tcW w:w="8140" w:type="dxa"/>
                                  <w:gridSpan w:val="4"/>
                                  <w:tcBorders>
                                    <w:top w:val="single" w:sz="16" w:space="0" w:color="1A2343"/>
                                    <w:bottom w:val="single" w:sz="16" w:space="0" w:color="1A2343"/>
                                  </w:tcBorders>
                                  <w:shd w:fill="auto" w:val="clear"/>
                                  <w:tcMar>
                                    <w:top w:w="40" w:type="dxa"/>
                                  </w:tcMar>
                                  <w:vAlign w:val="center"/>
                                </w:tcPr>
                                <w:p>
                                  <w:pPr>
                                    <w:pStyle w:val="TableContents"/>
                                    <w:spacing w:before="0" w:after="283"/>
                                    <w:jc w:val="center"/>
                                    <w:rPr>
                                      <w:rFonts w:ascii="Arial" w:hAnsi="Arial"/>
                                      <w:color w:val="1A2343"/>
                                      <w:sz w:val="15"/>
                                    </w:rPr>
                                  </w:pPr>
                                  <w:r>
                                    <w:rPr>
                                      <w:rFonts w:ascii="Arial" w:hAnsi="Arial"/>
                                      <w:color w:val="1A2343"/>
                                      <w:sz w:val="15"/>
                                    </w:rPr>
                                    <w:t>2022 Performance-Based Award –</w:t>
                                    <w:br/>
                                    <w:t>Number of LTIP Units Granted</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1085" w:type="dxa"/>
                                  <w:tcBorders/>
                                  <w:shd w:fill="auto" w:val="clear"/>
                                  <w:tcMar>
                                    <w:bottom w:w="0" w:type="dxa"/>
                                  </w:tcMar>
                                  <w:vAlign w:val="center"/>
                                </w:tcPr>
                                <w:p>
                                  <w:pPr>
                                    <w:pStyle w:val="TableContents"/>
                                    <w:spacing w:before="0" w:after="283"/>
                                    <w:rPr>
                                      <w:sz w:val="4"/>
                                      <w:szCs w:val="4"/>
                                    </w:rPr>
                                  </w:pPr>
                                  <w:r>
                                    <w:rPr>
                                      <w:sz w:val="4"/>
                                      <w:szCs w:val="4"/>
                                    </w:rPr>
                                  </w:r>
                                </w:p>
                              </w:tc>
                              <w:tc>
                                <w:tcPr>
                                  <w:tcW w:w="1949"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Threshold</w:t>
                                  </w:r>
                                </w:p>
                              </w:tc>
                              <w:tc>
                                <w:tcPr>
                                  <w:tcW w:w="1414"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Target</w:t>
                                  </w:r>
                                </w:p>
                              </w:tc>
                              <w:tc>
                                <w:tcPr>
                                  <w:tcW w:w="1826"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Maximum</w:t>
                                  </w:r>
                                </w:p>
                              </w:tc>
                              <w:tc>
                                <w:tcPr>
                                  <w:tcW w:w="2951"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Projected Earned</w:t>
                                    <w:br/>
                                    <w:t>as of 12/31/2022</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1085" w:type="dxa"/>
                                  <w:tcBorders/>
                                  <w:shd w:fill="auto" w:val="clear"/>
                                  <w:tcMar>
                                    <w:bottom w:w="0" w:type="dxa"/>
                                  </w:tcMar>
                                  <w:vAlign w:val="center"/>
                                </w:tcPr>
                                <w:p>
                                  <w:pPr>
                                    <w:pStyle w:val="TableContents"/>
                                    <w:spacing w:before="0" w:after="283"/>
                                    <w:rPr>
                                      <w:sz w:val="4"/>
                                      <w:szCs w:val="4"/>
                                    </w:rPr>
                                  </w:pPr>
                                  <w:r>
                                    <w:rPr>
                                      <w:sz w:val="4"/>
                                      <w:szCs w:val="4"/>
                                    </w:rPr>
                                  </w:r>
                                </w:p>
                              </w:tc>
                              <w:tc>
                                <w:tcPr>
                                  <w:tcW w:w="1949"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38,114</w:t>
                                  </w:r>
                                </w:p>
                              </w:tc>
                              <w:tc>
                                <w:tcPr>
                                  <w:tcW w:w="1414"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81,307</w:t>
                                  </w:r>
                                </w:p>
                              </w:tc>
                              <w:tc>
                                <w:tcPr>
                                  <w:tcW w:w="1826"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182,976</w:t>
                                  </w:r>
                                </w:p>
                              </w:tc>
                              <w:tc>
                                <w:tcPr>
                                  <w:tcW w:w="2951"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50,258</w:t>
                                  </w:r>
                                </w:p>
                              </w:tc>
                            </w:tr>
                            <w:tr>
                              <w:trPr/>
                              <w:tc>
                                <w:tcPr>
                                  <w:tcW w:w="980" w:type="dxa"/>
                                  <w:tcBorders>
                                    <w:bottom w:val="single" w:sz="8" w:space="0" w:color="5B5975"/>
                                  </w:tcBorders>
                                  <w:shd w:fill="F3F6EA" w:val="clear"/>
                                  <w:vAlign w:val="center"/>
                                </w:tcPr>
                                <w:p>
                                  <w:pPr>
                                    <w:pStyle w:val="TableContents"/>
                                    <w:spacing w:before="0" w:after="283"/>
                                    <w:rPr>
                                      <w:sz w:val="4"/>
                                      <w:szCs w:val="4"/>
                                    </w:rPr>
                                  </w:pPr>
                                  <w:r>
                                    <w:rPr>
                                      <w:sz w:val="4"/>
                                      <w:szCs w:val="4"/>
                                    </w:rPr>
                                  </w:r>
                                </w:p>
                              </w:tc>
                              <w:tc>
                                <w:tcPr>
                                  <w:tcW w:w="108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8140" w:type="dxa"/>
                                  <w:gridSpan w:val="4"/>
                                  <w:tcBorders>
                                    <w:bottom w:val="single" w:sz="8" w:space="0" w:color="5B5975"/>
                                  </w:tcBorders>
                                  <w:shd w:fill="auto" w:val="clear"/>
                                  <w:vAlign w:val="center"/>
                                </w:tcPr>
                                <w:p>
                                  <w:pPr>
                                    <w:pStyle w:val="TableContents"/>
                                    <w:spacing w:before="0" w:after="0"/>
                                    <w:jc w:val="left"/>
                                    <w:rPr>
                                      <w:rFonts w:ascii="Arial" w:hAnsi="Arial"/>
                                      <w:sz w:val="15"/>
                                    </w:rPr>
                                  </w:pPr>
                                  <w:r>
                                    <w:rPr>
                                      <w:rFonts w:ascii="Arial" w:hAnsi="Arial"/>
                                      <w:sz w:val="15"/>
                                    </w:rPr>
                                    <w:t>The actual number of LTIP units earned will be determined based on Company performance measured after the end of the full performance period ending December 31, 2024, based on our absolute and relative TSR, with earned LTIP units vesting in full as of December 31, 2024.</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47%</w:t>
                                    <w:br/>
                                  </w:r>
                                  <w:r>
                                    <w:rPr>
                                      <w:rFonts w:ascii="Arial" w:hAnsi="Arial"/>
                                      <w:b/>
                                      <w:sz w:val="20"/>
                                    </w:rPr>
                                    <w:t>$3,518,480</w:t>
                                  </w:r>
                                </w:p>
                              </w:tc>
                              <w:tc>
                                <w:tcPr>
                                  <w:tcW w:w="1085"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30%</w:t>
                                    <w:br/>
                                  </w:r>
                                  <w:r>
                                    <w:rPr>
                                      <w:rFonts w:ascii="Arial" w:hAnsi="Arial"/>
                                      <w:b/>
                                      <w:sz w:val="20"/>
                                    </w:rPr>
                                    <w:t>$3,500,000</w:t>
                                  </w:r>
                                </w:p>
                              </w:tc>
                              <w:tc>
                                <w:tcPr>
                                  <w:tcW w:w="8140" w:type="dxa"/>
                                  <w:gridSpan w:val="4"/>
                                  <w:tcBorders>
                                    <w:bottom w:val="single" w:sz="8" w:space="0" w:color="5B5975"/>
                                  </w:tcBorders>
                                  <w:shd w:fill="auto" w:val="clear"/>
                                  <w:vAlign w:val="center"/>
                                </w:tcPr>
                                <w:p>
                                  <w:pPr>
                                    <w:pStyle w:val="TableContents"/>
                                    <w:spacing w:before="0" w:after="120"/>
                                    <w:jc w:val="left"/>
                                    <w:rPr/>
                                  </w:pPr>
                                  <w:r>
                                    <w:rPr>
                                      <w:rFonts w:ascii="Arial" w:hAnsi="Arial"/>
                                      <w:b/>
                                      <w:sz w:val="20"/>
                                    </w:rPr>
                                    <w:t>Time-Based Equity Awards</w:t>
                                  </w:r>
                                  <w:r>
                                    <w:rPr>
                                      <w:rFonts w:ascii="Arial" w:hAnsi="Arial"/>
                                      <w:sz w:val="20"/>
                                    </w:rPr>
                                    <w:br/>
                                  </w:r>
                                  <w:r>
                                    <w:rPr>
                                      <w:rFonts w:ascii="Arial" w:hAnsi="Arial"/>
                                      <w:sz w:val="15"/>
                                    </w:rPr>
                                    <w:t xml:space="preserve">The Committee granted time-based awards in January 2023 based on the company’s 2022 performance. The awards had a target value of </w:t>
                                  </w:r>
                                  <w:r>
                                    <w:rPr>
                                      <w:rFonts w:ascii="Arial" w:hAnsi="Arial"/>
                                      <w:b/>
                                      <w:sz w:val="15"/>
                                    </w:rPr>
                                    <w:t>$3,500,000</w:t>
                                  </w:r>
                                  <w:r>
                                    <w:rPr>
                                      <w:rFonts w:ascii="Arial" w:hAnsi="Arial"/>
                                      <w:sz w:val="15"/>
                                    </w:rPr>
                                    <w:t>, equal to the minimum in Mr. Mathias’s employment agreement.</w:t>
                                  </w:r>
                                </w:p>
                                <w:p>
                                  <w:pPr>
                                    <w:pStyle w:val="TableContents"/>
                                    <w:spacing w:before="0" w:after="0"/>
                                    <w:jc w:val="left"/>
                                    <w:rPr/>
                                  </w:pPr>
                                  <w:r>
                                    <w:rPr>
                                      <w:rFonts w:ascii="Arial" w:hAnsi="Arial"/>
                                      <w:sz w:val="15"/>
                                    </w:rPr>
                                    <w:t xml:space="preserve">The corresponding </w:t>
                                  </w:r>
                                  <w:r>
                                    <w:rPr>
                                      <w:rFonts w:ascii="Arial" w:hAnsi="Arial"/>
                                      <w:b/>
                                      <w:sz w:val="15"/>
                                    </w:rPr>
                                    <w:t>104,344</w:t>
                                  </w:r>
                                  <w:r>
                                    <w:rPr>
                                      <w:rFonts w:ascii="Arial" w:hAnsi="Arial"/>
                                      <w:sz w:val="15"/>
                                    </w:rPr>
                                    <w:t xml:space="preserve"> LTIP units will vest in three equal installments on January 1, 2024, 2025 and 2026. The difference between the PRC and TDC amounts relates to the valuation of these LTIP units as of December 31, 2022, compared to the ten-day trailing average used to price the awards pursuant to Mr. Mathias’s employment agreement.</w:t>
                                  </w:r>
                                </w:p>
                              </w:tc>
                            </w:tr>
                            <w:tr>
                              <w:trPr/>
                              <w:tc>
                                <w:tcPr>
                                  <w:tcW w:w="980" w:type="dxa"/>
                                  <w:tcBorders>
                                    <w:bottom w:val="single" w:sz="12" w:space="0" w:color="1A2343"/>
                                  </w:tcBorders>
                                  <w:shd w:fill="F3F6EA" w:val="clear"/>
                                  <w:vAlign w:val="center"/>
                                </w:tcPr>
                                <w:p>
                                  <w:pPr>
                                    <w:pStyle w:val="TableContents"/>
                                    <w:spacing w:before="0" w:after="0"/>
                                    <w:jc w:val="left"/>
                                    <w:rPr/>
                                  </w:pPr>
                                  <w:r>
                                    <w:rPr>
                                      <w:rFonts w:ascii="Arial" w:hAnsi="Arial"/>
                                      <w:color w:val="1A2343"/>
                                      <w:sz w:val="36"/>
                                    </w:rPr>
                                    <w:t>100%</w:t>
                                    <w:br/>
                                  </w:r>
                                  <w:r>
                                    <w:rPr>
                                      <w:rFonts w:ascii="Arial" w:hAnsi="Arial"/>
                                      <w:b/>
                                      <w:sz w:val="20"/>
                                    </w:rPr>
                                    <w:t>$7,493,231</w:t>
                                  </w:r>
                                </w:p>
                              </w:tc>
                              <w:tc>
                                <w:tcPr>
                                  <w:tcW w:w="1085" w:type="dxa"/>
                                  <w:tcBorders>
                                    <w:bottom w:val="single" w:sz="12" w:space="0" w:color="1A2343"/>
                                  </w:tcBorders>
                                  <w:shd w:fill="auto" w:val="clear"/>
                                  <w:vAlign w:val="center"/>
                                </w:tcPr>
                                <w:p>
                                  <w:pPr>
                                    <w:pStyle w:val="TableContents"/>
                                    <w:spacing w:before="0" w:after="0"/>
                                    <w:jc w:val="left"/>
                                    <w:rPr/>
                                  </w:pPr>
                                  <w:r>
                                    <w:rPr>
                                      <w:rFonts w:ascii="Arial" w:hAnsi="Arial"/>
                                      <w:color w:val="1A2343"/>
                                      <w:sz w:val="36"/>
                                    </w:rPr>
                                    <w:t>100%</w:t>
                                    <w:br/>
                                  </w:r>
                                  <w:r>
                                    <w:rPr>
                                      <w:rFonts w:ascii="Arial" w:hAnsi="Arial"/>
                                      <w:b/>
                                      <w:sz w:val="20"/>
                                    </w:rPr>
                                    <w:t>$11,867,039</w:t>
                                  </w:r>
                                </w:p>
                              </w:tc>
                              <w:tc>
                                <w:tcPr>
                                  <w:tcW w:w="8140" w:type="dxa"/>
                                  <w:gridSpan w:val="4"/>
                                  <w:tcBorders>
                                    <w:bottom w:val="single" w:sz="12" w:space="0" w:color="1A2343"/>
                                  </w:tcBorders>
                                  <w:shd w:fill="auto" w:val="clear"/>
                                  <w:vAlign w:val="center"/>
                                </w:tcPr>
                                <w:p>
                                  <w:pPr>
                                    <w:pStyle w:val="TableContents"/>
                                    <w:spacing w:before="0" w:after="0"/>
                                    <w:jc w:val="left"/>
                                    <w:rPr>
                                      <w:rFonts w:ascii="Arial" w:hAnsi="Arial"/>
                                      <w:sz w:val="15"/>
                                    </w:rPr>
                                  </w:pPr>
                                  <w:r>
                                    <w:rPr>
                                      <w:rFonts w:ascii="Arial" w:hAnsi="Arial"/>
                                      <w:sz w:val="15"/>
                                    </w:rPr>
                                    <w:t>Both totals include $55,570 of “Other Compensation,” as reflected in the Summary Compensation Table.</w:t>
                                  </w:r>
                                </w:p>
                              </w:tc>
                            </w:tr>
                          </w:tbl>
                          <w:p>
                            <w:pPr>
                              <w:pStyle w:val="TextBody"/>
                              <w:spacing w:before="0" w:after="283"/>
                              <w:rPr/>
                            </w:pPr>
                            <w:r>
                              <w:rPr/>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472.95pt;mso-wrap-distance-left:0pt;mso-wrap-distance-right:0pt;mso-wrap-distance-top:0pt;mso-wrap-distance-bottom:0pt;margin-top:0pt;mso-position-vertical:top;mso-position-vertical-relative:text;margin-left:148pt;mso-position-horizontal:right;mso-position-horizontal-relative:text">
                <v:textbox>
                  <w:txbxContent>
                    <w:p>
                      <w:pPr>
                        <w:pStyle w:val="TextBody"/>
                        <w:jc w:val="left"/>
                        <w:rPr/>
                      </w:pPr>
                      <w:r>
                        <w:rPr>
                          <w:rFonts w:ascii="Arial" w:hAnsi="Arial"/>
                          <w:b/>
                          <w:color w:val="8EAD3C"/>
                          <w:sz w:val="22"/>
                        </w:rPr>
                        <w:t>2022 Performance and Compensation –</w:t>
                      </w:r>
                      <w:r>
                        <w:rPr>
                          <w:rFonts w:ascii="Arial" w:hAnsi="Arial"/>
                          <w:color w:val="8EAD3C"/>
                          <w:sz w:val="22"/>
                        </w:rPr>
                        <w:br/>
                      </w:r>
                      <w:r>
                        <w:rPr>
                          <w:rFonts w:ascii="Arial" w:hAnsi="Arial"/>
                          <w:b/>
                          <w:color w:val="8EAD3C"/>
                          <w:sz w:val="22"/>
                        </w:rPr>
                        <w:t>Projected Realizable Compensation vs. Total Direct Compensation</w:t>
                      </w:r>
                    </w:p>
                    <w:tbl>
                      <w:tblPr>
                        <w:tblW w:w="10205" w:type="dxa"/>
                        <w:jc w:val="left"/>
                        <w:tblInd w:w="0" w:type="dxa"/>
                        <w:tblCellMar>
                          <w:top w:w="0" w:type="dxa"/>
                          <w:left w:w="0" w:type="dxa"/>
                          <w:bottom w:w="40" w:type="dxa"/>
                          <w:right w:w="0" w:type="dxa"/>
                        </w:tblCellMar>
                      </w:tblPr>
                      <w:tblGrid>
                        <w:gridCol w:w="980"/>
                        <w:gridCol w:w="1085"/>
                        <w:gridCol w:w="1949"/>
                        <w:gridCol w:w="1414"/>
                        <w:gridCol w:w="1826"/>
                        <w:gridCol w:w="2951"/>
                      </w:tblGrid>
                      <w:tr>
                        <w:trPr/>
                        <w:tc>
                          <w:tcPr>
                            <w:tcW w:w="980" w:type="dxa"/>
                            <w:tcBorders>
                              <w:bottom w:val="single" w:sz="12" w:space="0" w:color="1A2343"/>
                            </w:tcBorders>
                            <w:shd w:fill="F3F6EA" w:val="clear"/>
                            <w:vAlign w:val="center"/>
                          </w:tcPr>
                          <w:p>
                            <w:pPr>
                              <w:pStyle w:val="TableContents"/>
                              <w:spacing w:before="0" w:after="283"/>
                              <w:jc w:val="left"/>
                              <w:rPr>
                                <w:rFonts w:ascii="Arial" w:hAnsi="Arial"/>
                                <w:color w:val="1A2343"/>
                                <w:sz w:val="15"/>
                              </w:rPr>
                            </w:pPr>
                            <w:r>
                              <w:rPr>
                                <w:rFonts w:ascii="Arial" w:hAnsi="Arial"/>
                                <w:color w:val="1A2343"/>
                                <w:sz w:val="15"/>
                              </w:rPr>
                              <w:t>PRC</w:t>
                            </w:r>
                          </w:p>
                        </w:tc>
                        <w:tc>
                          <w:tcPr>
                            <w:tcW w:w="1085"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TDC</w:t>
                            </w:r>
                          </w:p>
                        </w:tc>
                        <w:tc>
                          <w:tcPr>
                            <w:tcW w:w="8140" w:type="dxa"/>
                            <w:gridSpan w:val="4"/>
                            <w:tcBorders>
                              <w:bottom w:val="single" w:sz="12" w:space="0" w:color="1A2343"/>
                            </w:tcBorders>
                            <w:shd w:fill="auto" w:val="clear"/>
                            <w:vAlign w:val="center"/>
                          </w:tcPr>
                          <w:p>
                            <w:pPr>
                              <w:pStyle w:val="TableContents"/>
                              <w:spacing w:before="0" w:after="283"/>
                              <w:jc w:val="left"/>
                              <w:rPr/>
                            </w:pPr>
                            <w:r>
                              <w:rPr>
                                <w:rFonts w:ascii="Arial" w:hAnsi="Arial"/>
                                <w:color w:val="1A2343"/>
                                <w:sz w:val="15"/>
                              </w:rPr>
                              <w:t>Element of Compensation</w:t>
                            </w:r>
                            <w:r>
                              <w:rPr/>
                              <w:t xml:space="preserve"> </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13%</w:t>
                              <w:br/>
                            </w:r>
                            <w:r>
                              <w:rPr>
                                <w:rFonts w:ascii="Arial" w:hAnsi="Arial"/>
                                <w:b/>
                                <w:sz w:val="20"/>
                              </w:rPr>
                              <w:t>$950,000</w:t>
                            </w:r>
                          </w:p>
                        </w:tc>
                        <w:tc>
                          <w:tcPr>
                            <w:tcW w:w="1085"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8%</w:t>
                              <w:br/>
                            </w:r>
                            <w:r>
                              <w:rPr>
                                <w:rFonts w:ascii="Arial" w:hAnsi="Arial"/>
                                <w:b/>
                                <w:sz w:val="20"/>
                              </w:rPr>
                              <w:t>$950,000</w:t>
                            </w:r>
                          </w:p>
                        </w:tc>
                        <w:tc>
                          <w:tcPr>
                            <w:tcW w:w="8140" w:type="dxa"/>
                            <w:gridSpan w:val="4"/>
                            <w:tcBorders>
                              <w:bottom w:val="single" w:sz="8" w:space="0" w:color="5B5975"/>
                            </w:tcBorders>
                            <w:shd w:fill="auto" w:val="clear"/>
                            <w:vAlign w:val="center"/>
                          </w:tcPr>
                          <w:p>
                            <w:pPr>
                              <w:pStyle w:val="TableContents"/>
                              <w:spacing w:before="0" w:after="0"/>
                              <w:jc w:val="left"/>
                              <w:rPr/>
                            </w:pPr>
                            <w:r>
                              <w:rPr>
                                <w:rFonts w:ascii="Arial" w:hAnsi="Arial"/>
                                <w:b/>
                                <w:sz w:val="20"/>
                              </w:rPr>
                              <w:t>Annual Base Salary</w:t>
                            </w:r>
                            <w:r>
                              <w:rPr>
                                <w:rFonts w:ascii="Arial" w:hAnsi="Arial"/>
                                <w:sz w:val="20"/>
                              </w:rPr>
                              <w:br/>
                            </w:r>
                            <w:r>
                              <w:rPr>
                                <w:rFonts w:ascii="Arial" w:hAnsi="Arial"/>
                                <w:sz w:val="15"/>
                              </w:rPr>
                              <w:t>Mr. Mathias’s base salary was equal to the minimum set forth in his employment agreement. There has been no change to his base salary since 2019.</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17%</w:t>
                              <w:br/>
                            </w:r>
                            <w:r>
                              <w:rPr>
                                <w:rFonts w:ascii="Arial" w:hAnsi="Arial"/>
                                <w:b/>
                                <w:sz w:val="20"/>
                              </w:rPr>
                              <w:t>$1,274,481</w:t>
                            </w:r>
                          </w:p>
                        </w:tc>
                        <w:tc>
                          <w:tcPr>
                            <w:tcW w:w="1085"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11%</w:t>
                              <w:br/>
                            </w:r>
                            <w:r>
                              <w:rPr>
                                <w:rFonts w:ascii="Arial" w:hAnsi="Arial"/>
                                <w:b/>
                                <w:sz w:val="20"/>
                              </w:rPr>
                              <w:t>$1,361,469</w:t>
                            </w:r>
                          </w:p>
                        </w:tc>
                        <w:tc>
                          <w:tcPr>
                            <w:tcW w:w="8140" w:type="dxa"/>
                            <w:gridSpan w:val="4"/>
                            <w:tcBorders>
                              <w:bottom w:val="single" w:sz="8" w:space="0" w:color="5B5975"/>
                            </w:tcBorders>
                            <w:shd w:fill="auto" w:val="clear"/>
                            <w:vAlign w:val="center"/>
                          </w:tcPr>
                          <w:p>
                            <w:pPr>
                              <w:pStyle w:val="TableContents"/>
                              <w:spacing w:before="0" w:after="0"/>
                              <w:jc w:val="left"/>
                              <w:rPr/>
                            </w:pPr>
                            <w:r>
                              <w:rPr>
                                <w:rFonts w:ascii="Arial" w:hAnsi="Arial"/>
                                <w:b/>
                                <w:sz w:val="15"/>
                              </w:rPr>
                              <w:t>100% Formulaic Annual Cash Incentive Bonus</w:t>
                            </w:r>
                            <w:r>
                              <w:rPr>
                                <w:rFonts w:ascii="Arial" w:hAnsi="Arial"/>
                                <w:sz w:val="15"/>
                              </w:rPr>
                              <w:br/>
                              <w:t xml:space="preserve">Determined formulaically based on performance relative to preset objective bonus criteria established by the Committee in January 2021. These amounts reflect the earning of </w:t>
                            </w:r>
                            <w:r>
                              <w:rPr>
                                <w:rFonts w:ascii="Arial" w:hAnsi="Arial"/>
                                <w:b/>
                                <w:sz w:val="15"/>
                              </w:rPr>
                              <w:t>82%</w:t>
                            </w:r>
                            <w:r>
                              <w:rPr>
                                <w:rFonts w:ascii="Arial" w:hAnsi="Arial"/>
                                <w:sz w:val="15"/>
                              </w:rPr>
                              <w:t xml:space="preserve"> of target and include true-up adjustments made in January 2023 on account of actual 2021 and 2022 performance.</w:t>
                            </w:r>
                          </w:p>
                          <w:p>
                            <w:pPr>
                              <w:pStyle w:val="TableContents"/>
                              <w:spacing w:before="0" w:after="0"/>
                              <w:jc w:val="left"/>
                              <w:rPr/>
                            </w:pPr>
                            <w:r>
                              <w:rPr>
                                <w:rFonts w:ascii="Arial" w:hAnsi="Arial"/>
                                <w:sz w:val="15"/>
                              </w:rPr>
                              <w:t xml:space="preserve">Mr. Mathias elected to receive </w:t>
                            </w:r>
                            <w:r>
                              <w:rPr>
                                <w:rFonts w:ascii="Arial" w:hAnsi="Arial"/>
                                <w:b/>
                                <w:sz w:val="15"/>
                              </w:rPr>
                              <w:t>100%</w:t>
                            </w:r>
                            <w:r>
                              <w:rPr>
                                <w:rFonts w:ascii="Arial" w:hAnsi="Arial"/>
                                <w:sz w:val="15"/>
                              </w:rPr>
                              <w:t xml:space="preserve"> of the bonus in the form of equity. The corresponding </w:t>
                            </w:r>
                            <w:r>
                              <w:rPr>
                                <w:rFonts w:ascii="Arial" w:hAnsi="Arial"/>
                                <w:b/>
                                <w:sz w:val="15"/>
                              </w:rPr>
                              <w:t>37,796</w:t>
                            </w:r>
                            <w:r>
                              <w:rPr>
                                <w:rFonts w:ascii="Arial" w:hAnsi="Arial"/>
                                <w:sz w:val="15"/>
                              </w:rPr>
                              <w:t xml:space="preserve"> LTIP units in December 2022 and January 2023 were fully vested upon grant, but remain subject to a three-year no-sell restriction. The difference between the PRC and TDC amounts relates to the valuation of these LTIP units as of December 31, 2022, compared to the date on which the bonus was determined.</w:t>
                            </w:r>
                          </w:p>
                        </w:tc>
                      </w:tr>
                      <w:tr>
                        <w:trPr/>
                        <w:tc>
                          <w:tcPr>
                            <w:tcW w:w="980" w:type="dxa"/>
                            <w:tcBorders/>
                            <w:shd w:fill="F3F6EA" w:val="clear"/>
                            <w:tcMar>
                              <w:bottom w:w="0" w:type="dxa"/>
                            </w:tcMar>
                            <w:vAlign w:val="center"/>
                          </w:tcPr>
                          <w:p>
                            <w:pPr>
                              <w:pStyle w:val="TableContents"/>
                              <w:spacing w:before="0" w:after="0"/>
                              <w:jc w:val="left"/>
                              <w:rPr/>
                            </w:pPr>
                            <w:r>
                              <w:rPr>
                                <w:rFonts w:ascii="Arial" w:hAnsi="Arial"/>
                                <w:color w:val="1A2343"/>
                                <w:sz w:val="36"/>
                              </w:rPr>
                              <w:t>23%</w:t>
                              <w:br/>
                            </w:r>
                            <w:r>
                              <w:rPr>
                                <w:rFonts w:ascii="Arial" w:hAnsi="Arial"/>
                                <w:b/>
                                <w:sz w:val="20"/>
                              </w:rPr>
                              <w:t>$1,694,700</w:t>
                            </w:r>
                          </w:p>
                        </w:tc>
                        <w:tc>
                          <w:tcPr>
                            <w:tcW w:w="1085" w:type="dxa"/>
                            <w:tcBorders/>
                            <w:shd w:fill="auto" w:val="clear"/>
                            <w:tcMar>
                              <w:bottom w:w="0" w:type="dxa"/>
                            </w:tcMar>
                            <w:vAlign w:val="center"/>
                          </w:tcPr>
                          <w:p>
                            <w:pPr>
                              <w:pStyle w:val="TableContents"/>
                              <w:spacing w:before="0" w:after="0"/>
                              <w:jc w:val="left"/>
                              <w:rPr/>
                            </w:pPr>
                            <w:r>
                              <w:rPr>
                                <w:rFonts w:ascii="Arial" w:hAnsi="Arial"/>
                                <w:color w:val="1A2343"/>
                                <w:sz w:val="36"/>
                              </w:rPr>
                              <w:t>51%</w:t>
                              <w:br/>
                            </w:r>
                            <w:r>
                              <w:rPr>
                                <w:rFonts w:ascii="Arial" w:hAnsi="Arial"/>
                                <w:b/>
                                <w:sz w:val="20"/>
                              </w:rPr>
                              <w:t>$6,000,000</w:t>
                            </w:r>
                          </w:p>
                        </w:tc>
                        <w:tc>
                          <w:tcPr>
                            <w:tcW w:w="8140" w:type="dxa"/>
                            <w:gridSpan w:val="4"/>
                            <w:tcBorders/>
                            <w:shd w:fill="auto" w:val="clear"/>
                            <w:tcMar>
                              <w:bottom w:w="0" w:type="dxa"/>
                            </w:tcMar>
                            <w:vAlign w:val="center"/>
                          </w:tcPr>
                          <w:p>
                            <w:pPr>
                              <w:pStyle w:val="TableContents"/>
                              <w:spacing w:before="0" w:after="120"/>
                              <w:jc w:val="left"/>
                              <w:rPr/>
                            </w:pPr>
                            <w:r>
                              <w:rPr>
                                <w:rFonts w:ascii="Arial" w:hAnsi="Arial"/>
                                <w:b/>
                                <w:sz w:val="20"/>
                              </w:rPr>
                              <w:t>Performance-Based Equity Awards</w:t>
                            </w:r>
                            <w:r>
                              <w:rPr>
                                <w:rFonts w:ascii="Arial" w:hAnsi="Arial"/>
                                <w:sz w:val="20"/>
                              </w:rPr>
                              <w:br/>
                            </w:r>
                            <w:r>
                              <w:rPr>
                                <w:rFonts w:ascii="Arial" w:hAnsi="Arial"/>
                                <w:sz w:val="15"/>
                              </w:rPr>
                              <w:t xml:space="preserve">The PRC amount reflects the value of the award based on projected performance as of December 31, 2022 and our stock price on such date. The TDC amount reflects the target notional value of </w:t>
                            </w:r>
                            <w:r>
                              <w:rPr>
                                <w:rFonts w:ascii="Arial" w:hAnsi="Arial"/>
                                <w:b/>
                                <w:sz w:val="15"/>
                              </w:rPr>
                              <w:t>$6,000,000</w:t>
                            </w:r>
                            <w:r>
                              <w:rPr>
                                <w:rFonts w:ascii="Arial" w:hAnsi="Arial"/>
                                <w:sz w:val="15"/>
                              </w:rPr>
                              <w:t xml:space="preserve">, consistent with the minimum set forth in Mr. Mathias’s employment agreement. </w:t>
                            </w:r>
                            <w:r>
                              <w:rPr>
                                <w:rFonts w:ascii="Arial" w:hAnsi="Arial"/>
                                <w:b/>
                                <w:sz w:val="15"/>
                              </w:rPr>
                              <w:t>The difference between the PRC and TDC amounts is the value of these LTIP units as of December 31, 2022 compared to the grant amount</w:t>
                            </w:r>
                            <w:r>
                              <w:rPr>
                                <w:rFonts w:ascii="Arial" w:hAnsi="Arial"/>
                                <w:sz w:val="15"/>
                              </w:rPr>
                              <w:t>.</w:t>
                            </w:r>
                          </w:p>
                          <w:p>
                            <w:pPr>
                              <w:pStyle w:val="TableContents"/>
                              <w:spacing w:before="0" w:after="0"/>
                              <w:jc w:val="left"/>
                              <w:rPr>
                                <w:rFonts w:ascii="Arial" w:hAnsi="Arial"/>
                                <w:sz w:val="15"/>
                              </w:rPr>
                            </w:pPr>
                            <w:r>
                              <w:rPr>
                                <w:rFonts w:ascii="Arial" w:hAnsi="Arial"/>
                                <w:sz w:val="15"/>
                              </w:rPr>
                              <w:t>The award relates to the following number of LTIP units:</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1085" w:type="dxa"/>
                            <w:tcBorders/>
                            <w:shd w:fill="auto" w:val="clear"/>
                            <w:tcMar>
                              <w:bottom w:w="0" w:type="dxa"/>
                            </w:tcMar>
                            <w:vAlign w:val="center"/>
                          </w:tcPr>
                          <w:p>
                            <w:pPr>
                              <w:pStyle w:val="TableContents"/>
                              <w:spacing w:before="0" w:after="283"/>
                              <w:rPr>
                                <w:sz w:val="4"/>
                                <w:szCs w:val="4"/>
                              </w:rPr>
                            </w:pPr>
                            <w:r>
                              <w:rPr>
                                <w:sz w:val="4"/>
                                <w:szCs w:val="4"/>
                              </w:rPr>
                            </w:r>
                          </w:p>
                        </w:tc>
                        <w:tc>
                          <w:tcPr>
                            <w:tcW w:w="8140" w:type="dxa"/>
                            <w:gridSpan w:val="4"/>
                            <w:tcBorders>
                              <w:top w:val="single" w:sz="16" w:space="0" w:color="1A2343"/>
                              <w:bottom w:val="single" w:sz="16" w:space="0" w:color="1A2343"/>
                            </w:tcBorders>
                            <w:shd w:fill="auto" w:val="clear"/>
                            <w:tcMar>
                              <w:top w:w="40" w:type="dxa"/>
                            </w:tcMar>
                            <w:vAlign w:val="center"/>
                          </w:tcPr>
                          <w:p>
                            <w:pPr>
                              <w:pStyle w:val="TableContents"/>
                              <w:spacing w:before="0" w:after="283"/>
                              <w:jc w:val="center"/>
                              <w:rPr>
                                <w:rFonts w:ascii="Arial" w:hAnsi="Arial"/>
                                <w:color w:val="1A2343"/>
                                <w:sz w:val="15"/>
                              </w:rPr>
                            </w:pPr>
                            <w:r>
                              <w:rPr>
                                <w:rFonts w:ascii="Arial" w:hAnsi="Arial"/>
                                <w:color w:val="1A2343"/>
                                <w:sz w:val="15"/>
                              </w:rPr>
                              <w:t>2022 Performance-Based Award –</w:t>
                              <w:br/>
                              <w:t>Number of LTIP Units Granted</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1085" w:type="dxa"/>
                            <w:tcBorders/>
                            <w:shd w:fill="auto" w:val="clear"/>
                            <w:tcMar>
                              <w:bottom w:w="0" w:type="dxa"/>
                            </w:tcMar>
                            <w:vAlign w:val="center"/>
                          </w:tcPr>
                          <w:p>
                            <w:pPr>
                              <w:pStyle w:val="TableContents"/>
                              <w:spacing w:before="0" w:after="283"/>
                              <w:rPr>
                                <w:sz w:val="4"/>
                                <w:szCs w:val="4"/>
                              </w:rPr>
                            </w:pPr>
                            <w:r>
                              <w:rPr>
                                <w:sz w:val="4"/>
                                <w:szCs w:val="4"/>
                              </w:rPr>
                            </w:r>
                          </w:p>
                        </w:tc>
                        <w:tc>
                          <w:tcPr>
                            <w:tcW w:w="1949"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Threshold</w:t>
                            </w:r>
                          </w:p>
                        </w:tc>
                        <w:tc>
                          <w:tcPr>
                            <w:tcW w:w="1414"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Target</w:t>
                            </w:r>
                          </w:p>
                        </w:tc>
                        <w:tc>
                          <w:tcPr>
                            <w:tcW w:w="1826"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Maximum</w:t>
                            </w:r>
                          </w:p>
                        </w:tc>
                        <w:tc>
                          <w:tcPr>
                            <w:tcW w:w="2951"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Projected Earned</w:t>
                              <w:br/>
                              <w:t>as of 12/31/2022</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1085" w:type="dxa"/>
                            <w:tcBorders/>
                            <w:shd w:fill="auto" w:val="clear"/>
                            <w:tcMar>
                              <w:bottom w:w="0" w:type="dxa"/>
                            </w:tcMar>
                            <w:vAlign w:val="center"/>
                          </w:tcPr>
                          <w:p>
                            <w:pPr>
                              <w:pStyle w:val="TableContents"/>
                              <w:spacing w:before="0" w:after="283"/>
                              <w:rPr>
                                <w:sz w:val="4"/>
                                <w:szCs w:val="4"/>
                              </w:rPr>
                            </w:pPr>
                            <w:r>
                              <w:rPr>
                                <w:sz w:val="4"/>
                                <w:szCs w:val="4"/>
                              </w:rPr>
                            </w:r>
                          </w:p>
                        </w:tc>
                        <w:tc>
                          <w:tcPr>
                            <w:tcW w:w="1949"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38,114</w:t>
                            </w:r>
                          </w:p>
                        </w:tc>
                        <w:tc>
                          <w:tcPr>
                            <w:tcW w:w="1414"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81,307</w:t>
                            </w:r>
                          </w:p>
                        </w:tc>
                        <w:tc>
                          <w:tcPr>
                            <w:tcW w:w="1826"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182,976</w:t>
                            </w:r>
                          </w:p>
                        </w:tc>
                        <w:tc>
                          <w:tcPr>
                            <w:tcW w:w="2951"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50,258</w:t>
                            </w:r>
                          </w:p>
                        </w:tc>
                      </w:tr>
                      <w:tr>
                        <w:trPr/>
                        <w:tc>
                          <w:tcPr>
                            <w:tcW w:w="980" w:type="dxa"/>
                            <w:tcBorders>
                              <w:bottom w:val="single" w:sz="8" w:space="0" w:color="5B5975"/>
                            </w:tcBorders>
                            <w:shd w:fill="F3F6EA" w:val="clear"/>
                            <w:vAlign w:val="center"/>
                          </w:tcPr>
                          <w:p>
                            <w:pPr>
                              <w:pStyle w:val="TableContents"/>
                              <w:spacing w:before="0" w:after="283"/>
                              <w:rPr>
                                <w:sz w:val="4"/>
                                <w:szCs w:val="4"/>
                              </w:rPr>
                            </w:pPr>
                            <w:r>
                              <w:rPr>
                                <w:sz w:val="4"/>
                                <w:szCs w:val="4"/>
                              </w:rPr>
                            </w:r>
                          </w:p>
                        </w:tc>
                        <w:tc>
                          <w:tcPr>
                            <w:tcW w:w="108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8140" w:type="dxa"/>
                            <w:gridSpan w:val="4"/>
                            <w:tcBorders>
                              <w:bottom w:val="single" w:sz="8" w:space="0" w:color="5B5975"/>
                            </w:tcBorders>
                            <w:shd w:fill="auto" w:val="clear"/>
                            <w:vAlign w:val="center"/>
                          </w:tcPr>
                          <w:p>
                            <w:pPr>
                              <w:pStyle w:val="TableContents"/>
                              <w:spacing w:before="0" w:after="0"/>
                              <w:jc w:val="left"/>
                              <w:rPr>
                                <w:rFonts w:ascii="Arial" w:hAnsi="Arial"/>
                                <w:sz w:val="15"/>
                              </w:rPr>
                            </w:pPr>
                            <w:r>
                              <w:rPr>
                                <w:rFonts w:ascii="Arial" w:hAnsi="Arial"/>
                                <w:sz w:val="15"/>
                              </w:rPr>
                              <w:t>The actual number of LTIP units earned will be determined based on Company performance measured after the end of the full performance period ending December 31, 2024, based on our absolute and relative TSR, with earned LTIP units vesting in full as of December 31, 2024.</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47%</w:t>
                              <w:br/>
                            </w:r>
                            <w:r>
                              <w:rPr>
                                <w:rFonts w:ascii="Arial" w:hAnsi="Arial"/>
                                <w:b/>
                                <w:sz w:val="20"/>
                              </w:rPr>
                              <w:t>$3,518,480</w:t>
                            </w:r>
                          </w:p>
                        </w:tc>
                        <w:tc>
                          <w:tcPr>
                            <w:tcW w:w="1085"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30%</w:t>
                              <w:br/>
                            </w:r>
                            <w:r>
                              <w:rPr>
                                <w:rFonts w:ascii="Arial" w:hAnsi="Arial"/>
                                <w:b/>
                                <w:sz w:val="20"/>
                              </w:rPr>
                              <w:t>$3,500,000</w:t>
                            </w:r>
                          </w:p>
                        </w:tc>
                        <w:tc>
                          <w:tcPr>
                            <w:tcW w:w="8140" w:type="dxa"/>
                            <w:gridSpan w:val="4"/>
                            <w:tcBorders>
                              <w:bottom w:val="single" w:sz="8" w:space="0" w:color="5B5975"/>
                            </w:tcBorders>
                            <w:shd w:fill="auto" w:val="clear"/>
                            <w:vAlign w:val="center"/>
                          </w:tcPr>
                          <w:p>
                            <w:pPr>
                              <w:pStyle w:val="TableContents"/>
                              <w:spacing w:before="0" w:after="120"/>
                              <w:jc w:val="left"/>
                              <w:rPr/>
                            </w:pPr>
                            <w:r>
                              <w:rPr>
                                <w:rFonts w:ascii="Arial" w:hAnsi="Arial"/>
                                <w:b/>
                                <w:sz w:val="20"/>
                              </w:rPr>
                              <w:t>Time-Based Equity Awards</w:t>
                            </w:r>
                            <w:r>
                              <w:rPr>
                                <w:rFonts w:ascii="Arial" w:hAnsi="Arial"/>
                                <w:sz w:val="20"/>
                              </w:rPr>
                              <w:br/>
                            </w:r>
                            <w:r>
                              <w:rPr>
                                <w:rFonts w:ascii="Arial" w:hAnsi="Arial"/>
                                <w:sz w:val="15"/>
                              </w:rPr>
                              <w:t xml:space="preserve">The Committee granted time-based awards in January 2023 based on the company’s 2022 performance. The awards had a target value of </w:t>
                            </w:r>
                            <w:r>
                              <w:rPr>
                                <w:rFonts w:ascii="Arial" w:hAnsi="Arial"/>
                                <w:b/>
                                <w:sz w:val="15"/>
                              </w:rPr>
                              <w:t>$3,500,000</w:t>
                            </w:r>
                            <w:r>
                              <w:rPr>
                                <w:rFonts w:ascii="Arial" w:hAnsi="Arial"/>
                                <w:sz w:val="15"/>
                              </w:rPr>
                              <w:t>, equal to the minimum in Mr. Mathias’s employment agreement.</w:t>
                            </w:r>
                          </w:p>
                          <w:p>
                            <w:pPr>
                              <w:pStyle w:val="TableContents"/>
                              <w:spacing w:before="0" w:after="0"/>
                              <w:jc w:val="left"/>
                              <w:rPr/>
                            </w:pPr>
                            <w:r>
                              <w:rPr>
                                <w:rFonts w:ascii="Arial" w:hAnsi="Arial"/>
                                <w:sz w:val="15"/>
                              </w:rPr>
                              <w:t xml:space="preserve">The corresponding </w:t>
                            </w:r>
                            <w:r>
                              <w:rPr>
                                <w:rFonts w:ascii="Arial" w:hAnsi="Arial"/>
                                <w:b/>
                                <w:sz w:val="15"/>
                              </w:rPr>
                              <w:t>104,344</w:t>
                            </w:r>
                            <w:r>
                              <w:rPr>
                                <w:rFonts w:ascii="Arial" w:hAnsi="Arial"/>
                                <w:sz w:val="15"/>
                              </w:rPr>
                              <w:t xml:space="preserve"> LTIP units will vest in three equal installments on January 1, 2024, 2025 and 2026. The difference between the PRC and TDC amounts relates to the valuation of these LTIP units as of December 31, 2022, compared to the ten-day trailing average used to price the awards pursuant to Mr. Mathias’s employment agreement.</w:t>
                            </w:r>
                          </w:p>
                        </w:tc>
                      </w:tr>
                      <w:tr>
                        <w:trPr/>
                        <w:tc>
                          <w:tcPr>
                            <w:tcW w:w="980" w:type="dxa"/>
                            <w:tcBorders>
                              <w:bottom w:val="single" w:sz="12" w:space="0" w:color="1A2343"/>
                            </w:tcBorders>
                            <w:shd w:fill="F3F6EA" w:val="clear"/>
                            <w:vAlign w:val="center"/>
                          </w:tcPr>
                          <w:p>
                            <w:pPr>
                              <w:pStyle w:val="TableContents"/>
                              <w:spacing w:before="0" w:after="0"/>
                              <w:jc w:val="left"/>
                              <w:rPr/>
                            </w:pPr>
                            <w:r>
                              <w:rPr>
                                <w:rFonts w:ascii="Arial" w:hAnsi="Arial"/>
                                <w:color w:val="1A2343"/>
                                <w:sz w:val="36"/>
                              </w:rPr>
                              <w:t>100%</w:t>
                              <w:br/>
                            </w:r>
                            <w:r>
                              <w:rPr>
                                <w:rFonts w:ascii="Arial" w:hAnsi="Arial"/>
                                <w:b/>
                                <w:sz w:val="20"/>
                              </w:rPr>
                              <w:t>$7,493,231</w:t>
                            </w:r>
                          </w:p>
                        </w:tc>
                        <w:tc>
                          <w:tcPr>
                            <w:tcW w:w="1085" w:type="dxa"/>
                            <w:tcBorders>
                              <w:bottom w:val="single" w:sz="12" w:space="0" w:color="1A2343"/>
                            </w:tcBorders>
                            <w:shd w:fill="auto" w:val="clear"/>
                            <w:vAlign w:val="center"/>
                          </w:tcPr>
                          <w:p>
                            <w:pPr>
                              <w:pStyle w:val="TableContents"/>
                              <w:spacing w:before="0" w:after="0"/>
                              <w:jc w:val="left"/>
                              <w:rPr/>
                            </w:pPr>
                            <w:r>
                              <w:rPr>
                                <w:rFonts w:ascii="Arial" w:hAnsi="Arial"/>
                                <w:color w:val="1A2343"/>
                                <w:sz w:val="36"/>
                              </w:rPr>
                              <w:t>100%</w:t>
                              <w:br/>
                            </w:r>
                            <w:r>
                              <w:rPr>
                                <w:rFonts w:ascii="Arial" w:hAnsi="Arial"/>
                                <w:b/>
                                <w:sz w:val="20"/>
                              </w:rPr>
                              <w:t>$11,867,039</w:t>
                            </w:r>
                          </w:p>
                        </w:tc>
                        <w:tc>
                          <w:tcPr>
                            <w:tcW w:w="8140" w:type="dxa"/>
                            <w:gridSpan w:val="4"/>
                            <w:tcBorders>
                              <w:bottom w:val="single" w:sz="12" w:space="0" w:color="1A2343"/>
                            </w:tcBorders>
                            <w:shd w:fill="auto" w:val="clear"/>
                            <w:vAlign w:val="center"/>
                          </w:tcPr>
                          <w:p>
                            <w:pPr>
                              <w:pStyle w:val="TableContents"/>
                              <w:spacing w:before="0" w:after="0"/>
                              <w:jc w:val="left"/>
                              <w:rPr>
                                <w:rFonts w:ascii="Arial" w:hAnsi="Arial"/>
                                <w:sz w:val="15"/>
                              </w:rPr>
                            </w:pPr>
                            <w:r>
                              <w:rPr>
                                <w:rFonts w:ascii="Arial" w:hAnsi="Arial"/>
                                <w:sz w:val="15"/>
                              </w:rPr>
                              <w:t>Both totals include $55,570 of “Other Compensation,” as reflected in the Summary Compensation Table.</w:t>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58</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0" w:after="0"/>
        <w:rPr/>
      </w:pPr>
      <w:r>
        <w:rPr/>
      </w:r>
    </w:p>
    <w:p>
      <w:pPr>
        <w:pStyle w:val="TextBody"/>
        <w:spacing w:before="0" w:after="0"/>
        <w:rPr/>
      </w:pPr>
      <w:r>
        <w:rPr/>
        <w:t> </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1684655" cy="7684770"/>
                <wp:effectExtent l="0" t="0" r="0" b="0"/>
                <wp:wrapSquare wrapText="largest"/>
                <wp:docPr id="461" name="Frame43"/>
                <a:graphic xmlns:a="http://schemas.openxmlformats.org/drawingml/2006/main">
                  <a:graphicData uri="http://schemas.microsoft.com/office/word/2010/wordprocessingShape">
                    <wps:wsp>
                      <wps:cNvSpPr txBox="1"/>
                      <wps:spPr>
                        <a:xfrm>
                          <a:off x="0" y="0"/>
                          <a:ext cx="1684655" cy="7684770"/>
                        </a:xfrm>
                        <a:prstGeom prst="rect"/>
                      </wps:spPr>
                      <wps:txbx>
                        <w:txbxContent>
                          <w:tbl>
                            <w:tblPr>
                              <w:tblW w:w="10205" w:type="dxa"/>
                              <w:jc w:val="left"/>
                              <w:tblInd w:w="0" w:type="dxa"/>
                              <w:tblCellMar>
                                <w:top w:w="0" w:type="dxa"/>
                                <w:left w:w="0" w:type="dxa"/>
                                <w:bottom w:w="0" w:type="dxa"/>
                                <w:right w:w="0" w:type="dxa"/>
                              </w:tblCellMar>
                            </w:tblPr>
                            <w:tblGrid>
                              <w:gridCol w:w="180"/>
                              <w:gridCol w:w="9845"/>
                              <w:gridCol w:w="180"/>
                            </w:tblGrid>
                            <w:tr>
                              <w:trPr/>
                              <w:tc>
                                <w:tcPr>
                                  <w:tcW w:w="180" w:type="dxa"/>
                                  <w:tcBorders/>
                                  <w:shd w:fill="auto" w:val="clear"/>
                                  <w:vAlign w:val="center"/>
                                </w:tcPr>
                                <w:p>
                                  <w:pPr>
                                    <w:pStyle w:val="TableContents"/>
                                    <w:spacing w:before="0" w:after="283"/>
                                    <w:jc w:val="left"/>
                                    <w:rPr/>
                                  </w:pPr>
                                  <w:r>
                                    <w:rPr/>
                                    <w:t>   </w:t>
                                  </w:r>
                                </w:p>
                              </w:tc>
                              <w:tc>
                                <w:tcPr>
                                  <w:tcW w:w="9845" w:type="dxa"/>
                                  <w:tcBorders>
                                    <w:top w:val="single" w:sz="32" w:space="0" w:color="8EAD3C"/>
                                    <w:left w:val="single" w:sz="32" w:space="0" w:color="8EAD3C"/>
                                  </w:tcBorders>
                                  <w:shd w:fill="auto" w:val="clear"/>
                                  <w:tcMar>
                                    <w:top w:w="28" w:type="dxa"/>
                                    <w:left w:w="28" w:type="dxa"/>
                                  </w:tcMar>
                                  <w:vAlign w:val="center"/>
                                </w:tcPr>
                                <w:p>
                                  <w:pPr>
                                    <w:pStyle w:val="TableContents"/>
                                    <w:spacing w:before="0" w:after="283"/>
                                    <w:rPr>
                                      <w:sz w:val="4"/>
                                      <w:szCs w:val="4"/>
                                    </w:rPr>
                                  </w:pPr>
                                  <w:r>
                                    <w:rPr>
                                      <w:sz w:val="4"/>
                                      <w:szCs w:val="4"/>
                                    </w:rPr>
                                  </w:r>
                                </w:p>
                              </w:tc>
                              <w:tc>
                                <w:tcPr>
                                  <w:tcW w:w="180" w:type="dxa"/>
                                  <w:tcBorders>
                                    <w:top w:val="single" w:sz="32" w:space="0" w:color="8EAD3C"/>
                                    <w:right w:val="single" w:sz="32" w:space="0" w:color="8EAD3C"/>
                                  </w:tcBorders>
                                  <w:shd w:fill="auto" w:val="clear"/>
                                  <w:tcMar>
                                    <w:top w:w="28" w:type="dxa"/>
                                    <w:right w:w="28" w:type="dxa"/>
                                  </w:tcMar>
                                  <w:vAlign w:val="center"/>
                                </w:tcPr>
                                <w:p>
                                  <w:pPr>
                                    <w:pStyle w:val="TableContents"/>
                                    <w:spacing w:before="0" w:after="283"/>
                                    <w:jc w:val="left"/>
                                    <w:rPr/>
                                  </w:pPr>
                                  <w:r>
                                    <w:rPr/>
                                    <w:t>   </w:t>
                                  </w:r>
                                </w:p>
                              </w:tc>
                            </w:tr>
                            <w:tr>
                              <w:trPr/>
                              <w:tc>
                                <w:tcPr>
                                  <w:tcW w:w="180" w:type="dxa"/>
                                  <w:tcBorders/>
                                  <w:shd w:fill="1A2343" w:val="clear"/>
                                  <w:vAlign w:val="center"/>
                                </w:tcPr>
                                <w:p>
                                  <w:pPr>
                                    <w:pStyle w:val="TableContents"/>
                                    <w:spacing w:before="0" w:after="283"/>
                                    <w:rPr>
                                      <w:sz w:val="4"/>
                                      <w:szCs w:val="4"/>
                                    </w:rPr>
                                  </w:pPr>
                                  <w:r>
                                    <w:rPr>
                                      <w:sz w:val="4"/>
                                      <w:szCs w:val="4"/>
                                    </w:rPr>
                                  </w:r>
                                </w:p>
                              </w:tc>
                              <w:tc>
                                <w:tcPr>
                                  <w:tcW w:w="9845" w:type="dxa"/>
                                  <w:tcBorders/>
                                  <w:shd w:fill="1A2343" w:val="clear"/>
                                  <w:vAlign w:val="center"/>
                                </w:tcPr>
                                <w:p>
                                  <w:pPr>
                                    <w:pStyle w:val="TableContents"/>
                                    <w:spacing w:before="0" w:after="120"/>
                                    <w:jc w:val="left"/>
                                    <w:rPr>
                                      <w:rFonts w:ascii="Arial" w:hAnsi="Arial"/>
                                      <w:b/>
                                      <w:color w:val="FFFFFF"/>
                                      <w:sz w:val="24"/>
                                    </w:rPr>
                                  </w:pPr>
                                  <w:r>
                                    <w:rPr>
                                      <w:rFonts w:ascii="Arial" w:hAnsi="Arial"/>
                                      <w:b/>
                                      <w:color w:val="FFFFFF"/>
                                      <w:sz w:val="24"/>
                                    </w:rPr>
                                    <w:t>MATTHEW J.</w:t>
                                    <w:br/>
                                    <w:t>DILIBERTO</w:t>
                                  </w:r>
                                </w:p>
                                <w:p>
                                  <w:pPr>
                                    <w:pStyle w:val="TableContents"/>
                                    <w:spacing w:before="0" w:after="120"/>
                                    <w:jc w:val="center"/>
                                    <w:rPr/>
                                  </w:pPr>
                                  <w:r>
                                    <w:rPr/>
                                    <w:drawing>
                                      <wp:inline distT="0" distB="0" distL="0" distR="0">
                                        <wp:extent cx="1085850" cy="4400550"/>
                                        <wp:effectExtent l="0" t="0" r="0" b="0"/>
                                        <wp:docPr id="462"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322" descr=""/>
                                                <pic:cNvPicPr>
                                                  <a:picLocks noChangeAspect="1" noChangeArrowheads="1"/>
                                                </pic:cNvPicPr>
                                              </pic:nvPicPr>
                                              <pic:blipFill>
                                                <a:blip r:embed="rId323"/>
                                                <a:srcRect l="-286" t="-229" r="-286" b="-229"/>
                                                <a:stretch>
                                                  <a:fillRect/>
                                                </a:stretch>
                                              </pic:blipFill>
                                              <pic:spPr bwMode="auto">
                                                <a:xfrm>
                                                  <a:off x="0" y="0"/>
                                                  <a:ext cx="1085850" cy="4400550"/>
                                                </a:xfrm>
                                                <a:prstGeom prst="rect">
                                                  <a:avLst/>
                                                </a:prstGeom>
                                                <a:ln w="635">
                                                  <a:solidFill>
                                                    <a:srgbClr val="000000"/>
                                                  </a:solidFill>
                                                </a:ln>
                                              </pic:spPr>
                                            </pic:pic>
                                          </a:graphicData>
                                        </a:graphic>
                                      </wp:inline>
                                    </w:drawing>
                                  </w:r>
                                </w:p>
                                <w:p>
                                  <w:pPr>
                                    <w:pStyle w:val="TableContents"/>
                                    <w:spacing w:before="0" w:after="120"/>
                                    <w:jc w:val="left"/>
                                    <w:rPr>
                                      <w:rFonts w:ascii="Arial" w:hAnsi="Arial"/>
                                      <w:b/>
                                      <w:color w:val="FFFFFF"/>
                                      <w:sz w:val="20"/>
                                    </w:rPr>
                                  </w:pPr>
                                  <w:r>
                                    <w:rPr>
                                      <w:rFonts w:ascii="Arial" w:hAnsi="Arial"/>
                                      <w:b/>
                                      <w:color w:val="FFFFFF"/>
                                      <w:sz w:val="20"/>
                                    </w:rPr>
                                    <w:t>Chief Financial Officer</w:t>
                                  </w:r>
                                </w:p>
                                <w:p>
                                  <w:pPr>
                                    <w:pStyle w:val="TableContents"/>
                                    <w:spacing w:before="0" w:after="120"/>
                                    <w:jc w:val="left"/>
                                    <w:rPr>
                                      <w:rFonts w:ascii="Arial" w:hAnsi="Arial"/>
                                      <w:color w:val="FFFFFF"/>
                                      <w:spacing w:val="-2"/>
                                      <w:sz w:val="20"/>
                                    </w:rPr>
                                  </w:pPr>
                                  <w:r>
                                    <w:rPr>
                                      <w:rFonts w:ascii="Arial" w:hAnsi="Arial"/>
                                      <w:color w:val="FFFFFF"/>
                                      <w:spacing w:val="-2"/>
                                      <w:sz w:val="20"/>
                                    </w:rPr>
                                    <w:t>Mr. DiLiberto’s 2022 compensation recognizes the Company’s significant accomplishments during a challenging year. In particular, Mr. DiLiberto was instrumental in managing our liquidity and balance sheet, enabling our development pipeline and strategic acquisitions and dispositions despite significant turbulence in the debt capital markets and rapidly rising interest rates. Nevertheless, Mr. DiLiberto’s projected realizable compensation fell short of the total direct compensation amount approved by the Committee.</w:t>
                                  </w:r>
                                </w:p>
                                <w:p>
                                  <w:pPr>
                                    <w:pStyle w:val="TableContents"/>
                                    <w:spacing w:before="0" w:after="0"/>
                                    <w:jc w:val="left"/>
                                    <w:rPr>
                                      <w:rFonts w:ascii="Arial" w:hAnsi="Arial"/>
                                      <w:b/>
                                      <w:color w:val="FFFFFF"/>
                                      <w:spacing w:val="-4"/>
                                      <w:sz w:val="20"/>
                                    </w:rPr>
                                  </w:pPr>
                                  <w:r>
                                    <w:rPr>
                                      <w:rFonts w:ascii="Arial" w:hAnsi="Arial"/>
                                      <w:b/>
                                      <w:color w:val="FFFFFF"/>
                                      <w:spacing w:val="-4"/>
                                      <w:sz w:val="20"/>
                                    </w:rPr>
                                    <w:t>The Projected Realizable Compensation for Mr. DiLiberto in 2022 is approximately 19% lower than the Total Direct Compensation approved by the Committee for 2022. The PRC and TDC amounts are higher than the Summary Compensation Table amount, because the Summary Compensation Table amount does not include the $1.4M grant of time-based LTIP units made to Mr. DiLiberto for 2022 upon entering into his new employment agreement in March 2023.</w:t>
                                  </w:r>
                                </w:p>
                              </w:tc>
                              <w:tc>
                                <w:tcPr>
                                  <w:tcW w:w="180" w:type="dxa"/>
                                  <w:tcBorders>
                                    <w:right w:val="single" w:sz="32" w:space="0" w:color="8EAD3C"/>
                                  </w:tcBorders>
                                  <w:shd w:fill="auto" w:val="clear"/>
                                  <w:tcMar>
                                    <w:right w:w="28" w:type="dxa"/>
                                  </w:tcMar>
                                  <w:vAlign w:val="center"/>
                                </w:tcPr>
                                <w:p>
                                  <w:pPr>
                                    <w:pStyle w:val="TableContents"/>
                                    <w:spacing w:before="0" w:after="283"/>
                                    <w:rPr>
                                      <w:sz w:val="4"/>
                                      <w:szCs w:val="4"/>
                                    </w:rPr>
                                  </w:pPr>
                                  <w:r>
                                    <w:rPr>
                                      <w:sz w:val="4"/>
                                      <w:szCs w:val="4"/>
                                    </w:rPr>
                                  </w:r>
                                </w:p>
                              </w:tc>
                            </w:tr>
                            <w:tr>
                              <w:trPr/>
                              <w:tc>
                                <w:tcPr>
                                  <w:tcW w:w="180" w:type="dxa"/>
                                  <w:tcBorders/>
                                  <w:shd w:fill="auto" w:val="clear"/>
                                  <w:vAlign w:val="center"/>
                                </w:tcPr>
                                <w:p>
                                  <w:pPr>
                                    <w:pStyle w:val="TableContents"/>
                                    <w:spacing w:before="0" w:after="283"/>
                                    <w:rPr>
                                      <w:sz w:val="4"/>
                                      <w:szCs w:val="4"/>
                                    </w:rPr>
                                  </w:pPr>
                                  <w:r>
                                    <w:rPr>
                                      <w:sz w:val="4"/>
                                      <w:szCs w:val="4"/>
                                    </w:rPr>
                                  </w:r>
                                </w:p>
                              </w:tc>
                              <w:tc>
                                <w:tcPr>
                                  <w:tcW w:w="9845" w:type="dxa"/>
                                  <w:tcBorders>
                                    <w:left w:val="single" w:sz="32" w:space="0" w:color="8EAD3C"/>
                                    <w:bottom w:val="single" w:sz="32" w:space="0" w:color="8EAD3C"/>
                                  </w:tcBorders>
                                  <w:shd w:fill="auto" w:val="clear"/>
                                  <w:tcMar>
                                    <w:left w:w="28" w:type="dxa"/>
                                    <w:bottom w:w="28"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right w:w="28"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26000</wp14:pctWidth>
                </wp14:sizeRelH>
              </wp:anchor>
            </w:drawing>
          </mc:Choice>
          <mc:Fallback>
            <w:pict>
              <v:rect style="position:absolute;rotation:0;width:132.65pt;height:605.1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CellMar>
                          <w:top w:w="0" w:type="dxa"/>
                          <w:left w:w="0" w:type="dxa"/>
                          <w:bottom w:w="0" w:type="dxa"/>
                          <w:right w:w="0" w:type="dxa"/>
                        </w:tblCellMar>
                      </w:tblPr>
                      <w:tblGrid>
                        <w:gridCol w:w="180"/>
                        <w:gridCol w:w="9845"/>
                        <w:gridCol w:w="180"/>
                      </w:tblGrid>
                      <w:tr>
                        <w:trPr/>
                        <w:tc>
                          <w:tcPr>
                            <w:tcW w:w="180" w:type="dxa"/>
                            <w:tcBorders/>
                            <w:shd w:fill="auto" w:val="clear"/>
                            <w:vAlign w:val="center"/>
                          </w:tcPr>
                          <w:p>
                            <w:pPr>
                              <w:pStyle w:val="TableContents"/>
                              <w:spacing w:before="0" w:after="283"/>
                              <w:jc w:val="left"/>
                              <w:rPr/>
                            </w:pPr>
                            <w:r>
                              <w:rPr/>
                              <w:t>   </w:t>
                            </w:r>
                          </w:p>
                        </w:tc>
                        <w:tc>
                          <w:tcPr>
                            <w:tcW w:w="9845" w:type="dxa"/>
                            <w:tcBorders>
                              <w:top w:val="single" w:sz="32" w:space="0" w:color="8EAD3C"/>
                              <w:left w:val="single" w:sz="32" w:space="0" w:color="8EAD3C"/>
                            </w:tcBorders>
                            <w:shd w:fill="auto" w:val="clear"/>
                            <w:tcMar>
                              <w:top w:w="28" w:type="dxa"/>
                              <w:left w:w="28" w:type="dxa"/>
                            </w:tcMar>
                            <w:vAlign w:val="center"/>
                          </w:tcPr>
                          <w:p>
                            <w:pPr>
                              <w:pStyle w:val="TableContents"/>
                              <w:spacing w:before="0" w:after="283"/>
                              <w:rPr>
                                <w:sz w:val="4"/>
                                <w:szCs w:val="4"/>
                              </w:rPr>
                            </w:pPr>
                            <w:r>
                              <w:rPr>
                                <w:sz w:val="4"/>
                                <w:szCs w:val="4"/>
                              </w:rPr>
                            </w:r>
                          </w:p>
                        </w:tc>
                        <w:tc>
                          <w:tcPr>
                            <w:tcW w:w="180" w:type="dxa"/>
                            <w:tcBorders>
                              <w:top w:val="single" w:sz="32" w:space="0" w:color="8EAD3C"/>
                              <w:right w:val="single" w:sz="32" w:space="0" w:color="8EAD3C"/>
                            </w:tcBorders>
                            <w:shd w:fill="auto" w:val="clear"/>
                            <w:tcMar>
                              <w:top w:w="28" w:type="dxa"/>
                              <w:right w:w="28" w:type="dxa"/>
                            </w:tcMar>
                            <w:vAlign w:val="center"/>
                          </w:tcPr>
                          <w:p>
                            <w:pPr>
                              <w:pStyle w:val="TableContents"/>
                              <w:spacing w:before="0" w:after="283"/>
                              <w:jc w:val="left"/>
                              <w:rPr/>
                            </w:pPr>
                            <w:r>
                              <w:rPr/>
                              <w:t>   </w:t>
                            </w:r>
                          </w:p>
                        </w:tc>
                      </w:tr>
                      <w:tr>
                        <w:trPr/>
                        <w:tc>
                          <w:tcPr>
                            <w:tcW w:w="180" w:type="dxa"/>
                            <w:tcBorders/>
                            <w:shd w:fill="1A2343" w:val="clear"/>
                            <w:vAlign w:val="center"/>
                          </w:tcPr>
                          <w:p>
                            <w:pPr>
                              <w:pStyle w:val="TableContents"/>
                              <w:spacing w:before="0" w:after="283"/>
                              <w:rPr>
                                <w:sz w:val="4"/>
                                <w:szCs w:val="4"/>
                              </w:rPr>
                            </w:pPr>
                            <w:r>
                              <w:rPr>
                                <w:sz w:val="4"/>
                                <w:szCs w:val="4"/>
                              </w:rPr>
                            </w:r>
                          </w:p>
                        </w:tc>
                        <w:tc>
                          <w:tcPr>
                            <w:tcW w:w="9845" w:type="dxa"/>
                            <w:tcBorders/>
                            <w:shd w:fill="1A2343" w:val="clear"/>
                            <w:vAlign w:val="center"/>
                          </w:tcPr>
                          <w:p>
                            <w:pPr>
                              <w:pStyle w:val="TableContents"/>
                              <w:spacing w:before="0" w:after="120"/>
                              <w:jc w:val="left"/>
                              <w:rPr>
                                <w:rFonts w:ascii="Arial" w:hAnsi="Arial"/>
                                <w:b/>
                                <w:color w:val="FFFFFF"/>
                                <w:sz w:val="24"/>
                              </w:rPr>
                            </w:pPr>
                            <w:r>
                              <w:rPr>
                                <w:rFonts w:ascii="Arial" w:hAnsi="Arial"/>
                                <w:b/>
                                <w:color w:val="FFFFFF"/>
                                <w:sz w:val="24"/>
                              </w:rPr>
                              <w:t>MATTHEW J.</w:t>
                              <w:br/>
                              <w:t>DILIBERTO</w:t>
                            </w:r>
                          </w:p>
                          <w:p>
                            <w:pPr>
                              <w:pStyle w:val="TableContents"/>
                              <w:spacing w:before="0" w:after="120"/>
                              <w:jc w:val="center"/>
                              <w:rPr/>
                            </w:pPr>
                            <w:r>
                              <w:rPr/>
                              <w:drawing>
                                <wp:inline distT="0" distB="0" distL="0" distR="0">
                                  <wp:extent cx="1085850" cy="4400550"/>
                                  <wp:effectExtent l="0" t="0" r="0" b="0"/>
                                  <wp:docPr id="463"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322" descr=""/>
                                          <pic:cNvPicPr>
                                            <a:picLocks noChangeAspect="1" noChangeArrowheads="1"/>
                                          </pic:cNvPicPr>
                                        </pic:nvPicPr>
                                        <pic:blipFill>
                                          <a:blip r:embed="rId323"/>
                                          <a:srcRect l="-286" t="-229" r="-286" b="-229"/>
                                          <a:stretch>
                                            <a:fillRect/>
                                          </a:stretch>
                                        </pic:blipFill>
                                        <pic:spPr bwMode="auto">
                                          <a:xfrm>
                                            <a:off x="0" y="0"/>
                                            <a:ext cx="1085850" cy="4400550"/>
                                          </a:xfrm>
                                          <a:prstGeom prst="rect">
                                            <a:avLst/>
                                          </a:prstGeom>
                                          <a:ln w="635">
                                            <a:solidFill>
                                              <a:srgbClr val="000000"/>
                                            </a:solidFill>
                                          </a:ln>
                                        </pic:spPr>
                                      </pic:pic>
                                    </a:graphicData>
                                  </a:graphic>
                                </wp:inline>
                              </w:drawing>
                            </w:r>
                          </w:p>
                          <w:p>
                            <w:pPr>
                              <w:pStyle w:val="TableContents"/>
                              <w:spacing w:before="0" w:after="120"/>
                              <w:jc w:val="left"/>
                              <w:rPr>
                                <w:rFonts w:ascii="Arial" w:hAnsi="Arial"/>
                                <w:b/>
                                <w:color w:val="FFFFFF"/>
                                <w:sz w:val="20"/>
                              </w:rPr>
                            </w:pPr>
                            <w:r>
                              <w:rPr>
                                <w:rFonts w:ascii="Arial" w:hAnsi="Arial"/>
                                <w:b/>
                                <w:color w:val="FFFFFF"/>
                                <w:sz w:val="20"/>
                              </w:rPr>
                              <w:t>Chief Financial Officer</w:t>
                            </w:r>
                          </w:p>
                          <w:p>
                            <w:pPr>
                              <w:pStyle w:val="TableContents"/>
                              <w:spacing w:before="0" w:after="120"/>
                              <w:jc w:val="left"/>
                              <w:rPr>
                                <w:rFonts w:ascii="Arial" w:hAnsi="Arial"/>
                                <w:color w:val="FFFFFF"/>
                                <w:spacing w:val="-2"/>
                                <w:sz w:val="20"/>
                              </w:rPr>
                            </w:pPr>
                            <w:r>
                              <w:rPr>
                                <w:rFonts w:ascii="Arial" w:hAnsi="Arial"/>
                                <w:color w:val="FFFFFF"/>
                                <w:spacing w:val="-2"/>
                                <w:sz w:val="20"/>
                              </w:rPr>
                              <w:t>Mr. DiLiberto’s 2022 compensation recognizes the Company’s significant accomplishments during a challenging year. In particular, Mr. DiLiberto was instrumental in managing our liquidity and balance sheet, enabling our development pipeline and strategic acquisitions and dispositions despite significant turbulence in the debt capital markets and rapidly rising interest rates. Nevertheless, Mr. DiLiberto’s projected realizable compensation fell short of the total direct compensation amount approved by the Committee.</w:t>
                            </w:r>
                          </w:p>
                          <w:p>
                            <w:pPr>
                              <w:pStyle w:val="TableContents"/>
                              <w:spacing w:before="0" w:after="0"/>
                              <w:jc w:val="left"/>
                              <w:rPr>
                                <w:rFonts w:ascii="Arial" w:hAnsi="Arial"/>
                                <w:b/>
                                <w:color w:val="FFFFFF"/>
                                <w:spacing w:val="-4"/>
                                <w:sz w:val="20"/>
                              </w:rPr>
                            </w:pPr>
                            <w:r>
                              <w:rPr>
                                <w:rFonts w:ascii="Arial" w:hAnsi="Arial"/>
                                <w:b/>
                                <w:color w:val="FFFFFF"/>
                                <w:spacing w:val="-4"/>
                                <w:sz w:val="20"/>
                              </w:rPr>
                              <w:t>The Projected Realizable Compensation for Mr. DiLiberto in 2022 is approximately 19% lower than the Total Direct Compensation approved by the Committee for 2022. The PRC and TDC amounts are higher than the Summary Compensation Table amount, because the Summary Compensation Table amount does not include the $1.4M grant of time-based LTIP units made to Mr. DiLiberto for 2022 upon entering into his new employment agreement in March 2023.</w:t>
                            </w:r>
                          </w:p>
                        </w:tc>
                        <w:tc>
                          <w:tcPr>
                            <w:tcW w:w="180" w:type="dxa"/>
                            <w:tcBorders>
                              <w:right w:val="single" w:sz="32" w:space="0" w:color="8EAD3C"/>
                            </w:tcBorders>
                            <w:shd w:fill="auto" w:val="clear"/>
                            <w:tcMar>
                              <w:right w:w="28" w:type="dxa"/>
                            </w:tcMar>
                            <w:vAlign w:val="center"/>
                          </w:tcPr>
                          <w:p>
                            <w:pPr>
                              <w:pStyle w:val="TableContents"/>
                              <w:spacing w:before="0" w:after="283"/>
                              <w:rPr>
                                <w:sz w:val="4"/>
                                <w:szCs w:val="4"/>
                              </w:rPr>
                            </w:pPr>
                            <w:r>
                              <w:rPr>
                                <w:sz w:val="4"/>
                                <w:szCs w:val="4"/>
                              </w:rPr>
                            </w:r>
                          </w:p>
                        </w:tc>
                      </w:tr>
                      <w:tr>
                        <w:trPr/>
                        <w:tc>
                          <w:tcPr>
                            <w:tcW w:w="180" w:type="dxa"/>
                            <w:tcBorders/>
                            <w:shd w:fill="auto" w:val="clear"/>
                            <w:vAlign w:val="center"/>
                          </w:tcPr>
                          <w:p>
                            <w:pPr>
                              <w:pStyle w:val="TableContents"/>
                              <w:spacing w:before="0" w:after="283"/>
                              <w:rPr>
                                <w:sz w:val="4"/>
                                <w:szCs w:val="4"/>
                              </w:rPr>
                            </w:pPr>
                            <w:r>
                              <w:rPr>
                                <w:sz w:val="4"/>
                                <w:szCs w:val="4"/>
                              </w:rPr>
                            </w:r>
                          </w:p>
                        </w:tc>
                        <w:tc>
                          <w:tcPr>
                            <w:tcW w:w="9845" w:type="dxa"/>
                            <w:tcBorders>
                              <w:left w:val="single" w:sz="32" w:space="0" w:color="8EAD3C"/>
                              <w:bottom w:val="single" w:sz="32" w:space="0" w:color="8EAD3C"/>
                            </w:tcBorders>
                            <w:shd w:fill="auto" w:val="clear"/>
                            <w:tcMar>
                              <w:left w:w="28" w:type="dxa"/>
                              <w:bottom w:w="28" w:type="dxa"/>
                            </w:tcMar>
                            <w:vAlign w:val="center"/>
                          </w:tcPr>
                          <w:p>
                            <w:pPr>
                              <w:pStyle w:val="TableContents"/>
                              <w:spacing w:before="0" w:after="283"/>
                              <w:jc w:val="left"/>
                              <w:rPr/>
                            </w:pPr>
                            <w:r>
                              <w:rPr/>
                              <w:t>   </w:t>
                            </w:r>
                          </w:p>
                        </w:tc>
                        <w:tc>
                          <w:tcPr>
                            <w:tcW w:w="180" w:type="dxa"/>
                            <w:tcBorders>
                              <w:bottom w:val="single" w:sz="32" w:space="0" w:color="8EAD3C"/>
                              <w:right w:val="single" w:sz="32" w:space="0" w:color="8EAD3C"/>
                            </w:tcBorders>
                            <w:shd w:fill="auto" w:val="clear"/>
                            <w:tcMar>
                              <w:bottom w:w="28" w:type="dxa"/>
                              <w:right w:w="28"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90">
                <wp:simplePos x="0" y="0"/>
                <wp:positionH relativeFrom="column">
                  <wp:align>right</wp:align>
                </wp:positionH>
                <wp:positionV relativeFrom="line">
                  <wp:posOffset>635</wp:posOffset>
                </wp:positionV>
                <wp:extent cx="4600575" cy="6057265"/>
                <wp:effectExtent l="0" t="0" r="0" b="0"/>
                <wp:wrapSquare wrapText="largest"/>
                <wp:docPr id="464" name="Frame44"/>
                <a:graphic xmlns:a="http://schemas.openxmlformats.org/drawingml/2006/main">
                  <a:graphicData uri="http://schemas.microsoft.com/office/word/2010/wordprocessingShape">
                    <wps:wsp>
                      <wps:cNvSpPr txBox="1"/>
                      <wps:spPr>
                        <a:xfrm>
                          <a:off x="0" y="0"/>
                          <a:ext cx="4600575" cy="6057265"/>
                        </a:xfrm>
                        <a:prstGeom prst="rect"/>
                      </wps:spPr>
                      <wps:txbx>
                        <w:txbxContent>
                          <w:p>
                            <w:pPr>
                              <w:pStyle w:val="TextBody"/>
                              <w:jc w:val="left"/>
                              <w:rPr/>
                            </w:pPr>
                            <w:r>
                              <w:rPr>
                                <w:rFonts w:ascii="Arial" w:hAnsi="Arial"/>
                                <w:b/>
                                <w:color w:val="8EAD3C"/>
                                <w:sz w:val="22"/>
                              </w:rPr>
                              <w:t>2022 Performance and Compensation –</w:t>
                            </w:r>
                            <w:r>
                              <w:rPr>
                                <w:rFonts w:ascii="Arial" w:hAnsi="Arial"/>
                                <w:color w:val="8EAD3C"/>
                                <w:sz w:val="22"/>
                              </w:rPr>
                              <w:br/>
                            </w:r>
                            <w:r>
                              <w:rPr>
                                <w:rFonts w:ascii="Arial" w:hAnsi="Arial"/>
                                <w:b/>
                                <w:color w:val="8EAD3C"/>
                                <w:sz w:val="22"/>
                              </w:rPr>
                              <w:t>Projected Realizable Compensation vs. Total Direct Compensation</w:t>
                            </w:r>
                          </w:p>
                          <w:tbl>
                            <w:tblPr>
                              <w:tblW w:w="10205" w:type="dxa"/>
                              <w:jc w:val="left"/>
                              <w:tblInd w:w="0" w:type="dxa"/>
                              <w:tblCellMar>
                                <w:top w:w="0" w:type="dxa"/>
                                <w:left w:w="0" w:type="dxa"/>
                                <w:bottom w:w="40" w:type="dxa"/>
                                <w:right w:w="0" w:type="dxa"/>
                              </w:tblCellMar>
                            </w:tblPr>
                            <w:tblGrid>
                              <w:gridCol w:w="980"/>
                              <w:gridCol w:w="980"/>
                              <w:gridCol w:w="2002"/>
                              <w:gridCol w:w="1325"/>
                              <w:gridCol w:w="1875"/>
                              <w:gridCol w:w="3043"/>
                            </w:tblGrid>
                            <w:tr>
                              <w:trPr/>
                              <w:tc>
                                <w:tcPr>
                                  <w:tcW w:w="980" w:type="dxa"/>
                                  <w:tcBorders>
                                    <w:bottom w:val="single" w:sz="12" w:space="0" w:color="1A2343"/>
                                  </w:tcBorders>
                                  <w:shd w:fill="F3F6EA" w:val="clear"/>
                                  <w:vAlign w:val="center"/>
                                </w:tcPr>
                                <w:p>
                                  <w:pPr>
                                    <w:pStyle w:val="TableContents"/>
                                    <w:spacing w:before="0" w:after="283"/>
                                    <w:jc w:val="left"/>
                                    <w:rPr>
                                      <w:rFonts w:ascii="Arial" w:hAnsi="Arial"/>
                                      <w:color w:val="1A2343"/>
                                      <w:sz w:val="15"/>
                                    </w:rPr>
                                  </w:pPr>
                                  <w:r>
                                    <w:rPr>
                                      <w:rFonts w:ascii="Arial" w:hAnsi="Arial"/>
                                      <w:color w:val="1A2343"/>
                                      <w:sz w:val="15"/>
                                    </w:rPr>
                                    <w:t>PRC</w:t>
                                  </w:r>
                                </w:p>
                              </w:tc>
                              <w:tc>
                                <w:tcPr>
                                  <w:tcW w:w="98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TDC</w:t>
                                  </w:r>
                                </w:p>
                              </w:tc>
                              <w:tc>
                                <w:tcPr>
                                  <w:tcW w:w="8245" w:type="dxa"/>
                                  <w:gridSpan w:val="4"/>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Element of Compensation</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14%</w:t>
                                    <w:br/>
                                  </w:r>
                                  <w:r>
                                    <w:rPr>
                                      <w:rFonts w:ascii="Arial" w:hAnsi="Arial"/>
                                      <w:b/>
                                      <w:sz w:val="20"/>
                                    </w:rPr>
                                    <w:t>$575,000</w:t>
                                  </w:r>
                                </w:p>
                              </w:tc>
                              <w:tc>
                                <w:tcPr>
                                  <w:tcW w:w="980"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12%</w:t>
                                    <w:br/>
                                  </w:r>
                                  <w:r>
                                    <w:rPr>
                                      <w:rFonts w:ascii="Arial" w:hAnsi="Arial"/>
                                      <w:b/>
                                      <w:sz w:val="20"/>
                                    </w:rPr>
                                    <w:t>$575,000</w:t>
                                  </w:r>
                                </w:p>
                              </w:tc>
                              <w:tc>
                                <w:tcPr>
                                  <w:tcW w:w="8245" w:type="dxa"/>
                                  <w:gridSpan w:val="4"/>
                                  <w:tcBorders>
                                    <w:bottom w:val="single" w:sz="8" w:space="0" w:color="5B5975"/>
                                  </w:tcBorders>
                                  <w:shd w:fill="auto" w:val="clear"/>
                                  <w:vAlign w:val="center"/>
                                </w:tcPr>
                                <w:p>
                                  <w:pPr>
                                    <w:pStyle w:val="TableContents"/>
                                    <w:spacing w:before="0" w:after="0"/>
                                    <w:jc w:val="left"/>
                                    <w:rPr/>
                                  </w:pPr>
                                  <w:r>
                                    <w:rPr>
                                      <w:rFonts w:ascii="Arial" w:hAnsi="Arial"/>
                                      <w:b/>
                                      <w:sz w:val="20"/>
                                    </w:rPr>
                                    <w:t>Annual Base Salary</w:t>
                                  </w:r>
                                  <w:r>
                                    <w:rPr>
                                      <w:rFonts w:ascii="Arial" w:hAnsi="Arial"/>
                                      <w:sz w:val="20"/>
                                    </w:rPr>
                                    <w:br/>
                                  </w:r>
                                  <w:r>
                                    <w:rPr>
                                      <w:rFonts w:ascii="Arial" w:hAnsi="Arial"/>
                                      <w:sz w:val="15"/>
                                    </w:rPr>
                                    <w:t>There has been no change to his base salary since 2021.</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35%</w:t>
                                    <w:br/>
                                  </w:r>
                                  <w:r>
                                    <w:rPr>
                                      <w:rFonts w:ascii="Arial" w:hAnsi="Arial"/>
                                      <w:b/>
                                      <w:sz w:val="20"/>
                                    </w:rPr>
                                    <w:t>$1,408,842</w:t>
                                  </w:r>
                                </w:p>
                              </w:tc>
                              <w:tc>
                                <w:tcPr>
                                  <w:tcW w:w="980"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29%</w:t>
                                    <w:br/>
                                  </w:r>
                                  <w:r>
                                    <w:rPr>
                                      <w:rFonts w:ascii="Arial" w:hAnsi="Arial"/>
                                      <w:b/>
                                      <w:sz w:val="20"/>
                                    </w:rPr>
                                    <w:t>$1,450,000</w:t>
                                  </w:r>
                                </w:p>
                              </w:tc>
                              <w:tc>
                                <w:tcPr>
                                  <w:tcW w:w="8245" w:type="dxa"/>
                                  <w:gridSpan w:val="4"/>
                                  <w:tcBorders>
                                    <w:bottom w:val="single" w:sz="8" w:space="0" w:color="5B5975"/>
                                  </w:tcBorders>
                                  <w:shd w:fill="auto" w:val="clear"/>
                                  <w:vAlign w:val="center"/>
                                </w:tcPr>
                                <w:p>
                                  <w:pPr>
                                    <w:pStyle w:val="TableContents"/>
                                    <w:spacing w:before="0" w:after="120"/>
                                    <w:jc w:val="left"/>
                                    <w:rPr/>
                                  </w:pPr>
                                  <w:r>
                                    <w:rPr>
                                      <w:rFonts w:ascii="Arial" w:hAnsi="Arial"/>
                                      <w:b/>
                                      <w:sz w:val="15"/>
                                    </w:rPr>
                                    <w:t>Annual Cash Incentive Bonus</w:t>
                                  </w:r>
                                  <w:r>
                                    <w:rPr>
                                      <w:rFonts w:ascii="Arial" w:hAnsi="Arial"/>
                                      <w:sz w:val="15"/>
                                    </w:rPr>
                                    <w:br/>
                                    <w:t>Bonus, while not formulaic, was determined on the basis of to the objective criteria used for our formulaic cash bonus program and the achievements of the Company during 2022 and an assessment of Mr. DiLiberto’s performance in areas under his responsibilities. In response to stockholder feedback, 60% of Mr. DiLiberto’s 2023 bonus will be determined formulaically.</w:t>
                                  </w:r>
                                </w:p>
                                <w:p>
                                  <w:pPr>
                                    <w:pStyle w:val="TableContents"/>
                                    <w:spacing w:before="0" w:after="0"/>
                                    <w:jc w:val="left"/>
                                    <w:rPr/>
                                  </w:pPr>
                                  <w:r>
                                    <w:rPr>
                                      <w:rFonts w:ascii="Arial" w:hAnsi="Arial"/>
                                      <w:sz w:val="15"/>
                                    </w:rPr>
                                    <w:t xml:space="preserve">Mr. DiLiberto received </w:t>
                                  </w:r>
                                  <w:r>
                                    <w:rPr>
                                      <w:rFonts w:ascii="Arial" w:hAnsi="Arial"/>
                                      <w:b/>
                                      <w:sz w:val="15"/>
                                    </w:rPr>
                                    <w:t>50%</w:t>
                                  </w:r>
                                  <w:r>
                                    <w:rPr>
                                      <w:rFonts w:ascii="Arial" w:hAnsi="Arial"/>
                                      <w:sz w:val="15"/>
                                    </w:rPr>
                                    <w:t xml:space="preserve"> of the bonus in the form of equity. The corresponding </w:t>
                                  </w:r>
                                  <w:r>
                                    <w:rPr>
                                      <w:rFonts w:ascii="Arial" w:hAnsi="Arial"/>
                                      <w:b/>
                                      <w:sz w:val="15"/>
                                    </w:rPr>
                                    <w:t>20,280</w:t>
                                  </w:r>
                                  <w:r>
                                    <w:rPr>
                                      <w:rFonts w:ascii="Arial" w:hAnsi="Arial"/>
                                      <w:sz w:val="15"/>
                                    </w:rPr>
                                    <w:t xml:space="preserve"> LTIP units granted in </w:t>
                                  </w:r>
                                  <w:r>
                                    <w:rPr>
                                      <w:rFonts w:ascii="Arial" w:hAnsi="Arial"/>
                                      <w:b/>
                                      <w:sz w:val="15"/>
                                    </w:rPr>
                                    <w:t>January 2023</w:t>
                                  </w:r>
                                  <w:r>
                                    <w:rPr>
                                      <w:rFonts w:ascii="Arial" w:hAnsi="Arial"/>
                                      <w:sz w:val="15"/>
                                    </w:rPr>
                                    <w:t xml:space="preserve"> were fully vested upon grant, but remain subject to a three-year no-sell restriction. The difference between the PRC and TDC amounts relates to the valuation of these LTIP units as of December 31, 2022, compared to the date on which the bonus was determined.</w:t>
                                  </w:r>
                                </w:p>
                              </w:tc>
                            </w:tr>
                            <w:tr>
                              <w:trPr/>
                              <w:tc>
                                <w:tcPr>
                                  <w:tcW w:w="980" w:type="dxa"/>
                                  <w:tcBorders/>
                                  <w:shd w:fill="F3F6EA" w:val="clear"/>
                                  <w:tcMar>
                                    <w:bottom w:w="0" w:type="dxa"/>
                                  </w:tcMar>
                                  <w:vAlign w:val="center"/>
                                </w:tcPr>
                                <w:p>
                                  <w:pPr>
                                    <w:pStyle w:val="TableContents"/>
                                    <w:spacing w:before="0" w:after="0"/>
                                    <w:jc w:val="left"/>
                                    <w:rPr/>
                                  </w:pPr>
                                  <w:r>
                                    <w:rPr>
                                      <w:rFonts w:ascii="Arial" w:hAnsi="Arial"/>
                                      <w:color w:val="1A2343"/>
                                      <w:sz w:val="36"/>
                                    </w:rPr>
                                    <w:t>4%</w:t>
                                    <w:br/>
                                  </w:r>
                                  <w:r>
                                    <w:rPr>
                                      <w:rFonts w:ascii="Arial" w:hAnsi="Arial"/>
                                      <w:b/>
                                      <w:sz w:val="20"/>
                                    </w:rPr>
                                    <w:t>$156,899</w:t>
                                  </w:r>
                                </w:p>
                              </w:tc>
                              <w:tc>
                                <w:tcPr>
                                  <w:tcW w:w="980" w:type="dxa"/>
                                  <w:tcBorders/>
                                  <w:shd w:fill="auto" w:val="clear"/>
                                  <w:tcMar>
                                    <w:bottom w:w="0" w:type="dxa"/>
                                  </w:tcMar>
                                  <w:vAlign w:val="center"/>
                                </w:tcPr>
                                <w:p>
                                  <w:pPr>
                                    <w:pStyle w:val="TableContents"/>
                                    <w:spacing w:before="0" w:after="0"/>
                                    <w:jc w:val="left"/>
                                    <w:rPr/>
                                  </w:pPr>
                                  <w:r>
                                    <w:rPr>
                                      <w:rFonts w:ascii="Arial" w:hAnsi="Arial"/>
                                      <w:color w:val="1A2343"/>
                                      <w:sz w:val="36"/>
                                    </w:rPr>
                                    <w:t>11%</w:t>
                                    <w:br/>
                                  </w:r>
                                  <w:r>
                                    <w:rPr>
                                      <w:rFonts w:ascii="Arial" w:hAnsi="Arial"/>
                                      <w:b/>
                                      <w:sz w:val="20"/>
                                    </w:rPr>
                                    <w:t>$555,556</w:t>
                                  </w:r>
                                </w:p>
                              </w:tc>
                              <w:tc>
                                <w:tcPr>
                                  <w:tcW w:w="8245" w:type="dxa"/>
                                  <w:gridSpan w:val="4"/>
                                  <w:tcBorders/>
                                  <w:shd w:fill="auto" w:val="clear"/>
                                  <w:tcMar>
                                    <w:bottom w:w="0" w:type="dxa"/>
                                  </w:tcMar>
                                  <w:vAlign w:val="center"/>
                                </w:tcPr>
                                <w:p>
                                  <w:pPr>
                                    <w:pStyle w:val="TableContents"/>
                                    <w:spacing w:before="0" w:after="120"/>
                                    <w:jc w:val="left"/>
                                    <w:rPr/>
                                  </w:pPr>
                                  <w:r>
                                    <w:rPr>
                                      <w:rFonts w:ascii="Arial" w:hAnsi="Arial"/>
                                      <w:b/>
                                      <w:sz w:val="20"/>
                                    </w:rPr>
                                    <w:t>Performance-Based Equity Awards</w:t>
                                  </w:r>
                                  <w:r>
                                    <w:rPr>
                                      <w:rFonts w:ascii="Arial" w:hAnsi="Arial"/>
                                      <w:sz w:val="20"/>
                                    </w:rPr>
                                    <w:br/>
                                  </w:r>
                                  <w:r>
                                    <w:rPr>
                                      <w:rFonts w:ascii="Arial" w:hAnsi="Arial"/>
                                      <w:sz w:val="15"/>
                                    </w:rPr>
                                    <w:t xml:space="preserve">The PRC amount reflects the value of the award based on projected performance as of December 31, 2022 and our stock price on such date. The TDC amount reflects the target notional value of </w:t>
                                  </w:r>
                                  <w:r>
                                    <w:rPr>
                                      <w:rFonts w:ascii="Arial" w:hAnsi="Arial"/>
                                      <w:b/>
                                      <w:sz w:val="15"/>
                                    </w:rPr>
                                    <w:t>$555,556</w:t>
                                  </w:r>
                                  <w:r>
                                    <w:rPr>
                                      <w:rFonts w:ascii="Arial" w:hAnsi="Arial"/>
                                      <w:sz w:val="15"/>
                                    </w:rPr>
                                    <w:t xml:space="preserve">. </w:t>
                                  </w:r>
                                  <w:r>
                                    <w:rPr>
                                      <w:rFonts w:ascii="Arial" w:hAnsi="Arial"/>
                                      <w:b/>
                                      <w:sz w:val="15"/>
                                    </w:rPr>
                                    <w:t>The difference between the PRC and TDC amounts is the value of these LTIP units as of December 31, 2022 compared to the grant amount</w:t>
                                  </w:r>
                                  <w:r>
                                    <w:rPr>
                                      <w:rFonts w:ascii="Arial" w:hAnsi="Arial"/>
                                      <w:sz w:val="15"/>
                                    </w:rPr>
                                    <w:t>.</w:t>
                                  </w:r>
                                </w:p>
                                <w:p>
                                  <w:pPr>
                                    <w:pStyle w:val="TableContents"/>
                                    <w:spacing w:before="0" w:after="0"/>
                                    <w:jc w:val="left"/>
                                    <w:rPr>
                                      <w:rFonts w:ascii="Arial" w:hAnsi="Arial"/>
                                      <w:sz w:val="15"/>
                                    </w:rPr>
                                  </w:pPr>
                                  <w:r>
                                    <w:rPr>
                                      <w:rFonts w:ascii="Arial" w:hAnsi="Arial"/>
                                      <w:sz w:val="15"/>
                                    </w:rPr>
                                    <w:t>The award relates to the following LTIP units:</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8245" w:type="dxa"/>
                                  <w:gridSpan w:val="4"/>
                                  <w:tcBorders>
                                    <w:top w:val="single" w:sz="16" w:space="0" w:color="1A2343"/>
                                    <w:bottom w:val="single" w:sz="16" w:space="0" w:color="1A2343"/>
                                  </w:tcBorders>
                                  <w:shd w:fill="auto" w:val="clear"/>
                                  <w:tcMar>
                                    <w:top w:w="40" w:type="dxa"/>
                                  </w:tcMar>
                                  <w:vAlign w:val="center"/>
                                </w:tcPr>
                                <w:p>
                                  <w:pPr>
                                    <w:pStyle w:val="TableContents"/>
                                    <w:spacing w:before="0" w:after="0"/>
                                    <w:jc w:val="center"/>
                                    <w:rPr>
                                      <w:rFonts w:ascii="Arial" w:hAnsi="Arial"/>
                                      <w:color w:val="1A2343"/>
                                      <w:sz w:val="15"/>
                                    </w:rPr>
                                  </w:pPr>
                                  <w:r>
                                    <w:rPr>
                                      <w:rFonts w:ascii="Arial" w:hAnsi="Arial"/>
                                      <w:color w:val="1A2343"/>
                                      <w:sz w:val="15"/>
                                    </w:rPr>
                                    <w:t>2022 Performance-Based Award –</w:t>
                                    <w:br/>
                                    <w:t>Number of LTIP Units Granted</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2002"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Threshold</w:t>
                                  </w:r>
                                </w:p>
                              </w:tc>
                              <w:tc>
                                <w:tcPr>
                                  <w:tcW w:w="1325"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Target</w:t>
                                  </w:r>
                                </w:p>
                              </w:tc>
                              <w:tc>
                                <w:tcPr>
                                  <w:tcW w:w="1875"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Maximum</w:t>
                                  </w:r>
                                </w:p>
                              </w:tc>
                              <w:tc>
                                <w:tcPr>
                                  <w:tcW w:w="3043"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Projected Earned</w:t>
                                    <w:br/>
                                    <w:t>as of 12/31/2022</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2002"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3,529</w:t>
                                  </w:r>
                                </w:p>
                              </w:tc>
                              <w:tc>
                                <w:tcPr>
                                  <w:tcW w:w="1325"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7,528</w:t>
                                  </w:r>
                                </w:p>
                              </w:tc>
                              <w:tc>
                                <w:tcPr>
                                  <w:tcW w:w="1875"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16,939</w:t>
                                  </w:r>
                                </w:p>
                              </w:tc>
                              <w:tc>
                                <w:tcPr>
                                  <w:tcW w:w="3043"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4,653</w:t>
                                  </w:r>
                                </w:p>
                              </w:tc>
                            </w:tr>
                            <w:tr>
                              <w:trPr/>
                              <w:tc>
                                <w:tcPr>
                                  <w:tcW w:w="980" w:type="dxa"/>
                                  <w:tcBorders>
                                    <w:bottom w:val="single" w:sz="8" w:space="0" w:color="5B5975"/>
                                  </w:tcBorders>
                                  <w:shd w:fill="F3F6EA"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8245" w:type="dxa"/>
                                  <w:gridSpan w:val="4"/>
                                  <w:tcBorders>
                                    <w:bottom w:val="single" w:sz="8" w:space="0" w:color="5B5975"/>
                                  </w:tcBorders>
                                  <w:shd w:fill="auto" w:val="clear"/>
                                  <w:vAlign w:val="center"/>
                                </w:tcPr>
                                <w:p>
                                  <w:pPr>
                                    <w:pStyle w:val="TableContents"/>
                                    <w:spacing w:before="0" w:after="0"/>
                                    <w:jc w:val="left"/>
                                    <w:rPr>
                                      <w:rFonts w:ascii="Arial" w:hAnsi="Arial"/>
                                      <w:sz w:val="15"/>
                                    </w:rPr>
                                  </w:pPr>
                                  <w:r>
                                    <w:rPr>
                                      <w:rFonts w:ascii="Arial" w:hAnsi="Arial"/>
                                      <w:sz w:val="15"/>
                                    </w:rPr>
                                    <w:t>The actual number of LTIP units earned will be determined based on Company performance measured after the end of the full performance period ending December 31, 2024, based on our absolute and relative TSR, with earned LTIP units vesting 50% as of December 31, 2024 and 50% as of December 31, 2025.</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47%</w:t>
                                    <w:br/>
                                  </w:r>
                                  <w:r>
                                    <w:rPr>
                                      <w:rFonts w:ascii="Arial" w:hAnsi="Arial"/>
                                      <w:b/>
                                      <w:sz w:val="20"/>
                                    </w:rPr>
                                    <w:t>$1,893,783</w:t>
                                  </w:r>
                                </w:p>
                              </w:tc>
                              <w:tc>
                                <w:tcPr>
                                  <w:tcW w:w="980"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48%</w:t>
                                    <w:br/>
                                  </w:r>
                                  <w:r>
                                    <w:rPr>
                                      <w:rFonts w:ascii="Arial" w:hAnsi="Arial"/>
                                      <w:b/>
                                      <w:sz w:val="20"/>
                                    </w:rPr>
                                    <w:t>$2,400,000</w:t>
                                  </w:r>
                                </w:p>
                              </w:tc>
                              <w:tc>
                                <w:tcPr>
                                  <w:tcW w:w="8245" w:type="dxa"/>
                                  <w:gridSpan w:val="4"/>
                                  <w:tcBorders>
                                    <w:bottom w:val="single" w:sz="8" w:space="0" w:color="5B5975"/>
                                  </w:tcBorders>
                                  <w:shd w:fill="auto" w:val="clear"/>
                                  <w:vAlign w:val="center"/>
                                </w:tcPr>
                                <w:p>
                                  <w:pPr>
                                    <w:pStyle w:val="TableContents"/>
                                    <w:spacing w:before="0" w:after="120"/>
                                    <w:jc w:val="left"/>
                                    <w:rPr/>
                                  </w:pPr>
                                  <w:r>
                                    <w:rPr>
                                      <w:rFonts w:ascii="Arial" w:hAnsi="Arial"/>
                                      <w:b/>
                                      <w:sz w:val="20"/>
                                    </w:rPr>
                                    <w:t>Time-Based Equity Awards</w:t>
                                  </w:r>
                                  <w:r>
                                    <w:rPr>
                                      <w:rFonts w:ascii="Arial" w:hAnsi="Arial"/>
                                      <w:sz w:val="20"/>
                                    </w:rPr>
                                    <w:br/>
                                  </w:r>
                                  <w:r>
                                    <w:rPr>
                                      <w:rFonts w:ascii="Arial" w:hAnsi="Arial"/>
                                      <w:sz w:val="15"/>
                                    </w:rPr>
                                    <w:t xml:space="preserve">The Committee granted time-based awards in March 2023 upon the extension of Mr. DiLiberto’s employment agreement. The awards had a target value of </w:t>
                                  </w:r>
                                  <w:r>
                                    <w:rPr>
                                      <w:rFonts w:ascii="Arial" w:hAnsi="Arial"/>
                                      <w:b/>
                                      <w:sz w:val="15"/>
                                    </w:rPr>
                                    <w:t>$1,400,000</w:t>
                                  </w:r>
                                  <w:r>
                                    <w:rPr>
                                      <w:rFonts w:ascii="Arial" w:hAnsi="Arial"/>
                                      <w:sz w:val="15"/>
                                    </w:rPr>
                                    <w:t xml:space="preserve">, equal to the minimum in Mr. DiLiberto’s employment agreement. The corresponding </w:t>
                                  </w:r>
                                  <w:r>
                                    <w:rPr>
                                      <w:rFonts w:ascii="Arial" w:hAnsi="Arial"/>
                                      <w:b/>
                                      <w:sz w:val="15"/>
                                    </w:rPr>
                                    <w:t>42,422</w:t>
                                  </w:r>
                                  <w:r>
                                    <w:rPr>
                                      <w:rFonts w:ascii="Arial" w:hAnsi="Arial"/>
                                      <w:sz w:val="15"/>
                                    </w:rPr>
                                    <w:t xml:space="preserve"> LTIP units will vest in three equal installments on January 1, 2024, 2025 and 2026.</w:t>
                                  </w:r>
                                </w:p>
                                <w:p>
                                  <w:pPr>
                                    <w:pStyle w:val="TableContents"/>
                                    <w:spacing w:before="0" w:after="0"/>
                                    <w:jc w:val="left"/>
                                    <w:rPr/>
                                  </w:pPr>
                                  <w:r>
                                    <w:rPr>
                                      <w:rFonts w:ascii="Arial" w:hAnsi="Arial"/>
                                      <w:sz w:val="15"/>
                                    </w:rPr>
                                    <w:t xml:space="preserve">In line with the rest of the executive team (other than our CEO and our President), the Committee also awarded a one-time grant of </w:t>
                                  </w:r>
                                  <w:r>
                                    <w:rPr>
                                      <w:rFonts w:ascii="Arial" w:hAnsi="Arial"/>
                                      <w:b/>
                                      <w:sz w:val="15"/>
                                    </w:rPr>
                                    <w:t>13,740</w:t>
                                  </w:r>
                                  <w:r>
                                    <w:rPr>
                                      <w:rFonts w:ascii="Arial" w:hAnsi="Arial"/>
                                      <w:sz w:val="15"/>
                                    </w:rPr>
                                    <w:t xml:space="preserve"> LTIP units in connection with our One Madison development project. These LTIP units vested or will vest on each of December 31, 2022, 2023 and 2024. </w:t>
                                  </w:r>
                                  <w:r>
                                    <w:rPr>
                                      <w:rFonts w:ascii="Arial" w:hAnsi="Arial"/>
                                      <w:b/>
                                      <w:sz w:val="15"/>
                                    </w:rPr>
                                    <w:t>The difference between the PRC and TDC amounts is the value of these LTIP units as of December 31, 2022 compared to the grant amounts</w:t>
                                  </w:r>
                                  <w:r>
                                    <w:rPr>
                                      <w:rFonts w:ascii="Arial" w:hAnsi="Arial"/>
                                      <w:sz w:val="15"/>
                                    </w:rPr>
                                    <w:t>.</w:t>
                                  </w:r>
                                </w:p>
                              </w:tc>
                            </w:tr>
                            <w:tr>
                              <w:trPr/>
                              <w:tc>
                                <w:tcPr>
                                  <w:tcW w:w="980" w:type="dxa"/>
                                  <w:tcBorders>
                                    <w:bottom w:val="single" w:sz="12" w:space="0" w:color="1A2343"/>
                                  </w:tcBorders>
                                  <w:shd w:fill="F3F6EA" w:val="clear"/>
                                  <w:vAlign w:val="center"/>
                                </w:tcPr>
                                <w:p>
                                  <w:pPr>
                                    <w:pStyle w:val="TableContents"/>
                                    <w:spacing w:before="0" w:after="0"/>
                                    <w:jc w:val="left"/>
                                    <w:rPr/>
                                  </w:pPr>
                                  <w:r>
                                    <w:rPr>
                                      <w:rFonts w:ascii="Arial" w:hAnsi="Arial"/>
                                      <w:color w:val="1A2343"/>
                                      <w:sz w:val="36"/>
                                    </w:rPr>
                                    <w:t>100%</w:t>
                                    <w:br/>
                                  </w:r>
                                  <w:r>
                                    <w:rPr>
                                      <w:rFonts w:ascii="Arial" w:hAnsi="Arial"/>
                                      <w:b/>
                                      <w:sz w:val="20"/>
                                    </w:rPr>
                                    <w:t>$4,046,724</w:t>
                                  </w:r>
                                </w:p>
                              </w:tc>
                              <w:tc>
                                <w:tcPr>
                                  <w:tcW w:w="980" w:type="dxa"/>
                                  <w:tcBorders>
                                    <w:bottom w:val="single" w:sz="12" w:space="0" w:color="1A2343"/>
                                  </w:tcBorders>
                                  <w:shd w:fill="auto" w:val="clear"/>
                                  <w:vAlign w:val="center"/>
                                </w:tcPr>
                                <w:p>
                                  <w:pPr>
                                    <w:pStyle w:val="TableContents"/>
                                    <w:spacing w:before="0" w:after="0"/>
                                    <w:jc w:val="left"/>
                                    <w:rPr/>
                                  </w:pPr>
                                  <w:r>
                                    <w:rPr>
                                      <w:rFonts w:ascii="Arial" w:hAnsi="Arial"/>
                                      <w:color w:val="1A2343"/>
                                      <w:sz w:val="36"/>
                                    </w:rPr>
                                    <w:t>100%</w:t>
                                    <w:br/>
                                  </w:r>
                                  <w:r>
                                    <w:rPr>
                                      <w:rFonts w:ascii="Arial" w:hAnsi="Arial"/>
                                      <w:b/>
                                      <w:sz w:val="20"/>
                                    </w:rPr>
                                    <w:t>$4,992,756</w:t>
                                  </w:r>
                                </w:p>
                              </w:tc>
                              <w:tc>
                                <w:tcPr>
                                  <w:tcW w:w="8245" w:type="dxa"/>
                                  <w:gridSpan w:val="4"/>
                                  <w:tcBorders>
                                    <w:bottom w:val="single" w:sz="12" w:space="0" w:color="1A2343"/>
                                  </w:tcBorders>
                                  <w:shd w:fill="auto" w:val="clear"/>
                                  <w:vAlign w:val="center"/>
                                </w:tcPr>
                                <w:p>
                                  <w:pPr>
                                    <w:pStyle w:val="TableContents"/>
                                    <w:spacing w:before="0" w:after="0"/>
                                    <w:jc w:val="left"/>
                                    <w:rPr>
                                      <w:rFonts w:ascii="Arial" w:hAnsi="Arial"/>
                                      <w:sz w:val="15"/>
                                    </w:rPr>
                                  </w:pPr>
                                  <w:r>
                                    <w:rPr>
                                      <w:rFonts w:ascii="Arial" w:hAnsi="Arial"/>
                                      <w:sz w:val="15"/>
                                    </w:rPr>
                                    <w:t>Both totals include $12,200 of “Other Compensation,” as reflected in the Summary Compensation Table.</w:t>
                                  </w:r>
                                </w:p>
                              </w:tc>
                            </w:tr>
                          </w:tbl>
                          <w:p>
                            <w:pPr>
                              <w:pStyle w:val="TextBody"/>
                              <w:spacing w:before="0" w:after="283"/>
                              <w:rPr/>
                            </w:pPr>
                            <w:r>
                              <w:rPr/>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476.95pt;mso-wrap-distance-left:0pt;mso-wrap-distance-right:0pt;mso-wrap-distance-top:0pt;mso-wrap-distance-bottom:0pt;margin-top:0pt;mso-position-vertical:top;mso-position-vertical-relative:text;margin-left:148pt;mso-position-horizontal:right;mso-position-horizontal-relative:text">
                <v:textbox>
                  <w:txbxContent>
                    <w:p>
                      <w:pPr>
                        <w:pStyle w:val="TextBody"/>
                        <w:jc w:val="left"/>
                        <w:rPr/>
                      </w:pPr>
                      <w:r>
                        <w:rPr>
                          <w:rFonts w:ascii="Arial" w:hAnsi="Arial"/>
                          <w:b/>
                          <w:color w:val="8EAD3C"/>
                          <w:sz w:val="22"/>
                        </w:rPr>
                        <w:t>2022 Performance and Compensation –</w:t>
                      </w:r>
                      <w:r>
                        <w:rPr>
                          <w:rFonts w:ascii="Arial" w:hAnsi="Arial"/>
                          <w:color w:val="8EAD3C"/>
                          <w:sz w:val="22"/>
                        </w:rPr>
                        <w:br/>
                      </w:r>
                      <w:r>
                        <w:rPr>
                          <w:rFonts w:ascii="Arial" w:hAnsi="Arial"/>
                          <w:b/>
                          <w:color w:val="8EAD3C"/>
                          <w:sz w:val="22"/>
                        </w:rPr>
                        <w:t>Projected Realizable Compensation vs. Total Direct Compensation</w:t>
                      </w:r>
                    </w:p>
                    <w:tbl>
                      <w:tblPr>
                        <w:tblW w:w="10205" w:type="dxa"/>
                        <w:jc w:val="left"/>
                        <w:tblInd w:w="0" w:type="dxa"/>
                        <w:tblCellMar>
                          <w:top w:w="0" w:type="dxa"/>
                          <w:left w:w="0" w:type="dxa"/>
                          <w:bottom w:w="40" w:type="dxa"/>
                          <w:right w:w="0" w:type="dxa"/>
                        </w:tblCellMar>
                      </w:tblPr>
                      <w:tblGrid>
                        <w:gridCol w:w="980"/>
                        <w:gridCol w:w="980"/>
                        <w:gridCol w:w="2002"/>
                        <w:gridCol w:w="1325"/>
                        <w:gridCol w:w="1875"/>
                        <w:gridCol w:w="3043"/>
                      </w:tblGrid>
                      <w:tr>
                        <w:trPr/>
                        <w:tc>
                          <w:tcPr>
                            <w:tcW w:w="980" w:type="dxa"/>
                            <w:tcBorders>
                              <w:bottom w:val="single" w:sz="12" w:space="0" w:color="1A2343"/>
                            </w:tcBorders>
                            <w:shd w:fill="F3F6EA" w:val="clear"/>
                            <w:vAlign w:val="center"/>
                          </w:tcPr>
                          <w:p>
                            <w:pPr>
                              <w:pStyle w:val="TableContents"/>
                              <w:spacing w:before="0" w:after="283"/>
                              <w:jc w:val="left"/>
                              <w:rPr>
                                <w:rFonts w:ascii="Arial" w:hAnsi="Arial"/>
                                <w:color w:val="1A2343"/>
                                <w:sz w:val="15"/>
                              </w:rPr>
                            </w:pPr>
                            <w:r>
                              <w:rPr>
                                <w:rFonts w:ascii="Arial" w:hAnsi="Arial"/>
                                <w:color w:val="1A2343"/>
                                <w:sz w:val="15"/>
                              </w:rPr>
                              <w:t>PRC</w:t>
                            </w:r>
                          </w:p>
                        </w:tc>
                        <w:tc>
                          <w:tcPr>
                            <w:tcW w:w="98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TDC</w:t>
                            </w:r>
                          </w:p>
                        </w:tc>
                        <w:tc>
                          <w:tcPr>
                            <w:tcW w:w="8245" w:type="dxa"/>
                            <w:gridSpan w:val="4"/>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Element of Compensation</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14%</w:t>
                              <w:br/>
                            </w:r>
                            <w:r>
                              <w:rPr>
                                <w:rFonts w:ascii="Arial" w:hAnsi="Arial"/>
                                <w:b/>
                                <w:sz w:val="20"/>
                              </w:rPr>
                              <w:t>$575,000</w:t>
                            </w:r>
                          </w:p>
                        </w:tc>
                        <w:tc>
                          <w:tcPr>
                            <w:tcW w:w="980"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12%</w:t>
                              <w:br/>
                            </w:r>
                            <w:r>
                              <w:rPr>
                                <w:rFonts w:ascii="Arial" w:hAnsi="Arial"/>
                                <w:b/>
                                <w:sz w:val="20"/>
                              </w:rPr>
                              <w:t>$575,000</w:t>
                            </w:r>
                          </w:p>
                        </w:tc>
                        <w:tc>
                          <w:tcPr>
                            <w:tcW w:w="8245" w:type="dxa"/>
                            <w:gridSpan w:val="4"/>
                            <w:tcBorders>
                              <w:bottom w:val="single" w:sz="8" w:space="0" w:color="5B5975"/>
                            </w:tcBorders>
                            <w:shd w:fill="auto" w:val="clear"/>
                            <w:vAlign w:val="center"/>
                          </w:tcPr>
                          <w:p>
                            <w:pPr>
                              <w:pStyle w:val="TableContents"/>
                              <w:spacing w:before="0" w:after="0"/>
                              <w:jc w:val="left"/>
                              <w:rPr/>
                            </w:pPr>
                            <w:r>
                              <w:rPr>
                                <w:rFonts w:ascii="Arial" w:hAnsi="Arial"/>
                                <w:b/>
                                <w:sz w:val="20"/>
                              </w:rPr>
                              <w:t>Annual Base Salary</w:t>
                            </w:r>
                            <w:r>
                              <w:rPr>
                                <w:rFonts w:ascii="Arial" w:hAnsi="Arial"/>
                                <w:sz w:val="20"/>
                              </w:rPr>
                              <w:br/>
                            </w:r>
                            <w:r>
                              <w:rPr>
                                <w:rFonts w:ascii="Arial" w:hAnsi="Arial"/>
                                <w:sz w:val="15"/>
                              </w:rPr>
                              <w:t>There has been no change to his base salary since 2021.</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35%</w:t>
                              <w:br/>
                            </w:r>
                            <w:r>
                              <w:rPr>
                                <w:rFonts w:ascii="Arial" w:hAnsi="Arial"/>
                                <w:b/>
                                <w:sz w:val="20"/>
                              </w:rPr>
                              <w:t>$1,408,842</w:t>
                            </w:r>
                          </w:p>
                        </w:tc>
                        <w:tc>
                          <w:tcPr>
                            <w:tcW w:w="980"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29%</w:t>
                              <w:br/>
                            </w:r>
                            <w:r>
                              <w:rPr>
                                <w:rFonts w:ascii="Arial" w:hAnsi="Arial"/>
                                <w:b/>
                                <w:sz w:val="20"/>
                              </w:rPr>
                              <w:t>$1,450,000</w:t>
                            </w:r>
                          </w:p>
                        </w:tc>
                        <w:tc>
                          <w:tcPr>
                            <w:tcW w:w="8245" w:type="dxa"/>
                            <w:gridSpan w:val="4"/>
                            <w:tcBorders>
                              <w:bottom w:val="single" w:sz="8" w:space="0" w:color="5B5975"/>
                            </w:tcBorders>
                            <w:shd w:fill="auto" w:val="clear"/>
                            <w:vAlign w:val="center"/>
                          </w:tcPr>
                          <w:p>
                            <w:pPr>
                              <w:pStyle w:val="TableContents"/>
                              <w:spacing w:before="0" w:after="120"/>
                              <w:jc w:val="left"/>
                              <w:rPr/>
                            </w:pPr>
                            <w:r>
                              <w:rPr>
                                <w:rFonts w:ascii="Arial" w:hAnsi="Arial"/>
                                <w:b/>
                                <w:sz w:val="15"/>
                              </w:rPr>
                              <w:t>Annual Cash Incentive Bonus</w:t>
                            </w:r>
                            <w:r>
                              <w:rPr>
                                <w:rFonts w:ascii="Arial" w:hAnsi="Arial"/>
                                <w:sz w:val="15"/>
                              </w:rPr>
                              <w:br/>
                              <w:t>Bonus, while not formulaic, was determined on the basis of to the objective criteria used for our formulaic cash bonus program and the achievements of the Company during 2022 and an assessment of Mr. DiLiberto’s performance in areas under his responsibilities. In response to stockholder feedback, 60% of Mr. DiLiberto’s 2023 bonus will be determined formulaically.</w:t>
                            </w:r>
                          </w:p>
                          <w:p>
                            <w:pPr>
                              <w:pStyle w:val="TableContents"/>
                              <w:spacing w:before="0" w:after="0"/>
                              <w:jc w:val="left"/>
                              <w:rPr/>
                            </w:pPr>
                            <w:r>
                              <w:rPr>
                                <w:rFonts w:ascii="Arial" w:hAnsi="Arial"/>
                                <w:sz w:val="15"/>
                              </w:rPr>
                              <w:t xml:space="preserve">Mr. DiLiberto received </w:t>
                            </w:r>
                            <w:r>
                              <w:rPr>
                                <w:rFonts w:ascii="Arial" w:hAnsi="Arial"/>
                                <w:b/>
                                <w:sz w:val="15"/>
                              </w:rPr>
                              <w:t>50%</w:t>
                            </w:r>
                            <w:r>
                              <w:rPr>
                                <w:rFonts w:ascii="Arial" w:hAnsi="Arial"/>
                                <w:sz w:val="15"/>
                              </w:rPr>
                              <w:t xml:space="preserve"> of the bonus in the form of equity. The corresponding </w:t>
                            </w:r>
                            <w:r>
                              <w:rPr>
                                <w:rFonts w:ascii="Arial" w:hAnsi="Arial"/>
                                <w:b/>
                                <w:sz w:val="15"/>
                              </w:rPr>
                              <w:t>20,280</w:t>
                            </w:r>
                            <w:r>
                              <w:rPr>
                                <w:rFonts w:ascii="Arial" w:hAnsi="Arial"/>
                                <w:sz w:val="15"/>
                              </w:rPr>
                              <w:t xml:space="preserve"> LTIP units granted in </w:t>
                            </w:r>
                            <w:r>
                              <w:rPr>
                                <w:rFonts w:ascii="Arial" w:hAnsi="Arial"/>
                                <w:b/>
                                <w:sz w:val="15"/>
                              </w:rPr>
                              <w:t>January 2023</w:t>
                            </w:r>
                            <w:r>
                              <w:rPr>
                                <w:rFonts w:ascii="Arial" w:hAnsi="Arial"/>
                                <w:sz w:val="15"/>
                              </w:rPr>
                              <w:t xml:space="preserve"> were fully vested upon grant, but remain subject to a three-year no-sell restriction. The difference between the PRC and TDC amounts relates to the valuation of these LTIP units as of December 31, 2022, compared to the date on which the bonus was determined.</w:t>
                            </w:r>
                          </w:p>
                        </w:tc>
                      </w:tr>
                      <w:tr>
                        <w:trPr/>
                        <w:tc>
                          <w:tcPr>
                            <w:tcW w:w="980" w:type="dxa"/>
                            <w:tcBorders/>
                            <w:shd w:fill="F3F6EA" w:val="clear"/>
                            <w:tcMar>
                              <w:bottom w:w="0" w:type="dxa"/>
                            </w:tcMar>
                            <w:vAlign w:val="center"/>
                          </w:tcPr>
                          <w:p>
                            <w:pPr>
                              <w:pStyle w:val="TableContents"/>
                              <w:spacing w:before="0" w:after="0"/>
                              <w:jc w:val="left"/>
                              <w:rPr/>
                            </w:pPr>
                            <w:r>
                              <w:rPr>
                                <w:rFonts w:ascii="Arial" w:hAnsi="Arial"/>
                                <w:color w:val="1A2343"/>
                                <w:sz w:val="36"/>
                              </w:rPr>
                              <w:t>4%</w:t>
                              <w:br/>
                            </w:r>
                            <w:r>
                              <w:rPr>
                                <w:rFonts w:ascii="Arial" w:hAnsi="Arial"/>
                                <w:b/>
                                <w:sz w:val="20"/>
                              </w:rPr>
                              <w:t>$156,899</w:t>
                            </w:r>
                          </w:p>
                        </w:tc>
                        <w:tc>
                          <w:tcPr>
                            <w:tcW w:w="980" w:type="dxa"/>
                            <w:tcBorders/>
                            <w:shd w:fill="auto" w:val="clear"/>
                            <w:tcMar>
                              <w:bottom w:w="0" w:type="dxa"/>
                            </w:tcMar>
                            <w:vAlign w:val="center"/>
                          </w:tcPr>
                          <w:p>
                            <w:pPr>
                              <w:pStyle w:val="TableContents"/>
                              <w:spacing w:before="0" w:after="0"/>
                              <w:jc w:val="left"/>
                              <w:rPr/>
                            </w:pPr>
                            <w:r>
                              <w:rPr>
                                <w:rFonts w:ascii="Arial" w:hAnsi="Arial"/>
                                <w:color w:val="1A2343"/>
                                <w:sz w:val="36"/>
                              </w:rPr>
                              <w:t>11%</w:t>
                              <w:br/>
                            </w:r>
                            <w:r>
                              <w:rPr>
                                <w:rFonts w:ascii="Arial" w:hAnsi="Arial"/>
                                <w:b/>
                                <w:sz w:val="20"/>
                              </w:rPr>
                              <w:t>$555,556</w:t>
                            </w:r>
                          </w:p>
                        </w:tc>
                        <w:tc>
                          <w:tcPr>
                            <w:tcW w:w="8245" w:type="dxa"/>
                            <w:gridSpan w:val="4"/>
                            <w:tcBorders/>
                            <w:shd w:fill="auto" w:val="clear"/>
                            <w:tcMar>
                              <w:bottom w:w="0" w:type="dxa"/>
                            </w:tcMar>
                            <w:vAlign w:val="center"/>
                          </w:tcPr>
                          <w:p>
                            <w:pPr>
                              <w:pStyle w:val="TableContents"/>
                              <w:spacing w:before="0" w:after="120"/>
                              <w:jc w:val="left"/>
                              <w:rPr/>
                            </w:pPr>
                            <w:r>
                              <w:rPr>
                                <w:rFonts w:ascii="Arial" w:hAnsi="Arial"/>
                                <w:b/>
                                <w:sz w:val="20"/>
                              </w:rPr>
                              <w:t>Performance-Based Equity Awards</w:t>
                            </w:r>
                            <w:r>
                              <w:rPr>
                                <w:rFonts w:ascii="Arial" w:hAnsi="Arial"/>
                                <w:sz w:val="20"/>
                              </w:rPr>
                              <w:br/>
                            </w:r>
                            <w:r>
                              <w:rPr>
                                <w:rFonts w:ascii="Arial" w:hAnsi="Arial"/>
                                <w:sz w:val="15"/>
                              </w:rPr>
                              <w:t xml:space="preserve">The PRC amount reflects the value of the award based on projected performance as of December 31, 2022 and our stock price on such date. The TDC amount reflects the target notional value of </w:t>
                            </w:r>
                            <w:r>
                              <w:rPr>
                                <w:rFonts w:ascii="Arial" w:hAnsi="Arial"/>
                                <w:b/>
                                <w:sz w:val="15"/>
                              </w:rPr>
                              <w:t>$555,556</w:t>
                            </w:r>
                            <w:r>
                              <w:rPr>
                                <w:rFonts w:ascii="Arial" w:hAnsi="Arial"/>
                                <w:sz w:val="15"/>
                              </w:rPr>
                              <w:t xml:space="preserve">. </w:t>
                            </w:r>
                            <w:r>
                              <w:rPr>
                                <w:rFonts w:ascii="Arial" w:hAnsi="Arial"/>
                                <w:b/>
                                <w:sz w:val="15"/>
                              </w:rPr>
                              <w:t>The difference between the PRC and TDC amounts is the value of these LTIP units as of December 31, 2022 compared to the grant amount</w:t>
                            </w:r>
                            <w:r>
                              <w:rPr>
                                <w:rFonts w:ascii="Arial" w:hAnsi="Arial"/>
                                <w:sz w:val="15"/>
                              </w:rPr>
                              <w:t>.</w:t>
                            </w:r>
                          </w:p>
                          <w:p>
                            <w:pPr>
                              <w:pStyle w:val="TableContents"/>
                              <w:spacing w:before="0" w:after="0"/>
                              <w:jc w:val="left"/>
                              <w:rPr>
                                <w:rFonts w:ascii="Arial" w:hAnsi="Arial"/>
                                <w:sz w:val="15"/>
                              </w:rPr>
                            </w:pPr>
                            <w:r>
                              <w:rPr>
                                <w:rFonts w:ascii="Arial" w:hAnsi="Arial"/>
                                <w:sz w:val="15"/>
                              </w:rPr>
                              <w:t>The award relates to the following LTIP units:</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8245" w:type="dxa"/>
                            <w:gridSpan w:val="4"/>
                            <w:tcBorders>
                              <w:top w:val="single" w:sz="16" w:space="0" w:color="1A2343"/>
                              <w:bottom w:val="single" w:sz="16" w:space="0" w:color="1A2343"/>
                            </w:tcBorders>
                            <w:shd w:fill="auto" w:val="clear"/>
                            <w:tcMar>
                              <w:top w:w="40" w:type="dxa"/>
                            </w:tcMar>
                            <w:vAlign w:val="center"/>
                          </w:tcPr>
                          <w:p>
                            <w:pPr>
                              <w:pStyle w:val="TableContents"/>
                              <w:spacing w:before="0" w:after="0"/>
                              <w:jc w:val="center"/>
                              <w:rPr>
                                <w:rFonts w:ascii="Arial" w:hAnsi="Arial"/>
                                <w:color w:val="1A2343"/>
                                <w:sz w:val="15"/>
                              </w:rPr>
                            </w:pPr>
                            <w:r>
                              <w:rPr>
                                <w:rFonts w:ascii="Arial" w:hAnsi="Arial"/>
                                <w:color w:val="1A2343"/>
                                <w:sz w:val="15"/>
                              </w:rPr>
                              <w:t>2022 Performance-Based Award –</w:t>
                              <w:br/>
                              <w:t>Number of LTIP Units Granted</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2002"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Threshold</w:t>
                            </w:r>
                          </w:p>
                        </w:tc>
                        <w:tc>
                          <w:tcPr>
                            <w:tcW w:w="1325"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Target</w:t>
                            </w:r>
                          </w:p>
                        </w:tc>
                        <w:tc>
                          <w:tcPr>
                            <w:tcW w:w="1875"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Maximum</w:t>
                            </w:r>
                          </w:p>
                        </w:tc>
                        <w:tc>
                          <w:tcPr>
                            <w:tcW w:w="3043"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Projected Earned</w:t>
                              <w:br/>
                              <w:t>as of 12/31/2022</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2002"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3,529</w:t>
                            </w:r>
                          </w:p>
                        </w:tc>
                        <w:tc>
                          <w:tcPr>
                            <w:tcW w:w="1325"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7,528</w:t>
                            </w:r>
                          </w:p>
                        </w:tc>
                        <w:tc>
                          <w:tcPr>
                            <w:tcW w:w="1875"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16,939</w:t>
                            </w:r>
                          </w:p>
                        </w:tc>
                        <w:tc>
                          <w:tcPr>
                            <w:tcW w:w="3043"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4,653</w:t>
                            </w:r>
                          </w:p>
                        </w:tc>
                      </w:tr>
                      <w:tr>
                        <w:trPr/>
                        <w:tc>
                          <w:tcPr>
                            <w:tcW w:w="980" w:type="dxa"/>
                            <w:tcBorders>
                              <w:bottom w:val="single" w:sz="8" w:space="0" w:color="5B5975"/>
                            </w:tcBorders>
                            <w:shd w:fill="F3F6EA"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8245" w:type="dxa"/>
                            <w:gridSpan w:val="4"/>
                            <w:tcBorders>
                              <w:bottom w:val="single" w:sz="8" w:space="0" w:color="5B5975"/>
                            </w:tcBorders>
                            <w:shd w:fill="auto" w:val="clear"/>
                            <w:vAlign w:val="center"/>
                          </w:tcPr>
                          <w:p>
                            <w:pPr>
                              <w:pStyle w:val="TableContents"/>
                              <w:spacing w:before="0" w:after="0"/>
                              <w:jc w:val="left"/>
                              <w:rPr>
                                <w:rFonts w:ascii="Arial" w:hAnsi="Arial"/>
                                <w:sz w:val="15"/>
                              </w:rPr>
                            </w:pPr>
                            <w:r>
                              <w:rPr>
                                <w:rFonts w:ascii="Arial" w:hAnsi="Arial"/>
                                <w:sz w:val="15"/>
                              </w:rPr>
                              <w:t>The actual number of LTIP units earned will be determined based on Company performance measured after the end of the full performance period ending December 31, 2024, based on our absolute and relative TSR, with earned LTIP units vesting 50% as of December 31, 2024 and 50% as of December 31, 2025.</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47%</w:t>
                              <w:br/>
                            </w:r>
                            <w:r>
                              <w:rPr>
                                <w:rFonts w:ascii="Arial" w:hAnsi="Arial"/>
                                <w:b/>
                                <w:sz w:val="20"/>
                              </w:rPr>
                              <w:t>$1,893,783</w:t>
                            </w:r>
                          </w:p>
                        </w:tc>
                        <w:tc>
                          <w:tcPr>
                            <w:tcW w:w="980"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48%</w:t>
                              <w:br/>
                            </w:r>
                            <w:r>
                              <w:rPr>
                                <w:rFonts w:ascii="Arial" w:hAnsi="Arial"/>
                                <w:b/>
                                <w:sz w:val="20"/>
                              </w:rPr>
                              <w:t>$2,400,000</w:t>
                            </w:r>
                          </w:p>
                        </w:tc>
                        <w:tc>
                          <w:tcPr>
                            <w:tcW w:w="8245" w:type="dxa"/>
                            <w:gridSpan w:val="4"/>
                            <w:tcBorders>
                              <w:bottom w:val="single" w:sz="8" w:space="0" w:color="5B5975"/>
                            </w:tcBorders>
                            <w:shd w:fill="auto" w:val="clear"/>
                            <w:vAlign w:val="center"/>
                          </w:tcPr>
                          <w:p>
                            <w:pPr>
                              <w:pStyle w:val="TableContents"/>
                              <w:spacing w:before="0" w:after="120"/>
                              <w:jc w:val="left"/>
                              <w:rPr/>
                            </w:pPr>
                            <w:r>
                              <w:rPr>
                                <w:rFonts w:ascii="Arial" w:hAnsi="Arial"/>
                                <w:b/>
                                <w:sz w:val="20"/>
                              </w:rPr>
                              <w:t>Time-Based Equity Awards</w:t>
                            </w:r>
                            <w:r>
                              <w:rPr>
                                <w:rFonts w:ascii="Arial" w:hAnsi="Arial"/>
                                <w:sz w:val="20"/>
                              </w:rPr>
                              <w:br/>
                            </w:r>
                            <w:r>
                              <w:rPr>
                                <w:rFonts w:ascii="Arial" w:hAnsi="Arial"/>
                                <w:sz w:val="15"/>
                              </w:rPr>
                              <w:t xml:space="preserve">The Committee granted time-based awards in March 2023 upon the extension of Mr. DiLiberto’s employment agreement. The awards had a target value of </w:t>
                            </w:r>
                            <w:r>
                              <w:rPr>
                                <w:rFonts w:ascii="Arial" w:hAnsi="Arial"/>
                                <w:b/>
                                <w:sz w:val="15"/>
                              </w:rPr>
                              <w:t>$1,400,000</w:t>
                            </w:r>
                            <w:r>
                              <w:rPr>
                                <w:rFonts w:ascii="Arial" w:hAnsi="Arial"/>
                                <w:sz w:val="15"/>
                              </w:rPr>
                              <w:t xml:space="preserve">, equal to the minimum in Mr. DiLiberto’s employment agreement. The corresponding </w:t>
                            </w:r>
                            <w:r>
                              <w:rPr>
                                <w:rFonts w:ascii="Arial" w:hAnsi="Arial"/>
                                <w:b/>
                                <w:sz w:val="15"/>
                              </w:rPr>
                              <w:t>42,422</w:t>
                            </w:r>
                            <w:r>
                              <w:rPr>
                                <w:rFonts w:ascii="Arial" w:hAnsi="Arial"/>
                                <w:sz w:val="15"/>
                              </w:rPr>
                              <w:t xml:space="preserve"> LTIP units will vest in three equal installments on January 1, 2024, 2025 and 2026.</w:t>
                            </w:r>
                          </w:p>
                          <w:p>
                            <w:pPr>
                              <w:pStyle w:val="TableContents"/>
                              <w:spacing w:before="0" w:after="0"/>
                              <w:jc w:val="left"/>
                              <w:rPr/>
                            </w:pPr>
                            <w:r>
                              <w:rPr>
                                <w:rFonts w:ascii="Arial" w:hAnsi="Arial"/>
                                <w:sz w:val="15"/>
                              </w:rPr>
                              <w:t xml:space="preserve">In line with the rest of the executive team (other than our CEO and our President), the Committee also awarded a one-time grant of </w:t>
                            </w:r>
                            <w:r>
                              <w:rPr>
                                <w:rFonts w:ascii="Arial" w:hAnsi="Arial"/>
                                <w:b/>
                                <w:sz w:val="15"/>
                              </w:rPr>
                              <w:t>13,740</w:t>
                            </w:r>
                            <w:r>
                              <w:rPr>
                                <w:rFonts w:ascii="Arial" w:hAnsi="Arial"/>
                                <w:sz w:val="15"/>
                              </w:rPr>
                              <w:t xml:space="preserve"> LTIP units in connection with our One Madison development project. These LTIP units vested or will vest on each of December 31, 2022, 2023 and 2024. </w:t>
                            </w:r>
                            <w:r>
                              <w:rPr>
                                <w:rFonts w:ascii="Arial" w:hAnsi="Arial"/>
                                <w:b/>
                                <w:sz w:val="15"/>
                              </w:rPr>
                              <w:t>The difference between the PRC and TDC amounts is the value of these LTIP units as of December 31, 2022 compared to the grant amounts</w:t>
                            </w:r>
                            <w:r>
                              <w:rPr>
                                <w:rFonts w:ascii="Arial" w:hAnsi="Arial"/>
                                <w:sz w:val="15"/>
                              </w:rPr>
                              <w:t>.</w:t>
                            </w:r>
                          </w:p>
                        </w:tc>
                      </w:tr>
                      <w:tr>
                        <w:trPr/>
                        <w:tc>
                          <w:tcPr>
                            <w:tcW w:w="980" w:type="dxa"/>
                            <w:tcBorders>
                              <w:bottom w:val="single" w:sz="12" w:space="0" w:color="1A2343"/>
                            </w:tcBorders>
                            <w:shd w:fill="F3F6EA" w:val="clear"/>
                            <w:vAlign w:val="center"/>
                          </w:tcPr>
                          <w:p>
                            <w:pPr>
                              <w:pStyle w:val="TableContents"/>
                              <w:spacing w:before="0" w:after="0"/>
                              <w:jc w:val="left"/>
                              <w:rPr/>
                            </w:pPr>
                            <w:r>
                              <w:rPr>
                                <w:rFonts w:ascii="Arial" w:hAnsi="Arial"/>
                                <w:color w:val="1A2343"/>
                                <w:sz w:val="36"/>
                              </w:rPr>
                              <w:t>100%</w:t>
                              <w:br/>
                            </w:r>
                            <w:r>
                              <w:rPr>
                                <w:rFonts w:ascii="Arial" w:hAnsi="Arial"/>
                                <w:b/>
                                <w:sz w:val="20"/>
                              </w:rPr>
                              <w:t>$4,046,724</w:t>
                            </w:r>
                          </w:p>
                        </w:tc>
                        <w:tc>
                          <w:tcPr>
                            <w:tcW w:w="980" w:type="dxa"/>
                            <w:tcBorders>
                              <w:bottom w:val="single" w:sz="12" w:space="0" w:color="1A2343"/>
                            </w:tcBorders>
                            <w:shd w:fill="auto" w:val="clear"/>
                            <w:vAlign w:val="center"/>
                          </w:tcPr>
                          <w:p>
                            <w:pPr>
                              <w:pStyle w:val="TableContents"/>
                              <w:spacing w:before="0" w:after="0"/>
                              <w:jc w:val="left"/>
                              <w:rPr/>
                            </w:pPr>
                            <w:r>
                              <w:rPr>
                                <w:rFonts w:ascii="Arial" w:hAnsi="Arial"/>
                                <w:color w:val="1A2343"/>
                                <w:sz w:val="36"/>
                              </w:rPr>
                              <w:t>100%</w:t>
                              <w:br/>
                            </w:r>
                            <w:r>
                              <w:rPr>
                                <w:rFonts w:ascii="Arial" w:hAnsi="Arial"/>
                                <w:b/>
                                <w:sz w:val="20"/>
                              </w:rPr>
                              <w:t>$4,992,756</w:t>
                            </w:r>
                          </w:p>
                        </w:tc>
                        <w:tc>
                          <w:tcPr>
                            <w:tcW w:w="8245" w:type="dxa"/>
                            <w:gridSpan w:val="4"/>
                            <w:tcBorders>
                              <w:bottom w:val="single" w:sz="12" w:space="0" w:color="1A2343"/>
                            </w:tcBorders>
                            <w:shd w:fill="auto" w:val="clear"/>
                            <w:vAlign w:val="center"/>
                          </w:tcPr>
                          <w:p>
                            <w:pPr>
                              <w:pStyle w:val="TableContents"/>
                              <w:spacing w:before="0" w:after="0"/>
                              <w:jc w:val="left"/>
                              <w:rPr>
                                <w:rFonts w:ascii="Arial" w:hAnsi="Arial"/>
                                <w:sz w:val="15"/>
                              </w:rPr>
                            </w:pPr>
                            <w:r>
                              <w:rPr>
                                <w:rFonts w:ascii="Arial" w:hAnsi="Arial"/>
                                <w:sz w:val="15"/>
                              </w:rPr>
                              <w:t>Both totals include $12,200 of “Other Compensation,” as reflected in the Summary Compensation Table.</w:t>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455" w:type="dxa"/>
        <w:jc w:val="left"/>
        <w:tblInd w:w="0" w:type="dxa"/>
        <w:tblCellMar>
          <w:top w:w="0" w:type="dxa"/>
          <w:left w:w="0" w:type="dxa"/>
          <w:bottom w:w="0" w:type="dxa"/>
          <w:right w:w="0" w:type="dxa"/>
        </w:tblCellMar>
      </w:tblPr>
      <w:tblGrid>
        <w:gridCol w:w="2165"/>
        <w:gridCol w:w="290"/>
      </w:tblGrid>
      <w:tr>
        <w:trPr/>
        <w:tc>
          <w:tcPr>
            <w:tcW w:w="2165" w:type="dxa"/>
            <w:tcBorders/>
            <w:shd w:fill="auto" w:val="clear"/>
            <w:vAlign w:val="center"/>
          </w:tcPr>
          <w:p>
            <w:pPr>
              <w:pStyle w:val="TableContents"/>
              <w:spacing w:before="0" w:after="283"/>
              <w:jc w:val="left"/>
              <w:rPr>
                <w:rFonts w:ascii="Arial" w:hAnsi="Arial"/>
                <w:b/>
                <w:sz w:val="15"/>
              </w:rPr>
            </w:pPr>
            <w:r>
              <w:rPr>
                <w:rFonts w:ascii="Arial" w:hAnsi="Arial"/>
                <w:b/>
                <w:sz w:val="15"/>
              </w:rPr>
              <w:t>EXECUTIVE COMPENSATION</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59</w:t>
            </w:r>
          </w:p>
        </w:tc>
      </w:tr>
    </w:tbl>
    <w:p>
      <w:pPr>
        <w:pStyle w:val="TextBody"/>
        <w:spacing w:before="0" w:after="0"/>
        <w:rPr/>
      </w:pPr>
      <w:r>
        <w:rPr/>
      </w:r>
    </w:p>
    <w:p>
      <w:pPr>
        <w:pStyle w:val="TextBody"/>
        <w:spacing w:before="0" w:after="0"/>
        <w:rPr/>
      </w:pPr>
      <w:r>
        <w:rPr/>
        <w:t>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1684655" cy="7345045"/>
                <wp:effectExtent l="0" t="0" r="0" b="0"/>
                <wp:wrapSquare wrapText="largest"/>
                <wp:docPr id="465" name="Frame45"/>
                <a:graphic xmlns:a="http://schemas.openxmlformats.org/drawingml/2006/main">
                  <a:graphicData uri="http://schemas.microsoft.com/office/word/2010/wordprocessingShape">
                    <wps:wsp>
                      <wps:cNvSpPr txBox="1"/>
                      <wps:spPr>
                        <a:xfrm>
                          <a:off x="0" y="0"/>
                          <a:ext cx="1684655" cy="7345045"/>
                        </a:xfrm>
                        <a:prstGeom prst="rect"/>
                      </wps:spPr>
                      <wps:txbx>
                        <w:txbxContent>
                          <w:tbl>
                            <w:tblPr>
                              <w:tblW w:w="10205" w:type="dxa"/>
                              <w:jc w:val="left"/>
                              <w:tblInd w:w="0" w:type="dxa"/>
                              <w:tblCellMar>
                                <w:top w:w="0" w:type="dxa"/>
                                <w:left w:w="0" w:type="dxa"/>
                                <w:bottom w:w="0" w:type="dxa"/>
                                <w:right w:w="0" w:type="dxa"/>
                              </w:tblCellMar>
                            </w:tblPr>
                            <w:tblGrid>
                              <w:gridCol w:w="180"/>
                              <w:gridCol w:w="9845"/>
                              <w:gridCol w:w="180"/>
                            </w:tblGrid>
                            <w:tr>
                              <w:trPr/>
                              <w:tc>
                                <w:tcPr>
                                  <w:tcW w:w="180" w:type="dxa"/>
                                  <w:tcBorders/>
                                  <w:shd w:fill="auto" w:val="clear"/>
                                  <w:vAlign w:val="center"/>
                                </w:tcPr>
                                <w:p>
                                  <w:pPr>
                                    <w:pStyle w:val="TableContents"/>
                                    <w:spacing w:before="0" w:after="283"/>
                                    <w:jc w:val="left"/>
                                    <w:rPr>
                                      <w:color w:val="FFFFFF"/>
                                    </w:rPr>
                                  </w:pPr>
                                  <w:r>
                                    <w:rPr>
                                      <w:color w:val="FFFFFF"/>
                                    </w:rPr>
                                    <w:t>   </w:t>
                                  </w:r>
                                </w:p>
                              </w:tc>
                              <w:tc>
                                <w:tcPr>
                                  <w:tcW w:w="9845" w:type="dxa"/>
                                  <w:tcBorders>
                                    <w:top w:val="single" w:sz="32" w:space="0" w:color="8EAD3C"/>
                                    <w:left w:val="single" w:sz="32" w:space="0" w:color="8EAD3C"/>
                                  </w:tcBorders>
                                  <w:shd w:fill="auto" w:val="clear"/>
                                  <w:tcMar>
                                    <w:top w:w="28" w:type="dxa"/>
                                    <w:left w:w="28" w:type="dxa"/>
                                  </w:tcMar>
                                  <w:vAlign w:val="center"/>
                                </w:tcPr>
                                <w:p>
                                  <w:pPr>
                                    <w:pStyle w:val="TableContents"/>
                                    <w:spacing w:before="0" w:after="283"/>
                                    <w:rPr>
                                      <w:sz w:val="4"/>
                                      <w:szCs w:val="4"/>
                                    </w:rPr>
                                  </w:pPr>
                                  <w:r>
                                    <w:rPr>
                                      <w:sz w:val="4"/>
                                      <w:szCs w:val="4"/>
                                    </w:rPr>
                                  </w:r>
                                </w:p>
                              </w:tc>
                              <w:tc>
                                <w:tcPr>
                                  <w:tcW w:w="180" w:type="dxa"/>
                                  <w:tcBorders>
                                    <w:top w:val="single" w:sz="32" w:space="0" w:color="8EAD3C"/>
                                    <w:right w:val="single" w:sz="32" w:space="0" w:color="8EAD3C"/>
                                  </w:tcBorders>
                                  <w:shd w:fill="auto" w:val="clear"/>
                                  <w:tcMar>
                                    <w:top w:w="28" w:type="dxa"/>
                                    <w:right w:w="28" w:type="dxa"/>
                                  </w:tcMar>
                                  <w:vAlign w:val="center"/>
                                </w:tcPr>
                                <w:p>
                                  <w:pPr>
                                    <w:pStyle w:val="TableContents"/>
                                    <w:spacing w:before="0" w:after="283"/>
                                    <w:jc w:val="left"/>
                                    <w:rPr>
                                      <w:color w:val="FFFFFF"/>
                                    </w:rPr>
                                  </w:pPr>
                                  <w:r>
                                    <w:rPr>
                                      <w:color w:val="FFFFFF"/>
                                    </w:rPr>
                                    <w:t>   </w:t>
                                  </w:r>
                                </w:p>
                              </w:tc>
                            </w:tr>
                            <w:tr>
                              <w:trPr/>
                              <w:tc>
                                <w:tcPr>
                                  <w:tcW w:w="180" w:type="dxa"/>
                                  <w:tcBorders/>
                                  <w:shd w:fill="1A2343" w:val="clear"/>
                                  <w:vAlign w:val="center"/>
                                </w:tcPr>
                                <w:p>
                                  <w:pPr>
                                    <w:pStyle w:val="TableContents"/>
                                    <w:spacing w:before="0" w:after="283"/>
                                    <w:rPr>
                                      <w:sz w:val="4"/>
                                      <w:szCs w:val="4"/>
                                    </w:rPr>
                                  </w:pPr>
                                  <w:r>
                                    <w:rPr>
                                      <w:sz w:val="4"/>
                                      <w:szCs w:val="4"/>
                                    </w:rPr>
                                  </w:r>
                                </w:p>
                              </w:tc>
                              <w:tc>
                                <w:tcPr>
                                  <w:tcW w:w="9845" w:type="dxa"/>
                                  <w:tcBorders/>
                                  <w:shd w:fill="1A2343" w:val="clear"/>
                                  <w:vAlign w:val="center"/>
                                </w:tcPr>
                                <w:p>
                                  <w:pPr>
                                    <w:pStyle w:val="TableContents"/>
                                    <w:spacing w:before="0" w:after="120"/>
                                    <w:jc w:val="left"/>
                                    <w:rPr>
                                      <w:rFonts w:ascii="Arial" w:hAnsi="Arial"/>
                                      <w:b/>
                                      <w:color w:val="FFFFFF"/>
                                      <w:sz w:val="24"/>
                                    </w:rPr>
                                  </w:pPr>
                                  <w:r>
                                    <w:rPr>
                                      <w:rFonts w:ascii="Arial" w:hAnsi="Arial"/>
                                      <w:b/>
                                      <w:color w:val="FFFFFF"/>
                                      <w:sz w:val="24"/>
                                    </w:rPr>
                                    <w:t>ANDREW S.</w:t>
                                    <w:br/>
                                    <w:t>LEVINE</w:t>
                                  </w:r>
                                </w:p>
                                <w:p>
                                  <w:pPr>
                                    <w:pStyle w:val="TableContents"/>
                                    <w:spacing w:before="0" w:after="120"/>
                                    <w:jc w:val="center"/>
                                    <w:rPr/>
                                  </w:pPr>
                                  <w:r>
                                    <w:rPr/>
                                    <w:drawing>
                                      <wp:inline distT="0" distB="0" distL="0" distR="0">
                                        <wp:extent cx="1085850" cy="4352925"/>
                                        <wp:effectExtent l="0" t="0" r="0" b="0"/>
                                        <wp:docPr id="466"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323" descr=""/>
                                                <pic:cNvPicPr>
                                                  <a:picLocks noChangeAspect="1" noChangeArrowheads="1"/>
                                                </pic:cNvPicPr>
                                              </pic:nvPicPr>
                                              <pic:blipFill>
                                                <a:blip r:embed="rId324"/>
                                                <a:srcRect l="-286" t="-231" r="-286" b="-231"/>
                                                <a:stretch>
                                                  <a:fillRect/>
                                                </a:stretch>
                                              </pic:blipFill>
                                              <pic:spPr bwMode="auto">
                                                <a:xfrm>
                                                  <a:off x="0" y="0"/>
                                                  <a:ext cx="1085850" cy="4352925"/>
                                                </a:xfrm>
                                                <a:prstGeom prst="rect">
                                                  <a:avLst/>
                                                </a:prstGeom>
                                                <a:ln w="635">
                                                  <a:solidFill>
                                                    <a:srgbClr val="000000"/>
                                                  </a:solidFill>
                                                </a:ln>
                                              </pic:spPr>
                                            </pic:pic>
                                          </a:graphicData>
                                        </a:graphic>
                                      </wp:inline>
                                    </w:drawing>
                                  </w:r>
                                </w:p>
                                <w:p>
                                  <w:pPr>
                                    <w:pStyle w:val="TableContents"/>
                                    <w:spacing w:before="0" w:after="120"/>
                                    <w:jc w:val="left"/>
                                    <w:rPr>
                                      <w:rFonts w:ascii="Arial" w:hAnsi="Arial"/>
                                      <w:b/>
                                      <w:color w:val="FFFFFF"/>
                                      <w:sz w:val="20"/>
                                    </w:rPr>
                                  </w:pPr>
                                  <w:r>
                                    <w:rPr>
                                      <w:rFonts w:ascii="Arial" w:hAnsi="Arial"/>
                                      <w:b/>
                                      <w:color w:val="FFFFFF"/>
                                      <w:sz w:val="20"/>
                                    </w:rPr>
                                    <w:t>Chief Legal Officer and General Counsel</w:t>
                                  </w:r>
                                </w:p>
                                <w:p>
                                  <w:pPr>
                                    <w:pStyle w:val="TableContents"/>
                                    <w:spacing w:before="0" w:after="120"/>
                                    <w:jc w:val="left"/>
                                    <w:rPr>
                                      <w:rFonts w:ascii="Arial" w:hAnsi="Arial"/>
                                      <w:color w:val="FFFFFF"/>
                                      <w:sz w:val="20"/>
                                    </w:rPr>
                                  </w:pPr>
                                  <w:r>
                                    <w:rPr>
                                      <w:rFonts w:ascii="Arial" w:hAnsi="Arial"/>
                                      <w:color w:val="FFFFFF"/>
                                      <w:sz w:val="20"/>
                                    </w:rPr>
                                    <w:t>Mr. Levine’s 2022 compensation reflects the role he played in a wide range of the Company’s business and corporate initiatives, all of which contributed to our achievements during the year. While Mr. Levine continued to provide critical oversight of our legal department and key insight into our strategic decisions throughout the year, his realizable compensation was lower than the total direct compensation amount approved by the Committee demonstrating the linkage of his pay to stockholder value.</w:t>
                                  </w:r>
                                </w:p>
                                <w:p>
                                  <w:pPr>
                                    <w:pStyle w:val="TableContents"/>
                                    <w:spacing w:before="0" w:after="0"/>
                                    <w:jc w:val="left"/>
                                    <w:rPr>
                                      <w:rFonts w:ascii="Arial" w:hAnsi="Arial"/>
                                      <w:b/>
                                      <w:color w:val="FFFFFF"/>
                                      <w:sz w:val="20"/>
                                    </w:rPr>
                                  </w:pPr>
                                  <w:r>
                                    <w:rPr>
                                      <w:rFonts w:ascii="Arial" w:hAnsi="Arial"/>
                                      <w:b/>
                                      <w:color w:val="FFFFFF"/>
                                      <w:sz w:val="20"/>
                                    </w:rPr>
                                    <w:t>The Projected Realizable Compensation for Mr. Levine in 2022 is approximately 22% lower than the Total Direct Compensation approved by the Committee for 2022 and approximately 25% lower than the amount reported in the Summary Compensation Table.</w:t>
                                  </w:r>
                                </w:p>
                              </w:tc>
                              <w:tc>
                                <w:tcPr>
                                  <w:tcW w:w="180" w:type="dxa"/>
                                  <w:tcBorders>
                                    <w:right w:val="single" w:sz="32" w:space="0" w:color="8EAD3C"/>
                                  </w:tcBorders>
                                  <w:shd w:fill="auto" w:val="clear"/>
                                  <w:tcMar>
                                    <w:right w:w="28" w:type="dxa"/>
                                  </w:tcMar>
                                  <w:vAlign w:val="center"/>
                                </w:tcPr>
                                <w:p>
                                  <w:pPr>
                                    <w:pStyle w:val="TableContents"/>
                                    <w:spacing w:before="0" w:after="283"/>
                                    <w:rPr>
                                      <w:sz w:val="4"/>
                                      <w:szCs w:val="4"/>
                                    </w:rPr>
                                  </w:pPr>
                                  <w:r>
                                    <w:rPr>
                                      <w:sz w:val="4"/>
                                      <w:szCs w:val="4"/>
                                    </w:rPr>
                                  </w:r>
                                </w:p>
                              </w:tc>
                            </w:tr>
                            <w:tr>
                              <w:trPr/>
                              <w:tc>
                                <w:tcPr>
                                  <w:tcW w:w="180" w:type="dxa"/>
                                  <w:tcBorders/>
                                  <w:shd w:fill="auto" w:val="clear"/>
                                  <w:vAlign w:val="center"/>
                                </w:tcPr>
                                <w:p>
                                  <w:pPr>
                                    <w:pStyle w:val="TableContents"/>
                                    <w:spacing w:before="0" w:after="283"/>
                                    <w:rPr>
                                      <w:sz w:val="4"/>
                                      <w:szCs w:val="4"/>
                                    </w:rPr>
                                  </w:pPr>
                                  <w:r>
                                    <w:rPr>
                                      <w:sz w:val="4"/>
                                      <w:szCs w:val="4"/>
                                    </w:rPr>
                                  </w:r>
                                </w:p>
                              </w:tc>
                              <w:tc>
                                <w:tcPr>
                                  <w:tcW w:w="9845" w:type="dxa"/>
                                  <w:tcBorders>
                                    <w:left w:val="single" w:sz="32" w:space="0" w:color="8EAD3C"/>
                                    <w:bottom w:val="single" w:sz="32" w:space="0" w:color="8EAD3C"/>
                                  </w:tcBorders>
                                  <w:shd w:fill="auto" w:val="clear"/>
                                  <w:tcMar>
                                    <w:left w:w="28" w:type="dxa"/>
                                    <w:bottom w:w="28" w:type="dxa"/>
                                  </w:tcMar>
                                  <w:vAlign w:val="center"/>
                                </w:tcPr>
                                <w:p>
                                  <w:pPr>
                                    <w:pStyle w:val="TableContents"/>
                                    <w:spacing w:before="0" w:after="283"/>
                                    <w:jc w:val="left"/>
                                    <w:rPr>
                                      <w:color w:val="FFFFFF"/>
                                    </w:rPr>
                                  </w:pPr>
                                  <w:r>
                                    <w:rPr>
                                      <w:color w:val="FFFFFF"/>
                                    </w:rPr>
                                    <w:t>   </w:t>
                                  </w:r>
                                </w:p>
                              </w:tc>
                              <w:tc>
                                <w:tcPr>
                                  <w:tcW w:w="180" w:type="dxa"/>
                                  <w:tcBorders>
                                    <w:bottom w:val="single" w:sz="32" w:space="0" w:color="8EAD3C"/>
                                    <w:right w:val="single" w:sz="32" w:space="0" w:color="8EAD3C"/>
                                  </w:tcBorders>
                                  <w:shd w:fill="auto" w:val="clear"/>
                                  <w:tcMar>
                                    <w:bottom w:w="28" w:type="dxa"/>
                                    <w:right w:w="28"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26000</wp14:pctWidth>
                </wp14:sizeRelH>
              </wp:anchor>
            </w:drawing>
          </mc:Choice>
          <mc:Fallback>
            <w:pict>
              <v:rect style="position:absolute;rotation:0;width:132.65pt;height:578.3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CellMar>
                          <w:top w:w="0" w:type="dxa"/>
                          <w:left w:w="0" w:type="dxa"/>
                          <w:bottom w:w="0" w:type="dxa"/>
                          <w:right w:w="0" w:type="dxa"/>
                        </w:tblCellMar>
                      </w:tblPr>
                      <w:tblGrid>
                        <w:gridCol w:w="180"/>
                        <w:gridCol w:w="9845"/>
                        <w:gridCol w:w="180"/>
                      </w:tblGrid>
                      <w:tr>
                        <w:trPr/>
                        <w:tc>
                          <w:tcPr>
                            <w:tcW w:w="180" w:type="dxa"/>
                            <w:tcBorders/>
                            <w:shd w:fill="auto" w:val="clear"/>
                            <w:vAlign w:val="center"/>
                          </w:tcPr>
                          <w:p>
                            <w:pPr>
                              <w:pStyle w:val="TableContents"/>
                              <w:spacing w:before="0" w:after="283"/>
                              <w:jc w:val="left"/>
                              <w:rPr>
                                <w:color w:val="FFFFFF"/>
                              </w:rPr>
                            </w:pPr>
                            <w:r>
                              <w:rPr>
                                <w:color w:val="FFFFFF"/>
                              </w:rPr>
                              <w:t>   </w:t>
                            </w:r>
                          </w:p>
                        </w:tc>
                        <w:tc>
                          <w:tcPr>
                            <w:tcW w:w="9845" w:type="dxa"/>
                            <w:tcBorders>
                              <w:top w:val="single" w:sz="32" w:space="0" w:color="8EAD3C"/>
                              <w:left w:val="single" w:sz="32" w:space="0" w:color="8EAD3C"/>
                            </w:tcBorders>
                            <w:shd w:fill="auto" w:val="clear"/>
                            <w:tcMar>
                              <w:top w:w="28" w:type="dxa"/>
                              <w:left w:w="28" w:type="dxa"/>
                            </w:tcMar>
                            <w:vAlign w:val="center"/>
                          </w:tcPr>
                          <w:p>
                            <w:pPr>
                              <w:pStyle w:val="TableContents"/>
                              <w:spacing w:before="0" w:after="283"/>
                              <w:rPr>
                                <w:sz w:val="4"/>
                                <w:szCs w:val="4"/>
                              </w:rPr>
                            </w:pPr>
                            <w:r>
                              <w:rPr>
                                <w:sz w:val="4"/>
                                <w:szCs w:val="4"/>
                              </w:rPr>
                            </w:r>
                          </w:p>
                        </w:tc>
                        <w:tc>
                          <w:tcPr>
                            <w:tcW w:w="180" w:type="dxa"/>
                            <w:tcBorders>
                              <w:top w:val="single" w:sz="32" w:space="0" w:color="8EAD3C"/>
                              <w:right w:val="single" w:sz="32" w:space="0" w:color="8EAD3C"/>
                            </w:tcBorders>
                            <w:shd w:fill="auto" w:val="clear"/>
                            <w:tcMar>
                              <w:top w:w="28" w:type="dxa"/>
                              <w:right w:w="28" w:type="dxa"/>
                            </w:tcMar>
                            <w:vAlign w:val="center"/>
                          </w:tcPr>
                          <w:p>
                            <w:pPr>
                              <w:pStyle w:val="TableContents"/>
                              <w:spacing w:before="0" w:after="283"/>
                              <w:jc w:val="left"/>
                              <w:rPr>
                                <w:color w:val="FFFFFF"/>
                              </w:rPr>
                            </w:pPr>
                            <w:r>
                              <w:rPr>
                                <w:color w:val="FFFFFF"/>
                              </w:rPr>
                              <w:t>   </w:t>
                            </w:r>
                          </w:p>
                        </w:tc>
                      </w:tr>
                      <w:tr>
                        <w:trPr/>
                        <w:tc>
                          <w:tcPr>
                            <w:tcW w:w="180" w:type="dxa"/>
                            <w:tcBorders/>
                            <w:shd w:fill="1A2343" w:val="clear"/>
                            <w:vAlign w:val="center"/>
                          </w:tcPr>
                          <w:p>
                            <w:pPr>
                              <w:pStyle w:val="TableContents"/>
                              <w:spacing w:before="0" w:after="283"/>
                              <w:rPr>
                                <w:sz w:val="4"/>
                                <w:szCs w:val="4"/>
                              </w:rPr>
                            </w:pPr>
                            <w:r>
                              <w:rPr>
                                <w:sz w:val="4"/>
                                <w:szCs w:val="4"/>
                              </w:rPr>
                            </w:r>
                          </w:p>
                        </w:tc>
                        <w:tc>
                          <w:tcPr>
                            <w:tcW w:w="9845" w:type="dxa"/>
                            <w:tcBorders/>
                            <w:shd w:fill="1A2343" w:val="clear"/>
                            <w:vAlign w:val="center"/>
                          </w:tcPr>
                          <w:p>
                            <w:pPr>
                              <w:pStyle w:val="TableContents"/>
                              <w:spacing w:before="0" w:after="120"/>
                              <w:jc w:val="left"/>
                              <w:rPr>
                                <w:rFonts w:ascii="Arial" w:hAnsi="Arial"/>
                                <w:b/>
                                <w:color w:val="FFFFFF"/>
                                <w:sz w:val="24"/>
                              </w:rPr>
                            </w:pPr>
                            <w:r>
                              <w:rPr>
                                <w:rFonts w:ascii="Arial" w:hAnsi="Arial"/>
                                <w:b/>
                                <w:color w:val="FFFFFF"/>
                                <w:sz w:val="24"/>
                              </w:rPr>
                              <w:t>ANDREW S.</w:t>
                              <w:br/>
                              <w:t>LEVINE</w:t>
                            </w:r>
                          </w:p>
                          <w:p>
                            <w:pPr>
                              <w:pStyle w:val="TableContents"/>
                              <w:spacing w:before="0" w:after="120"/>
                              <w:jc w:val="center"/>
                              <w:rPr/>
                            </w:pPr>
                            <w:r>
                              <w:rPr/>
                              <w:drawing>
                                <wp:inline distT="0" distB="0" distL="0" distR="0">
                                  <wp:extent cx="1085850" cy="4352925"/>
                                  <wp:effectExtent l="0" t="0" r="0" b="0"/>
                                  <wp:docPr id="467"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323" descr=""/>
                                          <pic:cNvPicPr>
                                            <a:picLocks noChangeAspect="1" noChangeArrowheads="1"/>
                                          </pic:cNvPicPr>
                                        </pic:nvPicPr>
                                        <pic:blipFill>
                                          <a:blip r:embed="rId324"/>
                                          <a:srcRect l="-286" t="-231" r="-286" b="-231"/>
                                          <a:stretch>
                                            <a:fillRect/>
                                          </a:stretch>
                                        </pic:blipFill>
                                        <pic:spPr bwMode="auto">
                                          <a:xfrm>
                                            <a:off x="0" y="0"/>
                                            <a:ext cx="1085850" cy="4352925"/>
                                          </a:xfrm>
                                          <a:prstGeom prst="rect">
                                            <a:avLst/>
                                          </a:prstGeom>
                                          <a:ln w="635">
                                            <a:solidFill>
                                              <a:srgbClr val="000000"/>
                                            </a:solidFill>
                                          </a:ln>
                                        </pic:spPr>
                                      </pic:pic>
                                    </a:graphicData>
                                  </a:graphic>
                                </wp:inline>
                              </w:drawing>
                            </w:r>
                          </w:p>
                          <w:p>
                            <w:pPr>
                              <w:pStyle w:val="TableContents"/>
                              <w:spacing w:before="0" w:after="120"/>
                              <w:jc w:val="left"/>
                              <w:rPr>
                                <w:rFonts w:ascii="Arial" w:hAnsi="Arial"/>
                                <w:b/>
                                <w:color w:val="FFFFFF"/>
                                <w:sz w:val="20"/>
                              </w:rPr>
                            </w:pPr>
                            <w:r>
                              <w:rPr>
                                <w:rFonts w:ascii="Arial" w:hAnsi="Arial"/>
                                <w:b/>
                                <w:color w:val="FFFFFF"/>
                                <w:sz w:val="20"/>
                              </w:rPr>
                              <w:t>Chief Legal Officer and General Counsel</w:t>
                            </w:r>
                          </w:p>
                          <w:p>
                            <w:pPr>
                              <w:pStyle w:val="TableContents"/>
                              <w:spacing w:before="0" w:after="120"/>
                              <w:jc w:val="left"/>
                              <w:rPr>
                                <w:rFonts w:ascii="Arial" w:hAnsi="Arial"/>
                                <w:color w:val="FFFFFF"/>
                                <w:sz w:val="20"/>
                              </w:rPr>
                            </w:pPr>
                            <w:r>
                              <w:rPr>
                                <w:rFonts w:ascii="Arial" w:hAnsi="Arial"/>
                                <w:color w:val="FFFFFF"/>
                                <w:sz w:val="20"/>
                              </w:rPr>
                              <w:t>Mr. Levine’s 2022 compensation reflects the role he played in a wide range of the Company’s business and corporate initiatives, all of which contributed to our achievements during the year. While Mr. Levine continued to provide critical oversight of our legal department and key insight into our strategic decisions throughout the year, his realizable compensation was lower than the total direct compensation amount approved by the Committee demonstrating the linkage of his pay to stockholder value.</w:t>
                            </w:r>
                          </w:p>
                          <w:p>
                            <w:pPr>
                              <w:pStyle w:val="TableContents"/>
                              <w:spacing w:before="0" w:after="0"/>
                              <w:jc w:val="left"/>
                              <w:rPr>
                                <w:rFonts w:ascii="Arial" w:hAnsi="Arial"/>
                                <w:b/>
                                <w:color w:val="FFFFFF"/>
                                <w:sz w:val="20"/>
                              </w:rPr>
                            </w:pPr>
                            <w:r>
                              <w:rPr>
                                <w:rFonts w:ascii="Arial" w:hAnsi="Arial"/>
                                <w:b/>
                                <w:color w:val="FFFFFF"/>
                                <w:sz w:val="20"/>
                              </w:rPr>
                              <w:t>The Projected Realizable Compensation for Mr. Levine in 2022 is approximately 22% lower than the Total Direct Compensation approved by the Committee for 2022 and approximately 25% lower than the amount reported in the Summary Compensation Table.</w:t>
                            </w:r>
                          </w:p>
                        </w:tc>
                        <w:tc>
                          <w:tcPr>
                            <w:tcW w:w="180" w:type="dxa"/>
                            <w:tcBorders>
                              <w:right w:val="single" w:sz="32" w:space="0" w:color="8EAD3C"/>
                            </w:tcBorders>
                            <w:shd w:fill="auto" w:val="clear"/>
                            <w:tcMar>
                              <w:right w:w="28" w:type="dxa"/>
                            </w:tcMar>
                            <w:vAlign w:val="center"/>
                          </w:tcPr>
                          <w:p>
                            <w:pPr>
                              <w:pStyle w:val="TableContents"/>
                              <w:spacing w:before="0" w:after="283"/>
                              <w:rPr>
                                <w:sz w:val="4"/>
                                <w:szCs w:val="4"/>
                              </w:rPr>
                            </w:pPr>
                            <w:r>
                              <w:rPr>
                                <w:sz w:val="4"/>
                                <w:szCs w:val="4"/>
                              </w:rPr>
                            </w:r>
                          </w:p>
                        </w:tc>
                      </w:tr>
                      <w:tr>
                        <w:trPr/>
                        <w:tc>
                          <w:tcPr>
                            <w:tcW w:w="180" w:type="dxa"/>
                            <w:tcBorders/>
                            <w:shd w:fill="auto" w:val="clear"/>
                            <w:vAlign w:val="center"/>
                          </w:tcPr>
                          <w:p>
                            <w:pPr>
                              <w:pStyle w:val="TableContents"/>
                              <w:spacing w:before="0" w:after="283"/>
                              <w:rPr>
                                <w:sz w:val="4"/>
                                <w:szCs w:val="4"/>
                              </w:rPr>
                            </w:pPr>
                            <w:r>
                              <w:rPr>
                                <w:sz w:val="4"/>
                                <w:szCs w:val="4"/>
                              </w:rPr>
                            </w:r>
                          </w:p>
                        </w:tc>
                        <w:tc>
                          <w:tcPr>
                            <w:tcW w:w="9845" w:type="dxa"/>
                            <w:tcBorders>
                              <w:left w:val="single" w:sz="32" w:space="0" w:color="8EAD3C"/>
                              <w:bottom w:val="single" w:sz="32" w:space="0" w:color="8EAD3C"/>
                            </w:tcBorders>
                            <w:shd w:fill="auto" w:val="clear"/>
                            <w:tcMar>
                              <w:left w:w="28" w:type="dxa"/>
                              <w:bottom w:w="28" w:type="dxa"/>
                            </w:tcMar>
                            <w:vAlign w:val="center"/>
                          </w:tcPr>
                          <w:p>
                            <w:pPr>
                              <w:pStyle w:val="TableContents"/>
                              <w:spacing w:before="0" w:after="283"/>
                              <w:jc w:val="left"/>
                              <w:rPr>
                                <w:color w:val="FFFFFF"/>
                              </w:rPr>
                            </w:pPr>
                            <w:r>
                              <w:rPr>
                                <w:color w:val="FFFFFF"/>
                              </w:rPr>
                              <w:t>   </w:t>
                            </w:r>
                          </w:p>
                        </w:tc>
                        <w:tc>
                          <w:tcPr>
                            <w:tcW w:w="180" w:type="dxa"/>
                            <w:tcBorders>
                              <w:bottom w:val="single" w:sz="32" w:space="0" w:color="8EAD3C"/>
                              <w:right w:val="single" w:sz="32" w:space="0" w:color="8EAD3C"/>
                            </w:tcBorders>
                            <w:shd w:fill="auto" w:val="clear"/>
                            <w:tcMar>
                              <w:bottom w:w="28" w:type="dxa"/>
                              <w:right w:w="28"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99">
                <wp:simplePos x="0" y="0"/>
                <wp:positionH relativeFrom="column">
                  <wp:align>right</wp:align>
                </wp:positionH>
                <wp:positionV relativeFrom="line">
                  <wp:posOffset>635</wp:posOffset>
                </wp:positionV>
                <wp:extent cx="4600575" cy="5936615"/>
                <wp:effectExtent l="0" t="0" r="0" b="0"/>
                <wp:wrapSquare wrapText="largest"/>
                <wp:docPr id="468" name="Frame46"/>
                <a:graphic xmlns:a="http://schemas.openxmlformats.org/drawingml/2006/main">
                  <a:graphicData uri="http://schemas.microsoft.com/office/word/2010/wordprocessingShape">
                    <wps:wsp>
                      <wps:cNvSpPr txBox="1"/>
                      <wps:spPr>
                        <a:xfrm>
                          <a:off x="0" y="0"/>
                          <a:ext cx="4600575" cy="5936615"/>
                        </a:xfrm>
                        <a:prstGeom prst="rect"/>
                      </wps:spPr>
                      <wps:txbx>
                        <w:txbxContent>
                          <w:p>
                            <w:pPr>
                              <w:pStyle w:val="TextBody"/>
                              <w:jc w:val="left"/>
                              <w:rPr/>
                            </w:pPr>
                            <w:r>
                              <w:rPr>
                                <w:rFonts w:ascii="Arial" w:hAnsi="Arial"/>
                                <w:b/>
                                <w:color w:val="8EAD3C"/>
                                <w:sz w:val="22"/>
                              </w:rPr>
                              <w:t>2022 Performance and Compensation –</w:t>
                            </w:r>
                            <w:r>
                              <w:rPr>
                                <w:rFonts w:ascii="Arial" w:hAnsi="Arial"/>
                                <w:color w:val="8EAD3C"/>
                                <w:sz w:val="22"/>
                              </w:rPr>
                              <w:br/>
                            </w:r>
                            <w:r>
                              <w:rPr>
                                <w:rFonts w:ascii="Arial" w:hAnsi="Arial"/>
                                <w:b/>
                                <w:color w:val="8EAD3C"/>
                                <w:sz w:val="22"/>
                              </w:rPr>
                              <w:t>Projected Realizable Compensation vs. Total Direct Compensation</w:t>
                            </w:r>
                          </w:p>
                          <w:tbl>
                            <w:tblPr>
                              <w:tblW w:w="10205" w:type="dxa"/>
                              <w:jc w:val="left"/>
                              <w:tblInd w:w="0" w:type="dxa"/>
                              <w:tblCellMar>
                                <w:top w:w="0" w:type="dxa"/>
                                <w:left w:w="0" w:type="dxa"/>
                                <w:bottom w:w="40" w:type="dxa"/>
                                <w:right w:w="0" w:type="dxa"/>
                              </w:tblCellMar>
                            </w:tblPr>
                            <w:tblGrid>
                              <w:gridCol w:w="980"/>
                              <w:gridCol w:w="980"/>
                              <w:gridCol w:w="2003"/>
                              <w:gridCol w:w="1326"/>
                              <w:gridCol w:w="1876"/>
                              <w:gridCol w:w="3040"/>
                            </w:tblGrid>
                            <w:tr>
                              <w:trPr/>
                              <w:tc>
                                <w:tcPr>
                                  <w:tcW w:w="980" w:type="dxa"/>
                                  <w:tcBorders>
                                    <w:bottom w:val="single" w:sz="12" w:space="0" w:color="1A2343"/>
                                  </w:tcBorders>
                                  <w:shd w:fill="F3F6EA" w:val="clear"/>
                                  <w:vAlign w:val="center"/>
                                </w:tcPr>
                                <w:p>
                                  <w:pPr>
                                    <w:pStyle w:val="TableContents"/>
                                    <w:spacing w:before="0" w:after="283"/>
                                    <w:jc w:val="left"/>
                                    <w:rPr>
                                      <w:rFonts w:ascii="Arial" w:hAnsi="Arial"/>
                                      <w:color w:val="1A2343"/>
                                      <w:sz w:val="15"/>
                                    </w:rPr>
                                  </w:pPr>
                                  <w:r>
                                    <w:rPr>
                                      <w:rFonts w:ascii="Arial" w:hAnsi="Arial"/>
                                      <w:color w:val="1A2343"/>
                                      <w:sz w:val="15"/>
                                    </w:rPr>
                                    <w:t>PRC</w:t>
                                  </w:r>
                                </w:p>
                              </w:tc>
                              <w:tc>
                                <w:tcPr>
                                  <w:tcW w:w="98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TDC</w:t>
                                  </w:r>
                                </w:p>
                              </w:tc>
                              <w:tc>
                                <w:tcPr>
                                  <w:tcW w:w="8245" w:type="dxa"/>
                                  <w:gridSpan w:val="4"/>
                                  <w:tcBorders>
                                    <w:bottom w:val="single" w:sz="12" w:space="0" w:color="1A2343"/>
                                  </w:tcBorders>
                                  <w:shd w:fill="auto" w:val="clear"/>
                                  <w:vAlign w:val="center"/>
                                </w:tcPr>
                                <w:p>
                                  <w:pPr>
                                    <w:pStyle w:val="TableContents"/>
                                    <w:spacing w:before="0" w:after="283"/>
                                    <w:jc w:val="left"/>
                                    <w:rPr/>
                                  </w:pPr>
                                  <w:r>
                                    <w:rPr>
                                      <w:rFonts w:ascii="Arial" w:hAnsi="Arial"/>
                                      <w:color w:val="1A2343"/>
                                      <w:sz w:val="15"/>
                                    </w:rPr>
                                    <w:t>Element of Compensation</w:t>
                                  </w:r>
                                  <w:r>
                                    <w:rPr/>
                                    <w:t xml:space="preserve"> </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17%</w:t>
                                    <w:br/>
                                  </w:r>
                                  <w:r>
                                    <w:rPr>
                                      <w:rFonts w:ascii="Arial" w:hAnsi="Arial"/>
                                      <w:b/>
                                      <w:sz w:val="20"/>
                                    </w:rPr>
                                    <w:t>$580,000</w:t>
                                  </w:r>
                                </w:p>
                              </w:tc>
                              <w:tc>
                                <w:tcPr>
                                  <w:tcW w:w="980"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13%</w:t>
                                    <w:br/>
                                  </w:r>
                                  <w:r>
                                    <w:rPr>
                                      <w:rFonts w:ascii="Arial" w:hAnsi="Arial"/>
                                      <w:b/>
                                      <w:sz w:val="20"/>
                                    </w:rPr>
                                    <w:t>$580,000</w:t>
                                  </w:r>
                                </w:p>
                              </w:tc>
                              <w:tc>
                                <w:tcPr>
                                  <w:tcW w:w="8245" w:type="dxa"/>
                                  <w:gridSpan w:val="4"/>
                                  <w:tcBorders>
                                    <w:bottom w:val="single" w:sz="8" w:space="0" w:color="5B5975"/>
                                  </w:tcBorders>
                                  <w:shd w:fill="auto" w:val="clear"/>
                                  <w:vAlign w:val="center"/>
                                </w:tcPr>
                                <w:p>
                                  <w:pPr>
                                    <w:pStyle w:val="TableContents"/>
                                    <w:spacing w:before="0" w:after="0"/>
                                    <w:jc w:val="left"/>
                                    <w:rPr/>
                                  </w:pPr>
                                  <w:r>
                                    <w:rPr>
                                      <w:rFonts w:ascii="Arial" w:hAnsi="Arial"/>
                                      <w:b/>
                                      <w:sz w:val="20"/>
                                    </w:rPr>
                                    <w:t>Annual Base Salary</w:t>
                                  </w:r>
                                  <w:r>
                                    <w:rPr>
                                      <w:rFonts w:ascii="Arial" w:hAnsi="Arial"/>
                                      <w:sz w:val="20"/>
                                    </w:rPr>
                                    <w:br/>
                                  </w:r>
                                  <w:r>
                                    <w:rPr>
                                      <w:rFonts w:ascii="Arial" w:hAnsi="Arial"/>
                                      <w:sz w:val="15"/>
                                    </w:rPr>
                                    <w:t>Mr. Levine’s base salary was equal to the minimum set forth in his employment agreement. There has been no change to base salary since 2019.</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26%</w:t>
                                    <w:br/>
                                  </w:r>
                                  <w:r>
                                    <w:rPr>
                                      <w:rFonts w:ascii="Arial" w:hAnsi="Arial"/>
                                      <w:b/>
                                      <w:sz w:val="20"/>
                                    </w:rPr>
                                    <w:t>$896,075</w:t>
                                  </w:r>
                                </w:p>
                              </w:tc>
                              <w:tc>
                                <w:tcPr>
                                  <w:tcW w:w="980"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22%</w:t>
                                    <w:br/>
                                  </w:r>
                                  <w:r>
                                    <w:rPr>
                                      <w:rFonts w:ascii="Arial" w:hAnsi="Arial"/>
                                      <w:b/>
                                      <w:sz w:val="20"/>
                                    </w:rPr>
                                    <w:t>$950,000</w:t>
                                  </w:r>
                                </w:p>
                              </w:tc>
                              <w:tc>
                                <w:tcPr>
                                  <w:tcW w:w="8245" w:type="dxa"/>
                                  <w:gridSpan w:val="4"/>
                                  <w:tcBorders>
                                    <w:bottom w:val="single" w:sz="8" w:space="0" w:color="5B5975"/>
                                  </w:tcBorders>
                                  <w:shd w:fill="auto" w:val="clear"/>
                                  <w:vAlign w:val="center"/>
                                </w:tcPr>
                                <w:p>
                                  <w:pPr>
                                    <w:pStyle w:val="TableContents"/>
                                    <w:spacing w:before="0" w:after="120"/>
                                    <w:jc w:val="left"/>
                                    <w:rPr/>
                                  </w:pPr>
                                  <w:r>
                                    <w:rPr>
                                      <w:rFonts w:ascii="Arial" w:hAnsi="Arial"/>
                                      <w:b/>
                                      <w:sz w:val="15"/>
                                    </w:rPr>
                                    <w:t>Annual Cash Incentive Bonus</w:t>
                                  </w:r>
                                  <w:r>
                                    <w:rPr>
                                      <w:rFonts w:ascii="Arial" w:hAnsi="Arial"/>
                                      <w:sz w:val="15"/>
                                    </w:rPr>
                                    <w:br/>
                                    <w:t>Bonus, while not formulaic, was determined on the basis of the objective criteria used for our formulaic cash bonus program and the achievements of the Company during 2022 and an assessment of Mr. Levine’s performance in areas under his responsibilities.</w:t>
                                  </w:r>
                                </w:p>
                                <w:p>
                                  <w:pPr>
                                    <w:pStyle w:val="TableContents"/>
                                    <w:spacing w:before="0" w:after="0"/>
                                    <w:jc w:val="left"/>
                                    <w:rPr/>
                                  </w:pPr>
                                  <w:r>
                                    <w:rPr>
                                      <w:rFonts w:ascii="Arial" w:hAnsi="Arial"/>
                                      <w:sz w:val="15"/>
                                    </w:rPr>
                                    <w:t xml:space="preserve">Mr. Levine received </w:t>
                                  </w:r>
                                  <w:r>
                                    <w:rPr>
                                      <w:rFonts w:ascii="Arial" w:hAnsi="Arial"/>
                                      <w:b/>
                                      <w:sz w:val="15"/>
                                    </w:rPr>
                                    <w:t>100%</w:t>
                                  </w:r>
                                  <w:r>
                                    <w:rPr>
                                      <w:rFonts w:ascii="Arial" w:hAnsi="Arial"/>
                                      <w:sz w:val="15"/>
                                    </w:rPr>
                                    <w:t xml:space="preserve"> of the bonus in the form of equity. The corresponding </w:t>
                                  </w:r>
                                  <w:r>
                                    <w:rPr>
                                      <w:rFonts w:ascii="Arial" w:hAnsi="Arial"/>
                                      <w:b/>
                                      <w:sz w:val="15"/>
                                    </w:rPr>
                                    <w:t>26,574 LTIP</w:t>
                                  </w:r>
                                  <w:r>
                                    <w:rPr>
                                      <w:rFonts w:ascii="Arial" w:hAnsi="Arial"/>
                                      <w:sz w:val="15"/>
                                    </w:rPr>
                                    <w:t xml:space="preserve"> units granted in </w:t>
                                  </w:r>
                                  <w:r>
                                    <w:rPr>
                                      <w:rFonts w:ascii="Arial" w:hAnsi="Arial"/>
                                      <w:b/>
                                      <w:sz w:val="15"/>
                                    </w:rPr>
                                    <w:t>January 2023</w:t>
                                  </w:r>
                                  <w:r>
                                    <w:rPr>
                                      <w:rFonts w:ascii="Arial" w:hAnsi="Arial"/>
                                      <w:sz w:val="15"/>
                                    </w:rPr>
                                    <w:t xml:space="preserve"> were fully vested upon grant, but remain subject to a three-year no-sell restriction. The difference between the PRC and TDC amounts relates to the valuation of these LTIP units as of December 31, 2022, compared to the date on which the bonus was determined.</w:t>
                                  </w:r>
                                </w:p>
                              </w:tc>
                            </w:tr>
                            <w:tr>
                              <w:trPr/>
                              <w:tc>
                                <w:tcPr>
                                  <w:tcW w:w="980" w:type="dxa"/>
                                  <w:tcBorders/>
                                  <w:shd w:fill="F3F6EA" w:val="clear"/>
                                  <w:tcMar>
                                    <w:bottom w:w="0" w:type="dxa"/>
                                  </w:tcMar>
                                  <w:vAlign w:val="center"/>
                                </w:tcPr>
                                <w:p>
                                  <w:pPr>
                                    <w:pStyle w:val="TableContents"/>
                                    <w:spacing w:before="0" w:after="0"/>
                                    <w:jc w:val="left"/>
                                    <w:rPr/>
                                  </w:pPr>
                                  <w:r>
                                    <w:rPr>
                                      <w:rFonts w:ascii="Arial" w:hAnsi="Arial"/>
                                      <w:color w:val="1A2343"/>
                                      <w:sz w:val="36"/>
                                    </w:rPr>
                                    <w:t>5%</w:t>
                                    <w:br/>
                                  </w:r>
                                  <w:r>
                                    <w:rPr>
                                      <w:rFonts w:ascii="Arial" w:hAnsi="Arial"/>
                                      <w:b/>
                                      <w:sz w:val="20"/>
                                    </w:rPr>
                                    <w:t>$156,899</w:t>
                                  </w:r>
                                </w:p>
                              </w:tc>
                              <w:tc>
                                <w:tcPr>
                                  <w:tcW w:w="980" w:type="dxa"/>
                                  <w:tcBorders/>
                                  <w:shd w:fill="auto" w:val="clear"/>
                                  <w:tcMar>
                                    <w:bottom w:w="0" w:type="dxa"/>
                                  </w:tcMar>
                                  <w:vAlign w:val="center"/>
                                </w:tcPr>
                                <w:p>
                                  <w:pPr>
                                    <w:pStyle w:val="TableContents"/>
                                    <w:spacing w:before="0" w:after="0"/>
                                    <w:jc w:val="left"/>
                                    <w:rPr/>
                                  </w:pPr>
                                  <w:r>
                                    <w:rPr>
                                      <w:rFonts w:ascii="Arial" w:hAnsi="Arial"/>
                                      <w:color w:val="1A2343"/>
                                      <w:sz w:val="36"/>
                                    </w:rPr>
                                    <w:t>13%</w:t>
                                    <w:br/>
                                  </w:r>
                                  <w:r>
                                    <w:rPr>
                                      <w:rFonts w:ascii="Arial" w:hAnsi="Arial"/>
                                      <w:b/>
                                      <w:sz w:val="20"/>
                                    </w:rPr>
                                    <w:t>$555,556</w:t>
                                  </w:r>
                                </w:p>
                              </w:tc>
                              <w:tc>
                                <w:tcPr>
                                  <w:tcW w:w="8245" w:type="dxa"/>
                                  <w:gridSpan w:val="4"/>
                                  <w:tcBorders/>
                                  <w:shd w:fill="auto" w:val="clear"/>
                                  <w:tcMar>
                                    <w:bottom w:w="0" w:type="dxa"/>
                                  </w:tcMar>
                                  <w:vAlign w:val="center"/>
                                </w:tcPr>
                                <w:p>
                                  <w:pPr>
                                    <w:pStyle w:val="TableContents"/>
                                    <w:spacing w:before="0" w:after="120"/>
                                    <w:jc w:val="left"/>
                                    <w:rPr/>
                                  </w:pPr>
                                  <w:r>
                                    <w:rPr>
                                      <w:rFonts w:ascii="Arial" w:hAnsi="Arial"/>
                                      <w:b/>
                                      <w:sz w:val="20"/>
                                    </w:rPr>
                                    <w:t>Performance-Based Equity Awards</w:t>
                                  </w:r>
                                  <w:r>
                                    <w:rPr>
                                      <w:rFonts w:ascii="Arial" w:hAnsi="Arial"/>
                                      <w:sz w:val="20"/>
                                    </w:rPr>
                                    <w:br/>
                                  </w:r>
                                  <w:r>
                                    <w:rPr>
                                      <w:rFonts w:ascii="Arial" w:hAnsi="Arial"/>
                                      <w:sz w:val="15"/>
                                    </w:rPr>
                                    <w:t xml:space="preserve">The PRC amount reflects the value of the award based on projected performance as of December 31, 2022 and our stock price on such date. The TDC amount reflects the target notional value of </w:t>
                                  </w:r>
                                  <w:r>
                                    <w:rPr>
                                      <w:rFonts w:ascii="Arial" w:hAnsi="Arial"/>
                                      <w:b/>
                                      <w:sz w:val="15"/>
                                    </w:rPr>
                                    <w:t>$555,556</w:t>
                                  </w:r>
                                  <w:r>
                                    <w:rPr>
                                      <w:rFonts w:ascii="Arial" w:hAnsi="Arial"/>
                                      <w:sz w:val="15"/>
                                    </w:rPr>
                                    <w:t xml:space="preserve">. </w:t>
                                  </w:r>
                                  <w:r>
                                    <w:rPr>
                                      <w:rFonts w:ascii="Arial" w:hAnsi="Arial"/>
                                      <w:b/>
                                      <w:sz w:val="15"/>
                                    </w:rPr>
                                    <w:t>The difference between the PRC and TDC amounts is the value of these LTIP units as of December 31, 2022 compared to the grant amount</w:t>
                                  </w:r>
                                  <w:r>
                                    <w:rPr>
                                      <w:rFonts w:ascii="Arial" w:hAnsi="Arial"/>
                                      <w:sz w:val="15"/>
                                    </w:rPr>
                                    <w:t>.</w:t>
                                  </w:r>
                                </w:p>
                                <w:p>
                                  <w:pPr>
                                    <w:pStyle w:val="TableContents"/>
                                    <w:spacing w:before="0" w:after="0"/>
                                    <w:jc w:val="left"/>
                                    <w:rPr>
                                      <w:rFonts w:ascii="Arial" w:hAnsi="Arial"/>
                                      <w:sz w:val="15"/>
                                    </w:rPr>
                                  </w:pPr>
                                  <w:r>
                                    <w:rPr>
                                      <w:rFonts w:ascii="Arial" w:hAnsi="Arial"/>
                                      <w:sz w:val="15"/>
                                    </w:rPr>
                                    <w:t>The award relates to the following LTIP units:</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8245" w:type="dxa"/>
                                  <w:gridSpan w:val="4"/>
                                  <w:tcBorders>
                                    <w:top w:val="single" w:sz="16" w:space="0" w:color="1A2343"/>
                                    <w:bottom w:val="single" w:sz="16" w:space="0" w:color="1A2343"/>
                                  </w:tcBorders>
                                  <w:shd w:fill="auto" w:val="clear"/>
                                  <w:tcMar>
                                    <w:top w:w="40" w:type="dxa"/>
                                  </w:tcMar>
                                  <w:vAlign w:val="center"/>
                                </w:tcPr>
                                <w:p>
                                  <w:pPr>
                                    <w:pStyle w:val="TableContents"/>
                                    <w:spacing w:before="0" w:after="0"/>
                                    <w:jc w:val="center"/>
                                    <w:rPr>
                                      <w:rFonts w:ascii="Arial" w:hAnsi="Arial"/>
                                      <w:color w:val="1A2343"/>
                                      <w:sz w:val="15"/>
                                    </w:rPr>
                                  </w:pPr>
                                  <w:r>
                                    <w:rPr>
                                      <w:rFonts w:ascii="Arial" w:hAnsi="Arial"/>
                                      <w:color w:val="1A2343"/>
                                      <w:sz w:val="15"/>
                                    </w:rPr>
                                    <w:t>2022 Performance-Based Award –</w:t>
                                    <w:br/>
                                    <w:t>Number of LTIP Units Granted</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2003"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Threshold</w:t>
                                  </w:r>
                                </w:p>
                              </w:tc>
                              <w:tc>
                                <w:tcPr>
                                  <w:tcW w:w="1326"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Target</w:t>
                                  </w:r>
                                </w:p>
                              </w:tc>
                              <w:tc>
                                <w:tcPr>
                                  <w:tcW w:w="1876"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Maximum</w:t>
                                  </w:r>
                                </w:p>
                              </w:tc>
                              <w:tc>
                                <w:tcPr>
                                  <w:tcW w:w="3040"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Projected Earned</w:t>
                                    <w:br/>
                                    <w:t>as of 12/31/2022</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2003"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3,529</w:t>
                                  </w:r>
                                </w:p>
                              </w:tc>
                              <w:tc>
                                <w:tcPr>
                                  <w:tcW w:w="1326"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7,528</w:t>
                                  </w:r>
                                </w:p>
                              </w:tc>
                              <w:tc>
                                <w:tcPr>
                                  <w:tcW w:w="1876"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16,939</w:t>
                                  </w:r>
                                </w:p>
                              </w:tc>
                              <w:tc>
                                <w:tcPr>
                                  <w:tcW w:w="3040"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4,653</w:t>
                                  </w:r>
                                </w:p>
                              </w:tc>
                            </w:tr>
                            <w:tr>
                              <w:trPr/>
                              <w:tc>
                                <w:tcPr>
                                  <w:tcW w:w="980" w:type="dxa"/>
                                  <w:tcBorders>
                                    <w:bottom w:val="single" w:sz="8" w:space="0" w:color="5B5975"/>
                                  </w:tcBorders>
                                  <w:shd w:fill="F3F6EA"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8245" w:type="dxa"/>
                                  <w:gridSpan w:val="4"/>
                                  <w:tcBorders>
                                    <w:bottom w:val="single" w:sz="8" w:space="0" w:color="5B5975"/>
                                  </w:tcBorders>
                                  <w:shd w:fill="auto" w:val="clear"/>
                                  <w:vAlign w:val="center"/>
                                </w:tcPr>
                                <w:p>
                                  <w:pPr>
                                    <w:pStyle w:val="TableContents"/>
                                    <w:spacing w:before="0" w:after="0"/>
                                    <w:jc w:val="left"/>
                                    <w:rPr>
                                      <w:rFonts w:ascii="Arial" w:hAnsi="Arial"/>
                                      <w:sz w:val="15"/>
                                    </w:rPr>
                                  </w:pPr>
                                  <w:r>
                                    <w:rPr>
                                      <w:rFonts w:ascii="Arial" w:hAnsi="Arial"/>
                                      <w:sz w:val="15"/>
                                    </w:rPr>
                                    <w:t>The actual number of LTIP units earned will be determined based on Company performance measured after the end of the full performance period ending December 31, 2024, based on our absolute and relative TSR, with earned LTIP units vesting 50% as of December 31, 2024 and 50% as of December 31, 2025.</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52%</w:t>
                                    <w:br/>
                                  </w:r>
                                  <w:r>
                                    <w:rPr>
                                      <w:rFonts w:ascii="Arial" w:hAnsi="Arial"/>
                                      <w:b/>
                                      <w:sz w:val="20"/>
                                    </w:rPr>
                                    <w:t>$1,770,165</w:t>
                                  </w:r>
                                </w:p>
                              </w:tc>
                              <w:tc>
                                <w:tcPr>
                                  <w:tcW w:w="980"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52%</w:t>
                                    <w:br/>
                                  </w:r>
                                  <w:r>
                                    <w:rPr>
                                      <w:rFonts w:ascii="Arial" w:hAnsi="Arial"/>
                                      <w:b/>
                                      <w:sz w:val="20"/>
                                    </w:rPr>
                                    <w:t>$2,300,000</w:t>
                                  </w:r>
                                </w:p>
                              </w:tc>
                              <w:tc>
                                <w:tcPr>
                                  <w:tcW w:w="8245" w:type="dxa"/>
                                  <w:gridSpan w:val="4"/>
                                  <w:tcBorders>
                                    <w:bottom w:val="single" w:sz="8" w:space="0" w:color="5B5975"/>
                                  </w:tcBorders>
                                  <w:shd w:fill="auto" w:val="clear"/>
                                  <w:vAlign w:val="center"/>
                                </w:tcPr>
                                <w:p>
                                  <w:pPr>
                                    <w:pStyle w:val="TableContents"/>
                                    <w:spacing w:before="0" w:after="0"/>
                                    <w:jc w:val="left"/>
                                    <w:rPr>
                                      <w:rFonts w:ascii="Arial" w:hAnsi="Arial"/>
                                      <w:b/>
                                      <w:sz w:val="20"/>
                                    </w:rPr>
                                  </w:pPr>
                                  <w:r>
                                    <w:rPr>
                                      <w:rFonts w:ascii="Arial" w:hAnsi="Arial"/>
                                      <w:b/>
                                      <w:sz w:val="20"/>
                                    </w:rPr>
                                    <w:t>Time-Based Equity Awards</w:t>
                                  </w:r>
                                </w:p>
                                <w:p>
                                  <w:pPr>
                                    <w:pStyle w:val="TableContents"/>
                                    <w:spacing w:before="0" w:after="0"/>
                                    <w:jc w:val="left"/>
                                    <w:rPr/>
                                  </w:pPr>
                                  <w:r>
                                    <w:rPr>
                                      <w:rFonts w:ascii="Arial" w:hAnsi="Arial"/>
                                      <w:sz w:val="15"/>
                                    </w:rPr>
                                    <w:t xml:space="preserve">The Committee granted time-based awards in January 2023 based on the company’s 2022 performance. The awards had a target value of </w:t>
                                  </w:r>
                                  <w:r>
                                    <w:rPr>
                                      <w:rFonts w:ascii="Arial" w:hAnsi="Arial"/>
                                      <w:b/>
                                      <w:sz w:val="15"/>
                                    </w:rPr>
                                    <w:t>$1,300,000</w:t>
                                  </w:r>
                                  <w:r>
                                    <w:rPr>
                                      <w:rFonts w:ascii="Arial" w:hAnsi="Arial"/>
                                      <w:sz w:val="15"/>
                                    </w:rPr>
                                    <w:t xml:space="preserve">, equal to the target amount set forth in Mr. Levine’s employment agreement. The corresponding </w:t>
                                  </w:r>
                                  <w:r>
                                    <w:rPr>
                                      <w:rFonts w:ascii="Arial" w:hAnsi="Arial"/>
                                      <w:b/>
                                      <w:sz w:val="15"/>
                                    </w:rPr>
                                    <w:t>38,756</w:t>
                                  </w:r>
                                  <w:r>
                                    <w:rPr>
                                      <w:rFonts w:ascii="Arial" w:hAnsi="Arial"/>
                                      <w:sz w:val="15"/>
                                    </w:rPr>
                                    <w:t xml:space="preserve"> LTIP units vest in three equal installments on January 1, 2024, 2025 and 2026.</w:t>
                                  </w:r>
                                </w:p>
                                <w:p>
                                  <w:pPr>
                                    <w:pStyle w:val="TableContents"/>
                                    <w:spacing w:before="0" w:after="0"/>
                                    <w:jc w:val="left"/>
                                    <w:rPr/>
                                  </w:pPr>
                                  <w:r>
                                    <w:rPr>
                                      <w:rFonts w:ascii="Arial" w:hAnsi="Arial"/>
                                      <w:sz w:val="15"/>
                                    </w:rPr>
                                    <w:t xml:space="preserve">In line with the rest of the executive team (other than our CEO and our President), the Committee also awarded a one-time grant of </w:t>
                                  </w:r>
                                  <w:r>
                                    <w:rPr>
                                      <w:rFonts w:ascii="Arial" w:hAnsi="Arial"/>
                                      <w:b/>
                                      <w:sz w:val="15"/>
                                    </w:rPr>
                                    <w:t>13,740</w:t>
                                  </w:r>
                                  <w:r>
                                    <w:rPr>
                                      <w:rFonts w:ascii="Arial" w:hAnsi="Arial"/>
                                      <w:sz w:val="15"/>
                                    </w:rPr>
                                    <w:t xml:space="preserve"> LTIP units in connection with our One Madison development project. One-third of these LTIP units vested or will vest on each of December 31, 2022, 2023 and 2024. </w:t>
                                  </w:r>
                                  <w:r>
                                    <w:rPr>
                                      <w:rFonts w:ascii="Arial" w:hAnsi="Arial"/>
                                      <w:b/>
                                      <w:sz w:val="15"/>
                                    </w:rPr>
                                    <w:t>The difference between the PRC and TDC amounts is the value of these LTIP units as of December 31, 2022 compared to the grant amounts</w:t>
                                  </w:r>
                                  <w:r>
                                    <w:rPr>
                                      <w:rFonts w:ascii="Arial" w:hAnsi="Arial"/>
                                      <w:sz w:val="15"/>
                                    </w:rPr>
                                    <w:t>.</w:t>
                                  </w:r>
                                </w:p>
                              </w:tc>
                            </w:tr>
                            <w:tr>
                              <w:trPr/>
                              <w:tc>
                                <w:tcPr>
                                  <w:tcW w:w="980" w:type="dxa"/>
                                  <w:tcBorders>
                                    <w:bottom w:val="single" w:sz="12" w:space="0" w:color="1A2343"/>
                                  </w:tcBorders>
                                  <w:shd w:fill="F3F6EA" w:val="clear"/>
                                  <w:vAlign w:val="center"/>
                                </w:tcPr>
                                <w:p>
                                  <w:pPr>
                                    <w:pStyle w:val="TableContents"/>
                                    <w:spacing w:before="0" w:after="0"/>
                                    <w:jc w:val="left"/>
                                    <w:rPr/>
                                  </w:pPr>
                                  <w:r>
                                    <w:rPr>
                                      <w:rFonts w:ascii="Arial" w:hAnsi="Arial"/>
                                      <w:color w:val="1A2343"/>
                                      <w:sz w:val="36"/>
                                    </w:rPr>
                                    <w:t>100%</w:t>
                                    <w:br/>
                                  </w:r>
                                  <w:r>
                                    <w:rPr>
                                      <w:rFonts w:ascii="Arial" w:hAnsi="Arial"/>
                                      <w:b/>
                                      <w:sz w:val="20"/>
                                    </w:rPr>
                                    <w:t>$3,415,340</w:t>
                                  </w:r>
                                </w:p>
                              </w:tc>
                              <w:tc>
                                <w:tcPr>
                                  <w:tcW w:w="980" w:type="dxa"/>
                                  <w:tcBorders>
                                    <w:bottom w:val="single" w:sz="12" w:space="0" w:color="1A2343"/>
                                  </w:tcBorders>
                                  <w:shd w:fill="auto" w:val="clear"/>
                                  <w:vAlign w:val="center"/>
                                </w:tcPr>
                                <w:p>
                                  <w:pPr>
                                    <w:pStyle w:val="TableContents"/>
                                    <w:spacing w:before="0" w:after="0"/>
                                    <w:jc w:val="left"/>
                                    <w:rPr/>
                                  </w:pPr>
                                  <w:r>
                                    <w:rPr>
                                      <w:rFonts w:ascii="Arial" w:hAnsi="Arial"/>
                                      <w:color w:val="1A2343"/>
                                      <w:sz w:val="36"/>
                                    </w:rPr>
                                    <w:t>100%</w:t>
                                    <w:br/>
                                  </w:r>
                                  <w:r>
                                    <w:rPr>
                                      <w:rFonts w:ascii="Arial" w:hAnsi="Arial"/>
                                      <w:b/>
                                      <w:sz w:val="20"/>
                                    </w:rPr>
                                    <w:t>$4,397,756</w:t>
                                  </w:r>
                                </w:p>
                              </w:tc>
                              <w:tc>
                                <w:tcPr>
                                  <w:tcW w:w="8245" w:type="dxa"/>
                                  <w:gridSpan w:val="4"/>
                                  <w:tcBorders>
                                    <w:bottom w:val="single" w:sz="12" w:space="0" w:color="1A2343"/>
                                  </w:tcBorders>
                                  <w:shd w:fill="auto" w:val="clear"/>
                                  <w:vAlign w:val="center"/>
                                </w:tcPr>
                                <w:p>
                                  <w:pPr>
                                    <w:pStyle w:val="TableContents"/>
                                    <w:spacing w:before="0" w:after="0"/>
                                    <w:jc w:val="left"/>
                                    <w:rPr>
                                      <w:rFonts w:ascii="Arial" w:hAnsi="Arial"/>
                                      <w:sz w:val="15"/>
                                    </w:rPr>
                                  </w:pPr>
                                  <w:r>
                                    <w:rPr>
                                      <w:rFonts w:ascii="Arial" w:hAnsi="Arial"/>
                                      <w:sz w:val="15"/>
                                    </w:rPr>
                                    <w:t>Both totals include $12,200 of “Other Compensation,” as reflected in the Summary Compensation Table.</w:t>
                                  </w:r>
                                </w:p>
                              </w:tc>
                            </w:tr>
                          </w:tbl>
                          <w:p>
                            <w:pPr>
                              <w:pStyle w:val="TextBody"/>
                              <w:spacing w:before="0" w:after="283"/>
                              <w:rPr/>
                            </w:pPr>
                            <w:r>
                              <w:rPr/>
                            </w:r>
                          </w:p>
                        </w:txbxContent>
                      </wps:txbx>
                      <wps:bodyPr anchor="t" lIns="0" tIns="0" rIns="0" bIns="0">
                        <a:noAutofit/>
                      </wps:bodyPr>
                    </wps:wsp>
                  </a:graphicData>
                </a:graphic>
                <wp14:sizeRelH relativeFrom="margin">
                  <wp14:pctWidth>71000</wp14:pctWidth>
                </wp14:sizeRelH>
              </wp:anchor>
            </w:drawing>
          </mc:Choice>
          <mc:Fallback>
            <w:pict>
              <v:rect style="position:absolute;rotation:0;width:362.25pt;height:467.45pt;mso-wrap-distance-left:0pt;mso-wrap-distance-right:0pt;mso-wrap-distance-top:0pt;mso-wrap-distance-bottom:0pt;margin-top:0pt;mso-position-vertical:top;mso-position-vertical-relative:text;margin-left:148pt;mso-position-horizontal:right;mso-position-horizontal-relative:text">
                <v:textbox>
                  <w:txbxContent>
                    <w:p>
                      <w:pPr>
                        <w:pStyle w:val="TextBody"/>
                        <w:jc w:val="left"/>
                        <w:rPr/>
                      </w:pPr>
                      <w:r>
                        <w:rPr>
                          <w:rFonts w:ascii="Arial" w:hAnsi="Arial"/>
                          <w:b/>
                          <w:color w:val="8EAD3C"/>
                          <w:sz w:val="22"/>
                        </w:rPr>
                        <w:t>2022 Performance and Compensation –</w:t>
                      </w:r>
                      <w:r>
                        <w:rPr>
                          <w:rFonts w:ascii="Arial" w:hAnsi="Arial"/>
                          <w:color w:val="8EAD3C"/>
                          <w:sz w:val="22"/>
                        </w:rPr>
                        <w:br/>
                      </w:r>
                      <w:r>
                        <w:rPr>
                          <w:rFonts w:ascii="Arial" w:hAnsi="Arial"/>
                          <w:b/>
                          <w:color w:val="8EAD3C"/>
                          <w:sz w:val="22"/>
                        </w:rPr>
                        <w:t>Projected Realizable Compensation vs. Total Direct Compensation</w:t>
                      </w:r>
                    </w:p>
                    <w:tbl>
                      <w:tblPr>
                        <w:tblW w:w="10205" w:type="dxa"/>
                        <w:jc w:val="left"/>
                        <w:tblInd w:w="0" w:type="dxa"/>
                        <w:tblCellMar>
                          <w:top w:w="0" w:type="dxa"/>
                          <w:left w:w="0" w:type="dxa"/>
                          <w:bottom w:w="40" w:type="dxa"/>
                          <w:right w:w="0" w:type="dxa"/>
                        </w:tblCellMar>
                      </w:tblPr>
                      <w:tblGrid>
                        <w:gridCol w:w="980"/>
                        <w:gridCol w:w="980"/>
                        <w:gridCol w:w="2003"/>
                        <w:gridCol w:w="1326"/>
                        <w:gridCol w:w="1876"/>
                        <w:gridCol w:w="3040"/>
                      </w:tblGrid>
                      <w:tr>
                        <w:trPr/>
                        <w:tc>
                          <w:tcPr>
                            <w:tcW w:w="980" w:type="dxa"/>
                            <w:tcBorders>
                              <w:bottom w:val="single" w:sz="12" w:space="0" w:color="1A2343"/>
                            </w:tcBorders>
                            <w:shd w:fill="F3F6EA" w:val="clear"/>
                            <w:vAlign w:val="center"/>
                          </w:tcPr>
                          <w:p>
                            <w:pPr>
                              <w:pStyle w:val="TableContents"/>
                              <w:spacing w:before="0" w:after="283"/>
                              <w:jc w:val="left"/>
                              <w:rPr>
                                <w:rFonts w:ascii="Arial" w:hAnsi="Arial"/>
                                <w:color w:val="1A2343"/>
                                <w:sz w:val="15"/>
                              </w:rPr>
                            </w:pPr>
                            <w:r>
                              <w:rPr>
                                <w:rFonts w:ascii="Arial" w:hAnsi="Arial"/>
                                <w:color w:val="1A2343"/>
                                <w:sz w:val="15"/>
                              </w:rPr>
                              <w:t>PRC</w:t>
                            </w:r>
                          </w:p>
                        </w:tc>
                        <w:tc>
                          <w:tcPr>
                            <w:tcW w:w="98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TDC</w:t>
                            </w:r>
                          </w:p>
                        </w:tc>
                        <w:tc>
                          <w:tcPr>
                            <w:tcW w:w="8245" w:type="dxa"/>
                            <w:gridSpan w:val="4"/>
                            <w:tcBorders>
                              <w:bottom w:val="single" w:sz="12" w:space="0" w:color="1A2343"/>
                            </w:tcBorders>
                            <w:shd w:fill="auto" w:val="clear"/>
                            <w:vAlign w:val="center"/>
                          </w:tcPr>
                          <w:p>
                            <w:pPr>
                              <w:pStyle w:val="TableContents"/>
                              <w:spacing w:before="0" w:after="283"/>
                              <w:jc w:val="left"/>
                              <w:rPr/>
                            </w:pPr>
                            <w:r>
                              <w:rPr>
                                <w:rFonts w:ascii="Arial" w:hAnsi="Arial"/>
                                <w:color w:val="1A2343"/>
                                <w:sz w:val="15"/>
                              </w:rPr>
                              <w:t>Element of Compensation</w:t>
                            </w:r>
                            <w:r>
                              <w:rPr/>
                              <w:t xml:space="preserve"> </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17%</w:t>
                              <w:br/>
                            </w:r>
                            <w:r>
                              <w:rPr>
                                <w:rFonts w:ascii="Arial" w:hAnsi="Arial"/>
                                <w:b/>
                                <w:sz w:val="20"/>
                              </w:rPr>
                              <w:t>$580,000</w:t>
                            </w:r>
                          </w:p>
                        </w:tc>
                        <w:tc>
                          <w:tcPr>
                            <w:tcW w:w="980"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13%</w:t>
                              <w:br/>
                            </w:r>
                            <w:r>
                              <w:rPr>
                                <w:rFonts w:ascii="Arial" w:hAnsi="Arial"/>
                                <w:b/>
                                <w:sz w:val="20"/>
                              </w:rPr>
                              <w:t>$580,000</w:t>
                            </w:r>
                          </w:p>
                        </w:tc>
                        <w:tc>
                          <w:tcPr>
                            <w:tcW w:w="8245" w:type="dxa"/>
                            <w:gridSpan w:val="4"/>
                            <w:tcBorders>
                              <w:bottom w:val="single" w:sz="8" w:space="0" w:color="5B5975"/>
                            </w:tcBorders>
                            <w:shd w:fill="auto" w:val="clear"/>
                            <w:vAlign w:val="center"/>
                          </w:tcPr>
                          <w:p>
                            <w:pPr>
                              <w:pStyle w:val="TableContents"/>
                              <w:spacing w:before="0" w:after="0"/>
                              <w:jc w:val="left"/>
                              <w:rPr/>
                            </w:pPr>
                            <w:r>
                              <w:rPr>
                                <w:rFonts w:ascii="Arial" w:hAnsi="Arial"/>
                                <w:b/>
                                <w:sz w:val="20"/>
                              </w:rPr>
                              <w:t>Annual Base Salary</w:t>
                            </w:r>
                            <w:r>
                              <w:rPr>
                                <w:rFonts w:ascii="Arial" w:hAnsi="Arial"/>
                                <w:sz w:val="20"/>
                              </w:rPr>
                              <w:br/>
                            </w:r>
                            <w:r>
                              <w:rPr>
                                <w:rFonts w:ascii="Arial" w:hAnsi="Arial"/>
                                <w:sz w:val="15"/>
                              </w:rPr>
                              <w:t>Mr. Levine’s base salary was equal to the minimum set forth in his employment agreement. There has been no change to base salary since 2019.</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26%</w:t>
                              <w:br/>
                            </w:r>
                            <w:r>
                              <w:rPr>
                                <w:rFonts w:ascii="Arial" w:hAnsi="Arial"/>
                                <w:b/>
                                <w:sz w:val="20"/>
                              </w:rPr>
                              <w:t>$896,075</w:t>
                            </w:r>
                          </w:p>
                        </w:tc>
                        <w:tc>
                          <w:tcPr>
                            <w:tcW w:w="980"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22%</w:t>
                              <w:br/>
                            </w:r>
                            <w:r>
                              <w:rPr>
                                <w:rFonts w:ascii="Arial" w:hAnsi="Arial"/>
                                <w:b/>
                                <w:sz w:val="20"/>
                              </w:rPr>
                              <w:t>$950,000</w:t>
                            </w:r>
                          </w:p>
                        </w:tc>
                        <w:tc>
                          <w:tcPr>
                            <w:tcW w:w="8245" w:type="dxa"/>
                            <w:gridSpan w:val="4"/>
                            <w:tcBorders>
                              <w:bottom w:val="single" w:sz="8" w:space="0" w:color="5B5975"/>
                            </w:tcBorders>
                            <w:shd w:fill="auto" w:val="clear"/>
                            <w:vAlign w:val="center"/>
                          </w:tcPr>
                          <w:p>
                            <w:pPr>
                              <w:pStyle w:val="TableContents"/>
                              <w:spacing w:before="0" w:after="120"/>
                              <w:jc w:val="left"/>
                              <w:rPr/>
                            </w:pPr>
                            <w:r>
                              <w:rPr>
                                <w:rFonts w:ascii="Arial" w:hAnsi="Arial"/>
                                <w:b/>
                                <w:sz w:val="15"/>
                              </w:rPr>
                              <w:t>Annual Cash Incentive Bonus</w:t>
                            </w:r>
                            <w:r>
                              <w:rPr>
                                <w:rFonts w:ascii="Arial" w:hAnsi="Arial"/>
                                <w:sz w:val="15"/>
                              </w:rPr>
                              <w:br/>
                              <w:t>Bonus, while not formulaic, was determined on the basis of the objective criteria used for our formulaic cash bonus program and the achievements of the Company during 2022 and an assessment of Mr. Levine’s performance in areas under his responsibilities.</w:t>
                            </w:r>
                          </w:p>
                          <w:p>
                            <w:pPr>
                              <w:pStyle w:val="TableContents"/>
                              <w:spacing w:before="0" w:after="0"/>
                              <w:jc w:val="left"/>
                              <w:rPr/>
                            </w:pPr>
                            <w:r>
                              <w:rPr>
                                <w:rFonts w:ascii="Arial" w:hAnsi="Arial"/>
                                <w:sz w:val="15"/>
                              </w:rPr>
                              <w:t xml:space="preserve">Mr. Levine received </w:t>
                            </w:r>
                            <w:r>
                              <w:rPr>
                                <w:rFonts w:ascii="Arial" w:hAnsi="Arial"/>
                                <w:b/>
                                <w:sz w:val="15"/>
                              </w:rPr>
                              <w:t>100%</w:t>
                            </w:r>
                            <w:r>
                              <w:rPr>
                                <w:rFonts w:ascii="Arial" w:hAnsi="Arial"/>
                                <w:sz w:val="15"/>
                              </w:rPr>
                              <w:t xml:space="preserve"> of the bonus in the form of equity. The corresponding </w:t>
                            </w:r>
                            <w:r>
                              <w:rPr>
                                <w:rFonts w:ascii="Arial" w:hAnsi="Arial"/>
                                <w:b/>
                                <w:sz w:val="15"/>
                              </w:rPr>
                              <w:t>26,574 LTIP</w:t>
                            </w:r>
                            <w:r>
                              <w:rPr>
                                <w:rFonts w:ascii="Arial" w:hAnsi="Arial"/>
                                <w:sz w:val="15"/>
                              </w:rPr>
                              <w:t xml:space="preserve"> units granted in </w:t>
                            </w:r>
                            <w:r>
                              <w:rPr>
                                <w:rFonts w:ascii="Arial" w:hAnsi="Arial"/>
                                <w:b/>
                                <w:sz w:val="15"/>
                              </w:rPr>
                              <w:t>January 2023</w:t>
                            </w:r>
                            <w:r>
                              <w:rPr>
                                <w:rFonts w:ascii="Arial" w:hAnsi="Arial"/>
                                <w:sz w:val="15"/>
                              </w:rPr>
                              <w:t xml:space="preserve"> were fully vested upon grant, but remain subject to a three-year no-sell restriction. The difference between the PRC and TDC amounts relates to the valuation of these LTIP units as of December 31, 2022, compared to the date on which the bonus was determined.</w:t>
                            </w:r>
                          </w:p>
                        </w:tc>
                      </w:tr>
                      <w:tr>
                        <w:trPr/>
                        <w:tc>
                          <w:tcPr>
                            <w:tcW w:w="980" w:type="dxa"/>
                            <w:tcBorders/>
                            <w:shd w:fill="F3F6EA" w:val="clear"/>
                            <w:tcMar>
                              <w:bottom w:w="0" w:type="dxa"/>
                            </w:tcMar>
                            <w:vAlign w:val="center"/>
                          </w:tcPr>
                          <w:p>
                            <w:pPr>
                              <w:pStyle w:val="TableContents"/>
                              <w:spacing w:before="0" w:after="0"/>
                              <w:jc w:val="left"/>
                              <w:rPr/>
                            </w:pPr>
                            <w:r>
                              <w:rPr>
                                <w:rFonts w:ascii="Arial" w:hAnsi="Arial"/>
                                <w:color w:val="1A2343"/>
                                <w:sz w:val="36"/>
                              </w:rPr>
                              <w:t>5%</w:t>
                              <w:br/>
                            </w:r>
                            <w:r>
                              <w:rPr>
                                <w:rFonts w:ascii="Arial" w:hAnsi="Arial"/>
                                <w:b/>
                                <w:sz w:val="20"/>
                              </w:rPr>
                              <w:t>$156,899</w:t>
                            </w:r>
                          </w:p>
                        </w:tc>
                        <w:tc>
                          <w:tcPr>
                            <w:tcW w:w="980" w:type="dxa"/>
                            <w:tcBorders/>
                            <w:shd w:fill="auto" w:val="clear"/>
                            <w:tcMar>
                              <w:bottom w:w="0" w:type="dxa"/>
                            </w:tcMar>
                            <w:vAlign w:val="center"/>
                          </w:tcPr>
                          <w:p>
                            <w:pPr>
                              <w:pStyle w:val="TableContents"/>
                              <w:spacing w:before="0" w:after="0"/>
                              <w:jc w:val="left"/>
                              <w:rPr/>
                            </w:pPr>
                            <w:r>
                              <w:rPr>
                                <w:rFonts w:ascii="Arial" w:hAnsi="Arial"/>
                                <w:color w:val="1A2343"/>
                                <w:sz w:val="36"/>
                              </w:rPr>
                              <w:t>13%</w:t>
                              <w:br/>
                            </w:r>
                            <w:r>
                              <w:rPr>
                                <w:rFonts w:ascii="Arial" w:hAnsi="Arial"/>
                                <w:b/>
                                <w:sz w:val="20"/>
                              </w:rPr>
                              <w:t>$555,556</w:t>
                            </w:r>
                          </w:p>
                        </w:tc>
                        <w:tc>
                          <w:tcPr>
                            <w:tcW w:w="8245" w:type="dxa"/>
                            <w:gridSpan w:val="4"/>
                            <w:tcBorders/>
                            <w:shd w:fill="auto" w:val="clear"/>
                            <w:tcMar>
                              <w:bottom w:w="0" w:type="dxa"/>
                            </w:tcMar>
                            <w:vAlign w:val="center"/>
                          </w:tcPr>
                          <w:p>
                            <w:pPr>
                              <w:pStyle w:val="TableContents"/>
                              <w:spacing w:before="0" w:after="120"/>
                              <w:jc w:val="left"/>
                              <w:rPr/>
                            </w:pPr>
                            <w:r>
                              <w:rPr>
                                <w:rFonts w:ascii="Arial" w:hAnsi="Arial"/>
                                <w:b/>
                                <w:sz w:val="20"/>
                              </w:rPr>
                              <w:t>Performance-Based Equity Awards</w:t>
                            </w:r>
                            <w:r>
                              <w:rPr>
                                <w:rFonts w:ascii="Arial" w:hAnsi="Arial"/>
                                <w:sz w:val="20"/>
                              </w:rPr>
                              <w:br/>
                            </w:r>
                            <w:r>
                              <w:rPr>
                                <w:rFonts w:ascii="Arial" w:hAnsi="Arial"/>
                                <w:sz w:val="15"/>
                              </w:rPr>
                              <w:t xml:space="preserve">The PRC amount reflects the value of the award based on projected performance as of December 31, 2022 and our stock price on such date. The TDC amount reflects the target notional value of </w:t>
                            </w:r>
                            <w:r>
                              <w:rPr>
                                <w:rFonts w:ascii="Arial" w:hAnsi="Arial"/>
                                <w:b/>
                                <w:sz w:val="15"/>
                              </w:rPr>
                              <w:t>$555,556</w:t>
                            </w:r>
                            <w:r>
                              <w:rPr>
                                <w:rFonts w:ascii="Arial" w:hAnsi="Arial"/>
                                <w:sz w:val="15"/>
                              </w:rPr>
                              <w:t xml:space="preserve">. </w:t>
                            </w:r>
                            <w:r>
                              <w:rPr>
                                <w:rFonts w:ascii="Arial" w:hAnsi="Arial"/>
                                <w:b/>
                                <w:sz w:val="15"/>
                              </w:rPr>
                              <w:t>The difference between the PRC and TDC amounts is the value of these LTIP units as of December 31, 2022 compared to the grant amount</w:t>
                            </w:r>
                            <w:r>
                              <w:rPr>
                                <w:rFonts w:ascii="Arial" w:hAnsi="Arial"/>
                                <w:sz w:val="15"/>
                              </w:rPr>
                              <w:t>.</w:t>
                            </w:r>
                          </w:p>
                          <w:p>
                            <w:pPr>
                              <w:pStyle w:val="TableContents"/>
                              <w:spacing w:before="0" w:after="0"/>
                              <w:jc w:val="left"/>
                              <w:rPr>
                                <w:rFonts w:ascii="Arial" w:hAnsi="Arial"/>
                                <w:sz w:val="15"/>
                              </w:rPr>
                            </w:pPr>
                            <w:r>
                              <w:rPr>
                                <w:rFonts w:ascii="Arial" w:hAnsi="Arial"/>
                                <w:sz w:val="15"/>
                              </w:rPr>
                              <w:t>The award relates to the following LTIP units:</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8245" w:type="dxa"/>
                            <w:gridSpan w:val="4"/>
                            <w:tcBorders>
                              <w:top w:val="single" w:sz="16" w:space="0" w:color="1A2343"/>
                              <w:bottom w:val="single" w:sz="16" w:space="0" w:color="1A2343"/>
                            </w:tcBorders>
                            <w:shd w:fill="auto" w:val="clear"/>
                            <w:tcMar>
                              <w:top w:w="40" w:type="dxa"/>
                            </w:tcMar>
                            <w:vAlign w:val="center"/>
                          </w:tcPr>
                          <w:p>
                            <w:pPr>
                              <w:pStyle w:val="TableContents"/>
                              <w:spacing w:before="0" w:after="0"/>
                              <w:jc w:val="center"/>
                              <w:rPr>
                                <w:rFonts w:ascii="Arial" w:hAnsi="Arial"/>
                                <w:color w:val="1A2343"/>
                                <w:sz w:val="15"/>
                              </w:rPr>
                            </w:pPr>
                            <w:r>
                              <w:rPr>
                                <w:rFonts w:ascii="Arial" w:hAnsi="Arial"/>
                                <w:color w:val="1A2343"/>
                                <w:sz w:val="15"/>
                              </w:rPr>
                              <w:t>2022 Performance-Based Award –</w:t>
                              <w:br/>
                              <w:t>Number of LTIP Units Granted</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2003"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Threshold</w:t>
                            </w:r>
                          </w:p>
                        </w:tc>
                        <w:tc>
                          <w:tcPr>
                            <w:tcW w:w="1326"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Target</w:t>
                            </w:r>
                          </w:p>
                        </w:tc>
                        <w:tc>
                          <w:tcPr>
                            <w:tcW w:w="1876"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Maximum</w:t>
                            </w:r>
                          </w:p>
                        </w:tc>
                        <w:tc>
                          <w:tcPr>
                            <w:tcW w:w="3040" w:type="dxa"/>
                            <w:tcBorders>
                              <w:bottom w:val="single" w:sz="12" w:space="0" w:color="1A2343"/>
                            </w:tcBorders>
                            <w:shd w:fill="auto" w:val="clear"/>
                            <w:vAlign w:val="center"/>
                          </w:tcPr>
                          <w:p>
                            <w:pPr>
                              <w:pStyle w:val="TableContents"/>
                              <w:spacing w:before="0" w:after="0"/>
                              <w:jc w:val="right"/>
                              <w:rPr>
                                <w:rFonts w:ascii="Arial" w:hAnsi="Arial"/>
                                <w:color w:val="1A2343"/>
                                <w:sz w:val="15"/>
                              </w:rPr>
                            </w:pPr>
                            <w:r>
                              <w:rPr>
                                <w:rFonts w:ascii="Arial" w:hAnsi="Arial"/>
                                <w:color w:val="1A2343"/>
                                <w:sz w:val="15"/>
                              </w:rPr>
                              <w:t>Projected Earned</w:t>
                              <w:br/>
                              <w:t>as of 12/31/2022</w:t>
                            </w:r>
                          </w:p>
                        </w:tc>
                      </w:tr>
                      <w:tr>
                        <w:trPr/>
                        <w:tc>
                          <w:tcPr>
                            <w:tcW w:w="980" w:type="dxa"/>
                            <w:tcBorders/>
                            <w:shd w:fill="F3F6EA"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2003"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3,529</w:t>
                            </w:r>
                          </w:p>
                        </w:tc>
                        <w:tc>
                          <w:tcPr>
                            <w:tcW w:w="1326"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7,528</w:t>
                            </w:r>
                          </w:p>
                        </w:tc>
                        <w:tc>
                          <w:tcPr>
                            <w:tcW w:w="1876"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16,939</w:t>
                            </w:r>
                          </w:p>
                        </w:tc>
                        <w:tc>
                          <w:tcPr>
                            <w:tcW w:w="3040" w:type="dxa"/>
                            <w:tcBorders>
                              <w:bottom w:val="single" w:sz="12" w:space="0" w:color="1A2343"/>
                            </w:tcBorders>
                            <w:shd w:fill="auto" w:val="clear"/>
                            <w:vAlign w:val="center"/>
                          </w:tcPr>
                          <w:p>
                            <w:pPr>
                              <w:pStyle w:val="TableContents"/>
                              <w:spacing w:before="0" w:after="0"/>
                              <w:jc w:val="right"/>
                              <w:rPr>
                                <w:rFonts w:ascii="Arial" w:hAnsi="Arial"/>
                                <w:sz w:val="15"/>
                              </w:rPr>
                            </w:pPr>
                            <w:r>
                              <w:rPr>
                                <w:rFonts w:ascii="Arial" w:hAnsi="Arial"/>
                                <w:sz w:val="15"/>
                              </w:rPr>
                              <w:t>4,653</w:t>
                            </w:r>
                          </w:p>
                        </w:tc>
                      </w:tr>
                      <w:tr>
                        <w:trPr/>
                        <w:tc>
                          <w:tcPr>
                            <w:tcW w:w="980" w:type="dxa"/>
                            <w:tcBorders>
                              <w:bottom w:val="single" w:sz="8" w:space="0" w:color="5B5975"/>
                            </w:tcBorders>
                            <w:shd w:fill="F3F6EA"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8245" w:type="dxa"/>
                            <w:gridSpan w:val="4"/>
                            <w:tcBorders>
                              <w:bottom w:val="single" w:sz="8" w:space="0" w:color="5B5975"/>
                            </w:tcBorders>
                            <w:shd w:fill="auto" w:val="clear"/>
                            <w:vAlign w:val="center"/>
                          </w:tcPr>
                          <w:p>
                            <w:pPr>
                              <w:pStyle w:val="TableContents"/>
                              <w:spacing w:before="0" w:after="0"/>
                              <w:jc w:val="left"/>
                              <w:rPr>
                                <w:rFonts w:ascii="Arial" w:hAnsi="Arial"/>
                                <w:sz w:val="15"/>
                              </w:rPr>
                            </w:pPr>
                            <w:r>
                              <w:rPr>
                                <w:rFonts w:ascii="Arial" w:hAnsi="Arial"/>
                                <w:sz w:val="15"/>
                              </w:rPr>
                              <w:t>The actual number of LTIP units earned will be determined based on Company performance measured after the end of the full performance period ending December 31, 2024, based on our absolute and relative TSR, with earned LTIP units vesting 50% as of December 31, 2024 and 50% as of December 31, 2025.</w:t>
                            </w:r>
                          </w:p>
                        </w:tc>
                      </w:tr>
                      <w:tr>
                        <w:trPr/>
                        <w:tc>
                          <w:tcPr>
                            <w:tcW w:w="980" w:type="dxa"/>
                            <w:tcBorders>
                              <w:bottom w:val="single" w:sz="8" w:space="0" w:color="5B5975"/>
                            </w:tcBorders>
                            <w:shd w:fill="F3F6EA" w:val="clear"/>
                            <w:vAlign w:val="center"/>
                          </w:tcPr>
                          <w:p>
                            <w:pPr>
                              <w:pStyle w:val="TableContents"/>
                              <w:spacing w:before="0" w:after="0"/>
                              <w:jc w:val="left"/>
                              <w:rPr/>
                            </w:pPr>
                            <w:r>
                              <w:rPr>
                                <w:rFonts w:ascii="Arial" w:hAnsi="Arial"/>
                                <w:color w:val="1A2343"/>
                                <w:sz w:val="36"/>
                              </w:rPr>
                              <w:t>52%</w:t>
                              <w:br/>
                            </w:r>
                            <w:r>
                              <w:rPr>
                                <w:rFonts w:ascii="Arial" w:hAnsi="Arial"/>
                                <w:b/>
                                <w:sz w:val="20"/>
                              </w:rPr>
                              <w:t>$1,770,165</w:t>
                            </w:r>
                          </w:p>
                        </w:tc>
                        <w:tc>
                          <w:tcPr>
                            <w:tcW w:w="980" w:type="dxa"/>
                            <w:tcBorders>
                              <w:bottom w:val="single" w:sz="8" w:space="0" w:color="5B5975"/>
                            </w:tcBorders>
                            <w:shd w:fill="auto" w:val="clear"/>
                            <w:vAlign w:val="center"/>
                          </w:tcPr>
                          <w:p>
                            <w:pPr>
                              <w:pStyle w:val="TableContents"/>
                              <w:spacing w:before="0" w:after="0"/>
                              <w:jc w:val="left"/>
                              <w:rPr/>
                            </w:pPr>
                            <w:r>
                              <w:rPr>
                                <w:rFonts w:ascii="Arial" w:hAnsi="Arial"/>
                                <w:color w:val="1A2343"/>
                                <w:sz w:val="36"/>
                              </w:rPr>
                              <w:t>52%</w:t>
                              <w:br/>
                            </w:r>
                            <w:r>
                              <w:rPr>
                                <w:rFonts w:ascii="Arial" w:hAnsi="Arial"/>
                                <w:b/>
                                <w:sz w:val="20"/>
                              </w:rPr>
                              <w:t>$2,300,000</w:t>
                            </w:r>
                          </w:p>
                        </w:tc>
                        <w:tc>
                          <w:tcPr>
                            <w:tcW w:w="8245" w:type="dxa"/>
                            <w:gridSpan w:val="4"/>
                            <w:tcBorders>
                              <w:bottom w:val="single" w:sz="8" w:space="0" w:color="5B5975"/>
                            </w:tcBorders>
                            <w:shd w:fill="auto" w:val="clear"/>
                            <w:vAlign w:val="center"/>
                          </w:tcPr>
                          <w:p>
                            <w:pPr>
                              <w:pStyle w:val="TableContents"/>
                              <w:spacing w:before="0" w:after="0"/>
                              <w:jc w:val="left"/>
                              <w:rPr>
                                <w:rFonts w:ascii="Arial" w:hAnsi="Arial"/>
                                <w:b/>
                                <w:sz w:val="20"/>
                              </w:rPr>
                            </w:pPr>
                            <w:r>
                              <w:rPr>
                                <w:rFonts w:ascii="Arial" w:hAnsi="Arial"/>
                                <w:b/>
                                <w:sz w:val="20"/>
                              </w:rPr>
                              <w:t>Time-Based Equity Awards</w:t>
                            </w:r>
                          </w:p>
                          <w:p>
                            <w:pPr>
                              <w:pStyle w:val="TableContents"/>
                              <w:spacing w:before="0" w:after="0"/>
                              <w:jc w:val="left"/>
                              <w:rPr/>
                            </w:pPr>
                            <w:r>
                              <w:rPr>
                                <w:rFonts w:ascii="Arial" w:hAnsi="Arial"/>
                                <w:sz w:val="15"/>
                              </w:rPr>
                              <w:t xml:space="preserve">The Committee granted time-based awards in January 2023 based on the company’s 2022 performance. The awards had a target value of </w:t>
                            </w:r>
                            <w:r>
                              <w:rPr>
                                <w:rFonts w:ascii="Arial" w:hAnsi="Arial"/>
                                <w:b/>
                                <w:sz w:val="15"/>
                              </w:rPr>
                              <w:t>$1,300,000</w:t>
                            </w:r>
                            <w:r>
                              <w:rPr>
                                <w:rFonts w:ascii="Arial" w:hAnsi="Arial"/>
                                <w:sz w:val="15"/>
                              </w:rPr>
                              <w:t xml:space="preserve">, equal to the target amount set forth in Mr. Levine’s employment agreement. The corresponding </w:t>
                            </w:r>
                            <w:r>
                              <w:rPr>
                                <w:rFonts w:ascii="Arial" w:hAnsi="Arial"/>
                                <w:b/>
                                <w:sz w:val="15"/>
                              </w:rPr>
                              <w:t>38,756</w:t>
                            </w:r>
                            <w:r>
                              <w:rPr>
                                <w:rFonts w:ascii="Arial" w:hAnsi="Arial"/>
                                <w:sz w:val="15"/>
                              </w:rPr>
                              <w:t xml:space="preserve"> LTIP units vest in three equal installments on January 1, 2024, 2025 and 2026.</w:t>
                            </w:r>
                          </w:p>
                          <w:p>
                            <w:pPr>
                              <w:pStyle w:val="TableContents"/>
                              <w:spacing w:before="0" w:after="0"/>
                              <w:jc w:val="left"/>
                              <w:rPr/>
                            </w:pPr>
                            <w:r>
                              <w:rPr>
                                <w:rFonts w:ascii="Arial" w:hAnsi="Arial"/>
                                <w:sz w:val="15"/>
                              </w:rPr>
                              <w:t xml:space="preserve">In line with the rest of the executive team (other than our CEO and our President), the Committee also awarded a one-time grant of </w:t>
                            </w:r>
                            <w:r>
                              <w:rPr>
                                <w:rFonts w:ascii="Arial" w:hAnsi="Arial"/>
                                <w:b/>
                                <w:sz w:val="15"/>
                              </w:rPr>
                              <w:t>13,740</w:t>
                            </w:r>
                            <w:r>
                              <w:rPr>
                                <w:rFonts w:ascii="Arial" w:hAnsi="Arial"/>
                                <w:sz w:val="15"/>
                              </w:rPr>
                              <w:t xml:space="preserve"> LTIP units in connection with our One Madison development project. One-third of these LTIP units vested or will vest on each of December 31, 2022, 2023 and 2024. </w:t>
                            </w:r>
                            <w:r>
                              <w:rPr>
                                <w:rFonts w:ascii="Arial" w:hAnsi="Arial"/>
                                <w:b/>
                                <w:sz w:val="15"/>
                              </w:rPr>
                              <w:t>The difference between the PRC and TDC amounts is the value of these LTIP units as of December 31, 2022 compared to the grant amounts</w:t>
                            </w:r>
                            <w:r>
                              <w:rPr>
                                <w:rFonts w:ascii="Arial" w:hAnsi="Arial"/>
                                <w:sz w:val="15"/>
                              </w:rPr>
                              <w:t>.</w:t>
                            </w:r>
                          </w:p>
                        </w:tc>
                      </w:tr>
                      <w:tr>
                        <w:trPr/>
                        <w:tc>
                          <w:tcPr>
                            <w:tcW w:w="980" w:type="dxa"/>
                            <w:tcBorders>
                              <w:bottom w:val="single" w:sz="12" w:space="0" w:color="1A2343"/>
                            </w:tcBorders>
                            <w:shd w:fill="F3F6EA" w:val="clear"/>
                            <w:vAlign w:val="center"/>
                          </w:tcPr>
                          <w:p>
                            <w:pPr>
                              <w:pStyle w:val="TableContents"/>
                              <w:spacing w:before="0" w:after="0"/>
                              <w:jc w:val="left"/>
                              <w:rPr/>
                            </w:pPr>
                            <w:r>
                              <w:rPr>
                                <w:rFonts w:ascii="Arial" w:hAnsi="Arial"/>
                                <w:color w:val="1A2343"/>
                                <w:sz w:val="36"/>
                              </w:rPr>
                              <w:t>100%</w:t>
                              <w:br/>
                            </w:r>
                            <w:r>
                              <w:rPr>
                                <w:rFonts w:ascii="Arial" w:hAnsi="Arial"/>
                                <w:b/>
                                <w:sz w:val="20"/>
                              </w:rPr>
                              <w:t>$3,415,340</w:t>
                            </w:r>
                          </w:p>
                        </w:tc>
                        <w:tc>
                          <w:tcPr>
                            <w:tcW w:w="980" w:type="dxa"/>
                            <w:tcBorders>
                              <w:bottom w:val="single" w:sz="12" w:space="0" w:color="1A2343"/>
                            </w:tcBorders>
                            <w:shd w:fill="auto" w:val="clear"/>
                            <w:vAlign w:val="center"/>
                          </w:tcPr>
                          <w:p>
                            <w:pPr>
                              <w:pStyle w:val="TableContents"/>
                              <w:spacing w:before="0" w:after="0"/>
                              <w:jc w:val="left"/>
                              <w:rPr/>
                            </w:pPr>
                            <w:r>
                              <w:rPr>
                                <w:rFonts w:ascii="Arial" w:hAnsi="Arial"/>
                                <w:color w:val="1A2343"/>
                                <w:sz w:val="36"/>
                              </w:rPr>
                              <w:t>100%</w:t>
                              <w:br/>
                            </w:r>
                            <w:r>
                              <w:rPr>
                                <w:rFonts w:ascii="Arial" w:hAnsi="Arial"/>
                                <w:b/>
                                <w:sz w:val="20"/>
                              </w:rPr>
                              <w:t>$4,397,756</w:t>
                            </w:r>
                          </w:p>
                        </w:tc>
                        <w:tc>
                          <w:tcPr>
                            <w:tcW w:w="8245" w:type="dxa"/>
                            <w:gridSpan w:val="4"/>
                            <w:tcBorders>
                              <w:bottom w:val="single" w:sz="12" w:space="0" w:color="1A2343"/>
                            </w:tcBorders>
                            <w:shd w:fill="auto" w:val="clear"/>
                            <w:vAlign w:val="center"/>
                          </w:tcPr>
                          <w:p>
                            <w:pPr>
                              <w:pStyle w:val="TableContents"/>
                              <w:spacing w:before="0" w:after="0"/>
                              <w:jc w:val="left"/>
                              <w:rPr>
                                <w:rFonts w:ascii="Arial" w:hAnsi="Arial"/>
                                <w:sz w:val="15"/>
                              </w:rPr>
                            </w:pPr>
                            <w:r>
                              <w:rPr>
                                <w:rFonts w:ascii="Arial" w:hAnsi="Arial"/>
                                <w:sz w:val="15"/>
                              </w:rPr>
                              <w:t>Both totals include $12,200 of “Other Compensation,” as reflected in the Summary Compensation Table.</w:t>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60</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b/>
          <w:color w:val="1A2343"/>
          <w:sz w:val="26"/>
        </w:rPr>
      </w:pPr>
      <w:r>
        <w:rPr>
          <w:rFonts w:ascii="Arial" w:hAnsi="Arial"/>
          <w:b/>
          <w:color w:val="1A2343"/>
          <w:sz w:val="26"/>
        </w:rPr>
        <w:t>Continuing Alignment of Pay and Performance</w:t>
      </w:r>
    </w:p>
    <w:p>
      <w:pPr>
        <w:pStyle w:val="TextBody"/>
        <w:jc w:val="left"/>
        <w:rPr>
          <w:rFonts w:ascii="Arial" w:hAnsi="Arial"/>
          <w:sz w:val="20"/>
        </w:rPr>
      </w:pPr>
      <w:r>
        <w:rPr>
          <w:rFonts w:ascii="Arial" w:hAnsi="Arial"/>
          <w:sz w:val="20"/>
        </w:rPr>
        <w:t>Through the first quarter of 2023, the PRC of each of our named executive officers continued to significantly decline underscoring the rigor of our compensation program and the alignment between pay and performance. The following table further contrasts the PRC of each of our named executive officers as of March 31, 2023, calculated in the same manner as above, against the total TDC and PRC amounts set forth on each of the NEO Scorecards.</w:t>
      </w:r>
    </w:p>
    <w:tbl>
      <w:tblPr>
        <w:tblW w:w="7115" w:type="dxa"/>
        <w:jc w:val="left"/>
        <w:tblInd w:w="0" w:type="dxa"/>
        <w:tblCellMar>
          <w:top w:w="0" w:type="dxa"/>
          <w:left w:w="0" w:type="dxa"/>
          <w:bottom w:w="40" w:type="dxa"/>
          <w:right w:w="0" w:type="dxa"/>
        </w:tblCellMar>
      </w:tblPr>
      <w:tblGrid>
        <w:gridCol w:w="1925"/>
        <w:gridCol w:w="300"/>
        <w:gridCol w:w="185"/>
        <w:gridCol w:w="980"/>
        <w:gridCol w:w="300"/>
        <w:gridCol w:w="605"/>
        <w:gridCol w:w="980"/>
        <w:gridCol w:w="300"/>
        <w:gridCol w:w="665"/>
        <w:gridCol w:w="875"/>
      </w:tblGrid>
      <w:tr>
        <w:trPr/>
        <w:tc>
          <w:tcPr>
            <w:tcW w:w="1925"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Executive</w:t>
            </w:r>
          </w:p>
        </w:tc>
        <w:tc>
          <w:tcPr>
            <w:tcW w:w="300" w:type="dxa"/>
            <w:tcBorders/>
            <w:shd w:fill="auto" w:val="clear"/>
            <w:tcMar>
              <w:bottom w:w="0" w:type="dxa"/>
            </w:tcMar>
            <w:vAlign w:val="center"/>
          </w:tcPr>
          <w:p>
            <w:pPr>
              <w:pStyle w:val="TableContents"/>
              <w:spacing w:before="0" w:after="283"/>
              <w:jc w:val="left"/>
              <w:rPr/>
            </w:pPr>
            <w:r>
              <w:rPr/>
              <w:t>     </w:t>
            </w:r>
          </w:p>
        </w:tc>
        <w:tc>
          <w:tcPr>
            <w:tcW w:w="116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2022 TDC</w:t>
            </w:r>
          </w:p>
        </w:tc>
        <w:tc>
          <w:tcPr>
            <w:tcW w:w="300" w:type="dxa"/>
            <w:tcBorders/>
            <w:shd w:fill="auto" w:val="clear"/>
            <w:tcMar>
              <w:bottom w:w="0" w:type="dxa"/>
            </w:tcMar>
            <w:vAlign w:val="center"/>
          </w:tcPr>
          <w:p>
            <w:pPr>
              <w:pStyle w:val="TableContents"/>
              <w:spacing w:before="0" w:after="283"/>
              <w:jc w:val="right"/>
              <w:rPr/>
            </w:pPr>
            <w:r>
              <w:rPr/>
              <w:t>     </w:t>
            </w:r>
          </w:p>
        </w:tc>
        <w:tc>
          <w:tcPr>
            <w:tcW w:w="158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PRC as of 12/31/2022</w:t>
            </w:r>
          </w:p>
        </w:tc>
        <w:tc>
          <w:tcPr>
            <w:tcW w:w="300" w:type="dxa"/>
            <w:tcBorders/>
            <w:shd w:fill="auto" w:val="clear"/>
            <w:tcMar>
              <w:bottom w:w="0" w:type="dxa"/>
            </w:tcMar>
            <w:vAlign w:val="center"/>
          </w:tcPr>
          <w:p>
            <w:pPr>
              <w:pStyle w:val="TableContents"/>
              <w:spacing w:before="0" w:after="283"/>
              <w:jc w:val="right"/>
              <w:rPr/>
            </w:pPr>
            <w:r>
              <w:rPr/>
              <w:t>     </w:t>
            </w:r>
          </w:p>
        </w:tc>
        <w:tc>
          <w:tcPr>
            <w:tcW w:w="1540"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PRC as of 3/31/2023</w:t>
            </w:r>
          </w:p>
        </w:tc>
      </w:tr>
      <w:tr>
        <w:trPr/>
        <w:tc>
          <w:tcPr>
            <w:tcW w:w="192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Marc Holliday</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pPr>
            <w:r>
              <w:rPr/>
              <w:t> </w:t>
            </w: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15,427,247</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605" w:type="dxa"/>
            <w:tcBorders>
              <w:bottom w:val="single" w:sz="8" w:space="0" w:color="5B5975"/>
            </w:tcBorders>
            <w:shd w:fill="auto" w:val="clear"/>
            <w:tcMar>
              <w:bottom w:w="28" w:type="dxa"/>
            </w:tcMar>
            <w:vAlign w:val="center"/>
          </w:tcPr>
          <w:p>
            <w:pPr>
              <w:pStyle w:val="TableContents"/>
              <w:spacing w:before="0" w:after="283"/>
              <w:jc w:val="right"/>
              <w:rPr/>
            </w:pPr>
            <w:r>
              <w:rPr/>
              <w:t>        </w:t>
            </w: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10,002,202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665" w:type="dxa"/>
            <w:tcBorders>
              <w:bottom w:val="single" w:sz="8" w:space="0" w:color="5B5975"/>
            </w:tcBorders>
            <w:shd w:fill="auto" w:val="clear"/>
            <w:tcMar>
              <w:bottom w:w="28" w:type="dxa"/>
            </w:tcMar>
            <w:vAlign w:val="center"/>
          </w:tcPr>
          <w:p>
            <w:pPr>
              <w:pStyle w:val="TableContents"/>
              <w:spacing w:before="0" w:after="283"/>
              <w:jc w:val="right"/>
              <w:rPr/>
            </w:pPr>
            <w:r>
              <w:rPr/>
              <w:t>         </w:t>
            </w: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7,695,390</w:t>
            </w:r>
          </w:p>
        </w:tc>
      </w:tr>
      <w:tr>
        <w:trPr/>
        <w:tc>
          <w:tcPr>
            <w:tcW w:w="192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Andrew Mathias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11,867,039</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60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7,493,231</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66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5,530,771</w:t>
            </w:r>
          </w:p>
        </w:tc>
      </w:tr>
      <w:tr>
        <w:trPr/>
        <w:tc>
          <w:tcPr>
            <w:tcW w:w="192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Matthew J. DiLiberto</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4,992,756</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60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4,046,724</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66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3,219,554</w:t>
            </w:r>
          </w:p>
        </w:tc>
      </w:tr>
      <w:tr>
        <w:trPr/>
        <w:tc>
          <w:tcPr>
            <w:tcW w:w="1925" w:type="dxa"/>
            <w:tcBorders>
              <w:bottom w:val="single" w:sz="12" w:space="0" w:color="1A2343"/>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Andrew S. Levine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4,397,756</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60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3,415,340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66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7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2,561,365</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F3F6EA" w:val="clear"/>
            <w:vAlign w:val="center"/>
          </w:tcPr>
          <w:p>
            <w:pPr>
              <w:pStyle w:val="TableContents"/>
              <w:spacing w:before="0" w:after="283"/>
              <w:jc w:val="left"/>
              <w:rPr>
                <w:rFonts w:ascii="Arial" w:hAnsi="Arial"/>
                <w:sz w:val="20"/>
              </w:rPr>
            </w:pPr>
            <w:r>
              <w:rPr>
                <w:rFonts w:ascii="Arial" w:hAnsi="Arial"/>
                <w:sz w:val="20"/>
              </w:rPr>
              <w:t>The projected realizable compensation for all of our NEOs continued to decrease from 2022 TDC and PRC at year end 2022. For Messrs. Holliday and Mathias, PRC for 2022 as of March 31, 2023 represented less than 50% of the 2022 TDC amount.</w:t>
            </w:r>
          </w:p>
        </w:tc>
      </w:tr>
    </w:tbl>
    <w:p>
      <w:pPr>
        <w:pStyle w:val="TextBody"/>
        <w:spacing w:before="240" w:after="0"/>
        <w:jc w:val="left"/>
        <w:rPr>
          <w:rFonts w:ascii="Arial" w:hAnsi="Arial"/>
          <w:b/>
          <w:color w:val="1A2343"/>
          <w:sz w:val="26"/>
        </w:rPr>
      </w:pPr>
      <w:r>
        <w:rPr>
          <w:rFonts w:ascii="Arial" w:hAnsi="Arial"/>
          <w:b/>
          <w:color w:val="1A2343"/>
          <w:sz w:val="26"/>
        </w:rPr>
        <w:t>Other Compensation Policies and Information</w:t>
      </w:r>
    </w:p>
    <w:p>
      <w:pPr>
        <w:pStyle w:val="TextBody"/>
        <w:pBdr/>
        <w:spacing w:before="0" w:after="283"/>
        <w:jc w:val="left"/>
        <w:rPr>
          <w:rFonts w:ascii="Arial" w:hAnsi="Arial"/>
          <w:b/>
          <w:color w:val="8EAD3C"/>
          <w:sz w:val="22"/>
        </w:rPr>
      </w:pPr>
      <w:r>
        <w:rPr>
          <w:rFonts w:ascii="Arial" w:hAnsi="Arial"/>
          <w:b/>
          <w:color w:val="8EAD3C"/>
          <w:sz w:val="22"/>
        </w:rPr>
        <w:t>How We Determine Executive Compensation</w:t>
      </w:r>
    </w:p>
    <w:p>
      <w:pPr>
        <w:pStyle w:val="TextBody"/>
        <w:jc w:val="left"/>
        <w:rPr>
          <w:rFonts w:ascii="Arial" w:hAnsi="Arial"/>
          <w:sz w:val="20"/>
        </w:rPr>
      </w:pPr>
      <w:r>
        <w:rPr>
          <w:rFonts w:ascii="Arial" w:hAnsi="Arial"/>
          <w:sz w:val="20"/>
        </w:rPr>
        <w:t>The Committee determines compensation for our named executive officers and is comprised of three of our independent directors, Lauren B. Dillard (Chair), Edwin T. Burton, III and John S. Levy.</w:t>
      </w:r>
    </w:p>
    <w:p>
      <w:pPr>
        <w:pStyle w:val="TextBody"/>
        <w:jc w:val="left"/>
        <w:rPr>
          <w:rFonts w:ascii="Arial" w:hAnsi="Arial"/>
          <w:sz w:val="20"/>
        </w:rPr>
      </w:pPr>
      <w:r>
        <w:rPr>
          <w:rFonts w:ascii="Arial" w:hAnsi="Arial"/>
          <w:sz w:val="20"/>
        </w:rPr>
        <w:t>The Committee receives input from a number of sources each year to inform its final compensation determinations for our named executive officers. These final determinations are made solely by the Committee.</w:t>
      </w:r>
    </w:p>
    <w:tbl>
      <w:tblPr>
        <w:tblW w:w="10205" w:type="dxa"/>
        <w:jc w:val="left"/>
        <w:tblInd w:w="0" w:type="dxa"/>
        <w:tblCellMar>
          <w:top w:w="0" w:type="dxa"/>
          <w:left w:w="0" w:type="dxa"/>
          <w:bottom w:w="0" w:type="dxa"/>
          <w:right w:w="0" w:type="dxa"/>
        </w:tblCellMar>
      </w:tblPr>
      <w:tblGrid>
        <w:gridCol w:w="1484"/>
        <w:gridCol w:w="300"/>
        <w:gridCol w:w="8421"/>
      </w:tblGrid>
      <w:tr>
        <w:trPr/>
        <w:tc>
          <w:tcPr>
            <w:tcW w:w="1484" w:type="dxa"/>
            <w:tcBorders/>
            <w:shd w:fill="1A2343" w:val="clear"/>
            <w:vAlign w:val="center"/>
          </w:tcPr>
          <w:p>
            <w:pPr>
              <w:pStyle w:val="TableContents"/>
              <w:spacing w:before="0" w:after="283"/>
              <w:jc w:val="left"/>
              <w:rPr>
                <w:rFonts w:ascii="Arial" w:hAnsi="Arial"/>
                <w:b/>
                <w:color w:val="FFFFFF"/>
                <w:sz w:val="15"/>
              </w:rPr>
            </w:pPr>
            <w:r>
              <w:rPr>
                <w:rFonts w:ascii="Arial" w:hAnsi="Arial"/>
                <w:b/>
                <w:color w:val="FFFFFF"/>
                <w:sz w:val="15"/>
              </w:rPr>
              <w:t>Results</w:t>
            </w:r>
          </w:p>
        </w:tc>
        <w:tc>
          <w:tcPr>
            <w:tcW w:w="300" w:type="dxa"/>
            <w:tcBorders/>
            <w:shd w:fill="1A2343" w:val="clear"/>
            <w:vAlign w:val="center"/>
          </w:tcPr>
          <w:p>
            <w:pPr>
              <w:pStyle w:val="TableContents"/>
              <w:spacing w:before="0" w:after="283"/>
              <w:jc w:val="left"/>
              <w:rPr/>
            </w:pPr>
            <w:r>
              <w:rPr/>
              <w:t>     </w:t>
            </w:r>
          </w:p>
        </w:tc>
        <w:tc>
          <w:tcPr>
            <w:tcW w:w="8421" w:type="dxa"/>
            <w:tcBorders/>
            <w:shd w:fill="1A2343" w:val="clear"/>
            <w:vAlign w:val="center"/>
          </w:tcPr>
          <w:p>
            <w:pPr>
              <w:pStyle w:val="TableContents"/>
              <w:spacing w:before="0" w:after="0"/>
              <w:jc w:val="left"/>
              <w:rPr>
                <w:rFonts w:ascii="Arial" w:hAnsi="Arial"/>
                <w:b/>
                <w:color w:val="FFFFFF"/>
                <w:sz w:val="15"/>
              </w:rPr>
            </w:pPr>
            <w:r>
              <w:rPr>
                <w:rFonts w:ascii="Arial" w:hAnsi="Arial"/>
                <w:b/>
                <w:color w:val="FFFFFF"/>
                <w:sz w:val="15"/>
              </w:rPr>
              <w:t>The Committee synthesizes and analyzes the data and information provided by its independent compensation advisor, our CEO and FTI Consulting, as well as input from members of the Board of Directors and stockholders, and then makes final compensation decisions for our named executive officers in its sole discretion</w:t>
            </w:r>
          </w:p>
        </w:tc>
      </w:tr>
      <w:tr>
        <w:trPr/>
        <w:tc>
          <w:tcPr>
            <w:tcW w:w="1484" w:type="dxa"/>
            <w:tcBorders/>
            <w:shd w:fill="auto" w:val="clear"/>
            <w:vAlign w:val="center"/>
          </w:tcPr>
          <w:p>
            <w:pPr>
              <w:pStyle w:val="TableContents"/>
              <w:spacing w:before="0" w:after="0"/>
              <w:jc w:val="left"/>
              <w:rPr>
                <w:rFonts w:ascii="Arial" w:hAnsi="Arial"/>
                <w:b/>
                <w:color w:val="1A2343"/>
                <w:sz w:val="20"/>
              </w:rPr>
            </w:pPr>
            <w:r>
              <w:rPr>
                <w:rFonts w:ascii="Arial" w:hAnsi="Arial"/>
                <w:b/>
                <w:color w:val="1A2343"/>
                <w:sz w:val="20"/>
              </w:rPr>
              <w:t>Stockholder Engagement</w:t>
            </w:r>
          </w:p>
        </w:tc>
        <w:tc>
          <w:tcPr>
            <w:tcW w:w="300" w:type="dxa"/>
            <w:tcBorders/>
            <w:shd w:fill="auto" w:val="clear"/>
            <w:vAlign w:val="center"/>
          </w:tcPr>
          <w:p>
            <w:pPr>
              <w:pStyle w:val="TableContents"/>
              <w:spacing w:before="0" w:after="283"/>
              <w:rPr>
                <w:sz w:val="4"/>
                <w:szCs w:val="4"/>
              </w:rPr>
            </w:pPr>
            <w:r>
              <w:rPr>
                <w:sz w:val="4"/>
                <w:szCs w:val="4"/>
              </w:rPr>
            </w:r>
          </w:p>
        </w:tc>
        <w:tc>
          <w:tcPr>
            <w:tcW w:w="8421" w:type="dxa"/>
            <w:tcBorders>
              <w:bottom w:val="single" w:sz="8" w:space="0" w:color="B6C37D"/>
            </w:tcBorders>
            <w:shd w:fill="auto" w:val="clear"/>
            <w:tcMar>
              <w:bottom w:w="40" w:type="dxa"/>
            </w:tcMar>
            <w:vAlign w:val="center"/>
          </w:tcPr>
          <w:p>
            <w:pPr>
              <w:pStyle w:val="TableContents"/>
              <w:spacing w:before="0" w:after="0"/>
              <w:ind w:left="0" w:right="0" w:hanging="290"/>
              <w:jc w:val="left"/>
              <w:rPr/>
            </w:pPr>
            <w:r>
              <w:rPr/>
              <w:t>●</w:t>
            </w:r>
            <w:r>
              <w:rPr>
                <w:rFonts w:ascii="Arial" w:hAnsi="Arial"/>
                <w:sz w:val="20"/>
              </w:rPr>
              <w:t>The Committee Chair engages with a significant number of stockholders holding a substantial percentage of outstanding shares and considers all feedback it receives on current and prior compensation practices</w:t>
            </w:r>
          </w:p>
        </w:tc>
      </w:tr>
      <w:tr>
        <w:trPr/>
        <w:tc>
          <w:tcPr>
            <w:tcW w:w="1484" w:type="dxa"/>
            <w:tcBorders/>
            <w:shd w:fill="auto" w:val="clear"/>
            <w:vAlign w:val="center"/>
          </w:tcPr>
          <w:p>
            <w:pPr>
              <w:pStyle w:val="TableContents"/>
              <w:spacing w:before="0" w:after="0"/>
              <w:jc w:val="left"/>
              <w:rPr>
                <w:rFonts w:ascii="Arial" w:hAnsi="Arial"/>
                <w:b/>
                <w:color w:val="1A2343"/>
                <w:sz w:val="20"/>
              </w:rPr>
            </w:pPr>
            <w:r>
              <w:rPr>
                <w:rFonts w:ascii="Arial" w:hAnsi="Arial"/>
                <w:b/>
                <w:color w:val="1A2343"/>
                <w:sz w:val="20"/>
              </w:rPr>
              <w:t>Full Board</w:t>
            </w:r>
          </w:p>
        </w:tc>
        <w:tc>
          <w:tcPr>
            <w:tcW w:w="300" w:type="dxa"/>
            <w:tcBorders/>
            <w:shd w:fill="auto" w:val="clear"/>
            <w:vAlign w:val="center"/>
          </w:tcPr>
          <w:p>
            <w:pPr>
              <w:pStyle w:val="TableContents"/>
              <w:spacing w:before="0" w:after="283"/>
              <w:rPr>
                <w:sz w:val="4"/>
                <w:szCs w:val="4"/>
              </w:rPr>
            </w:pPr>
            <w:r>
              <w:rPr>
                <w:sz w:val="4"/>
                <w:szCs w:val="4"/>
              </w:rPr>
            </w:r>
          </w:p>
        </w:tc>
        <w:tc>
          <w:tcPr>
            <w:tcW w:w="8421" w:type="dxa"/>
            <w:tcBorders>
              <w:bottom w:val="single" w:sz="8" w:space="0" w:color="B6C37D"/>
            </w:tcBorders>
            <w:shd w:fill="auto" w:val="clear"/>
            <w:tcMar>
              <w:bottom w:w="40" w:type="dxa"/>
            </w:tcMar>
            <w:vAlign w:val="center"/>
          </w:tcPr>
          <w:p>
            <w:pPr>
              <w:pStyle w:val="TableContents"/>
              <w:spacing w:before="0" w:after="0"/>
              <w:ind w:left="0" w:right="0" w:hanging="290"/>
              <w:jc w:val="left"/>
              <w:rPr/>
            </w:pPr>
            <w:r>
              <w:rPr/>
              <w:t>●</w:t>
            </w:r>
            <w:r>
              <w:rPr>
                <w:rFonts w:ascii="Arial" w:hAnsi="Arial"/>
                <w:sz w:val="20"/>
              </w:rPr>
              <w:t>The Committee regularly reports to the full Board to ensure management accountability with business objectives and alignment with stockholders</w:t>
            </w:r>
          </w:p>
        </w:tc>
      </w:tr>
      <w:tr>
        <w:trPr/>
        <w:tc>
          <w:tcPr>
            <w:tcW w:w="1484" w:type="dxa"/>
            <w:tcBorders/>
            <w:shd w:fill="auto" w:val="clear"/>
            <w:vAlign w:val="center"/>
          </w:tcPr>
          <w:p>
            <w:pPr>
              <w:pStyle w:val="TableContents"/>
              <w:spacing w:before="0" w:after="0"/>
              <w:jc w:val="left"/>
              <w:rPr>
                <w:rFonts w:ascii="Arial" w:hAnsi="Arial"/>
                <w:b/>
                <w:color w:val="1A2343"/>
                <w:sz w:val="20"/>
              </w:rPr>
            </w:pPr>
            <w:r>
              <w:rPr>
                <w:rFonts w:ascii="Arial" w:hAnsi="Arial"/>
                <w:b/>
                <w:color w:val="1A2343"/>
                <w:sz w:val="20"/>
              </w:rPr>
              <w:t>Committee and Chief</w:t>
              <w:br/>
              <w:t>Executive Officer</w:t>
            </w:r>
          </w:p>
        </w:tc>
        <w:tc>
          <w:tcPr>
            <w:tcW w:w="300" w:type="dxa"/>
            <w:tcBorders/>
            <w:shd w:fill="auto" w:val="clear"/>
            <w:vAlign w:val="center"/>
          </w:tcPr>
          <w:p>
            <w:pPr>
              <w:pStyle w:val="TableContents"/>
              <w:spacing w:before="0" w:after="283"/>
              <w:rPr>
                <w:sz w:val="4"/>
                <w:szCs w:val="4"/>
              </w:rPr>
            </w:pPr>
            <w:r>
              <w:rPr>
                <w:sz w:val="4"/>
                <w:szCs w:val="4"/>
              </w:rPr>
            </w:r>
          </w:p>
        </w:tc>
        <w:tc>
          <w:tcPr>
            <w:tcW w:w="8421" w:type="dxa"/>
            <w:tcBorders>
              <w:bottom w:val="single" w:sz="8" w:space="0" w:color="B6C37D"/>
            </w:tcBorders>
            <w:shd w:fill="auto" w:val="clear"/>
            <w:tcMar>
              <w:bottom w:w="40" w:type="dxa"/>
            </w:tcMar>
            <w:vAlign w:val="center"/>
          </w:tcPr>
          <w:p>
            <w:pPr>
              <w:pStyle w:val="TableContents"/>
              <w:spacing w:before="0" w:after="80"/>
              <w:ind w:left="0" w:right="0" w:hanging="290"/>
              <w:jc w:val="left"/>
              <w:rPr/>
            </w:pPr>
            <w:r>
              <w:rPr/>
              <w:t>●</w:t>
            </w:r>
            <w:r>
              <w:rPr>
                <w:rFonts w:ascii="Arial" w:hAnsi="Arial"/>
                <w:sz w:val="20"/>
              </w:rPr>
              <w:t>The Committee reviews named executive officer’s annual performance targets and criteria, the company’s absolute and relative TSR, the individual NEO’s execution of the Company’s long-term strategy, peer benchmarking and other market data provided by independent compensation consultants in formulating compensation recommendations</w:t>
            </w:r>
          </w:p>
          <w:p>
            <w:pPr>
              <w:pStyle w:val="TableContents"/>
              <w:spacing w:before="0" w:after="0"/>
              <w:ind w:left="0" w:right="0" w:hanging="290"/>
              <w:jc w:val="left"/>
              <w:rPr/>
            </w:pPr>
            <w:r>
              <w:rPr/>
              <w:t>●</w:t>
            </w:r>
            <w:r>
              <w:rPr>
                <w:rFonts w:ascii="Arial" w:hAnsi="Arial"/>
                <w:sz w:val="20"/>
              </w:rPr>
              <w:t>At the request of the Committee, our CEO also receives and reviews this market data and provides recommendations for the Committee’s consideration regarding the compensation of other named executive officers</w:t>
            </w:r>
          </w:p>
        </w:tc>
      </w:tr>
      <w:tr>
        <w:trPr/>
        <w:tc>
          <w:tcPr>
            <w:tcW w:w="1484" w:type="dxa"/>
            <w:tcBorders>
              <w:bottom w:val="single" w:sz="12" w:space="0" w:color="B6C37D"/>
            </w:tcBorders>
            <w:shd w:fill="auto" w:val="clear"/>
            <w:tcMar>
              <w:bottom w:w="40" w:type="dxa"/>
            </w:tcMar>
            <w:vAlign w:val="center"/>
          </w:tcPr>
          <w:p>
            <w:pPr>
              <w:pStyle w:val="TableContents"/>
              <w:spacing w:before="0" w:after="0"/>
              <w:jc w:val="left"/>
              <w:rPr>
                <w:rFonts w:ascii="Arial" w:hAnsi="Arial"/>
                <w:b/>
                <w:color w:val="1A2343"/>
                <w:sz w:val="20"/>
              </w:rPr>
            </w:pPr>
            <w:r>
              <w:rPr>
                <w:rFonts w:ascii="Arial" w:hAnsi="Arial"/>
                <w:b/>
                <w:color w:val="1A2343"/>
                <w:sz w:val="20"/>
              </w:rPr>
              <w:t>Consultants</w:t>
            </w:r>
          </w:p>
        </w:tc>
        <w:tc>
          <w:tcPr>
            <w:tcW w:w="300" w:type="dxa"/>
            <w:tcBorders>
              <w:bottom w:val="single" w:sz="12" w:space="0" w:color="B6C37D"/>
            </w:tcBorders>
            <w:shd w:fill="auto" w:val="clear"/>
            <w:tcMar>
              <w:bottom w:w="28" w:type="dxa"/>
            </w:tcMar>
            <w:vAlign w:val="center"/>
          </w:tcPr>
          <w:p>
            <w:pPr>
              <w:pStyle w:val="TableContents"/>
              <w:spacing w:before="0" w:after="283"/>
              <w:rPr>
                <w:sz w:val="4"/>
                <w:szCs w:val="4"/>
              </w:rPr>
            </w:pPr>
            <w:r>
              <w:rPr>
                <w:sz w:val="4"/>
                <w:szCs w:val="4"/>
              </w:rPr>
            </w:r>
          </w:p>
        </w:tc>
        <w:tc>
          <w:tcPr>
            <w:tcW w:w="8421" w:type="dxa"/>
            <w:tcBorders>
              <w:bottom w:val="single" w:sz="12" w:space="0" w:color="B6C37D"/>
            </w:tcBorders>
            <w:shd w:fill="auto" w:val="clear"/>
            <w:tcMar>
              <w:bottom w:w="40" w:type="dxa"/>
            </w:tcMar>
            <w:vAlign w:val="center"/>
          </w:tcPr>
          <w:p>
            <w:pPr>
              <w:pStyle w:val="TableContents"/>
              <w:spacing w:before="0" w:after="80"/>
              <w:jc w:val="left"/>
              <w:rPr>
                <w:rFonts w:ascii="Arial" w:hAnsi="Arial"/>
                <w:sz w:val="20"/>
              </w:rPr>
            </w:pPr>
            <w:r>
              <w:rPr>
                <w:rFonts w:ascii="Arial" w:hAnsi="Arial"/>
                <w:sz w:val="20"/>
              </w:rPr>
              <w:t>Gressle &amp; McGinley LLC</w:t>
            </w:r>
          </w:p>
          <w:p>
            <w:pPr>
              <w:pStyle w:val="TableContents"/>
              <w:spacing w:before="0" w:after="80"/>
              <w:ind w:left="0" w:right="0" w:hanging="350"/>
              <w:jc w:val="left"/>
              <w:rPr>
                <w:sz w:val="20"/>
              </w:rPr>
            </w:pPr>
            <w:r>
              <w:rPr>
                <w:sz w:val="19"/>
              </w:rPr>
              <w:t></w:t>
            </w:r>
            <w:r>
              <w:rPr>
                <w:rFonts w:ascii="Arial" w:hAnsi="Arial"/>
                <w:sz w:val="20"/>
              </w:rPr>
              <w:t>Retained as the Committee’s independent outside compensation adviser and regularly participates in compensation committee meetings</w:t>
            </w:r>
          </w:p>
          <w:p>
            <w:pPr>
              <w:pStyle w:val="TableContents"/>
              <w:spacing w:before="0" w:after="80"/>
              <w:ind w:left="0" w:right="0" w:hanging="350"/>
              <w:jc w:val="left"/>
              <w:rPr>
                <w:sz w:val="20"/>
              </w:rPr>
            </w:pPr>
            <w:r>
              <w:rPr>
                <w:sz w:val="19"/>
              </w:rPr>
              <w:t></w:t>
            </w:r>
            <w:r>
              <w:rPr>
                <w:rFonts w:ascii="Arial" w:hAnsi="Arial"/>
                <w:sz w:val="20"/>
              </w:rPr>
              <w:t>Provides updates and relevant data throughout the year on market conditions in light of our goals and objectives, including current market and peer group pay practices and then-existing policies of certain of our institutional investors, ISS, Glass Lewis and other governance groups</w:t>
            </w:r>
          </w:p>
          <w:p>
            <w:pPr>
              <w:pStyle w:val="TableContents"/>
              <w:spacing w:before="0" w:after="80"/>
              <w:ind w:left="0" w:right="0" w:hanging="350"/>
              <w:jc w:val="left"/>
              <w:rPr>
                <w:sz w:val="20"/>
              </w:rPr>
            </w:pPr>
            <w:r>
              <w:rPr>
                <w:sz w:val="19"/>
              </w:rPr>
              <w:t></w:t>
            </w:r>
            <w:r>
              <w:rPr>
                <w:rFonts w:ascii="Arial" w:hAnsi="Arial"/>
                <w:sz w:val="20"/>
              </w:rPr>
              <w:t>Offers the Committee independent analysis and recommendations concerning executive compensation</w:t>
            </w:r>
          </w:p>
          <w:p>
            <w:pPr>
              <w:pStyle w:val="TableContents"/>
              <w:spacing w:before="0" w:after="0"/>
              <w:ind w:left="0" w:right="0" w:hanging="350"/>
              <w:jc w:val="left"/>
              <w:rPr>
                <w:sz w:val="20"/>
              </w:rPr>
            </w:pPr>
            <w:r>
              <w:rPr>
                <w:sz w:val="19"/>
              </w:rPr>
              <w:t></w:t>
            </w:r>
            <w:r>
              <w:rPr>
                <w:rFonts w:ascii="Arial" w:hAnsi="Arial"/>
                <w:sz w:val="20"/>
              </w:rPr>
              <w:t>Does not provide any additional services to the Company</w:t>
            </w:r>
          </w:p>
          <w:p>
            <w:pPr>
              <w:pStyle w:val="TableContents"/>
              <w:spacing w:before="80" w:after="80"/>
              <w:jc w:val="left"/>
              <w:rPr>
                <w:rFonts w:ascii="Arial" w:hAnsi="Arial"/>
                <w:sz w:val="20"/>
              </w:rPr>
            </w:pPr>
            <w:r>
              <w:rPr>
                <w:rFonts w:ascii="Arial" w:hAnsi="Arial"/>
                <w:sz w:val="20"/>
              </w:rPr>
              <w:t>FTI Consulting</w:t>
            </w:r>
          </w:p>
          <w:p>
            <w:pPr>
              <w:pStyle w:val="TableContents"/>
              <w:spacing w:before="0" w:after="0"/>
              <w:ind w:left="0" w:right="0" w:hanging="350"/>
              <w:jc w:val="left"/>
              <w:rPr>
                <w:sz w:val="20"/>
              </w:rPr>
            </w:pPr>
            <w:r>
              <w:rPr>
                <w:sz w:val="19"/>
              </w:rPr>
              <w:t></w:t>
            </w:r>
            <w:r>
              <w:rPr>
                <w:rFonts w:ascii="Arial" w:hAnsi="Arial"/>
                <w:sz w:val="20"/>
              </w:rPr>
              <w:t>Retained by management as a general business advisor, including for compensation matters, and in connection with the preparation of the Pay Versus Performance disclosure in this proxy statement (FTI Consulting had relationships with certain officers of the Company during 2022)</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455" w:type="dxa"/>
        <w:jc w:val="left"/>
        <w:tblInd w:w="0" w:type="dxa"/>
        <w:tblCellMar>
          <w:top w:w="0" w:type="dxa"/>
          <w:left w:w="0" w:type="dxa"/>
          <w:bottom w:w="0" w:type="dxa"/>
          <w:right w:w="0" w:type="dxa"/>
        </w:tblCellMar>
      </w:tblPr>
      <w:tblGrid>
        <w:gridCol w:w="2165"/>
        <w:gridCol w:w="290"/>
      </w:tblGrid>
      <w:tr>
        <w:trPr/>
        <w:tc>
          <w:tcPr>
            <w:tcW w:w="2165" w:type="dxa"/>
            <w:tcBorders/>
            <w:shd w:fill="auto" w:val="clear"/>
            <w:vAlign w:val="center"/>
          </w:tcPr>
          <w:p>
            <w:pPr>
              <w:pStyle w:val="TableContents"/>
              <w:spacing w:before="0" w:after="283"/>
              <w:jc w:val="left"/>
              <w:rPr>
                <w:rFonts w:ascii="Arial" w:hAnsi="Arial"/>
                <w:b/>
                <w:sz w:val="15"/>
              </w:rPr>
            </w:pPr>
            <w:r>
              <w:rPr>
                <w:rFonts w:ascii="Arial" w:hAnsi="Arial"/>
                <w:b/>
                <w:sz w:val="15"/>
              </w:rPr>
              <w:t>EXECUTIVE COMPENSATION</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61</w:t>
            </w:r>
          </w:p>
        </w:tc>
      </w:tr>
    </w:tbl>
    <w:p>
      <w:pPr>
        <w:pStyle w:val="TextBody"/>
        <w:spacing w:before="240" w:after="283"/>
        <w:jc w:val="left"/>
        <w:rPr>
          <w:rFonts w:ascii="Arial" w:hAnsi="Arial"/>
          <w:b/>
          <w:color w:val="8EAD3C"/>
          <w:sz w:val="22"/>
        </w:rPr>
      </w:pPr>
      <w:r>
        <w:rPr>
          <w:rFonts w:ascii="Arial" w:hAnsi="Arial"/>
          <w:b/>
          <w:color w:val="8EAD3C"/>
          <w:sz w:val="22"/>
        </w:rPr>
        <w:t>Compensation Practices</w:t>
      </w:r>
    </w:p>
    <w:p>
      <w:pPr>
        <w:pStyle w:val="TextBody"/>
        <w:jc w:val="left"/>
        <w:rPr>
          <w:rFonts w:ascii="Arial" w:hAnsi="Arial"/>
          <w:sz w:val="20"/>
        </w:rPr>
      </w:pPr>
      <w:r>
        <w:rPr>
          <w:rFonts w:ascii="Arial" w:hAnsi="Arial"/>
          <w:sz w:val="20"/>
        </w:rPr>
        <w:t>We believe that our executive compensation programs provide appropriate performance-based incentives to attract and retain leadership talent in the highly competitive New York City real estate market, to align management and stockholder interests and to continue to drive our long-term track record of superior return to stockholders. The following are key features of our executive compensation programs, reflecting changes we have adopted following our extensive stockholder outreach:</w:t>
      </w:r>
    </w:p>
    <w:tbl>
      <w:tblPr>
        <w:tblW w:w="10205" w:type="dxa"/>
        <w:jc w:val="left"/>
        <w:tblInd w:w="0" w:type="dxa"/>
        <w:tblCellMar>
          <w:top w:w="28" w:type="dxa"/>
          <w:left w:w="0" w:type="dxa"/>
          <w:bottom w:w="0" w:type="dxa"/>
          <w:right w:w="0" w:type="dxa"/>
        </w:tblCellMar>
      </w:tblPr>
      <w:tblGrid>
        <w:gridCol w:w="4828"/>
        <w:gridCol w:w="300"/>
        <w:gridCol w:w="300"/>
        <w:gridCol w:w="4777"/>
      </w:tblGrid>
      <w:tr>
        <w:trPr/>
        <w:tc>
          <w:tcPr>
            <w:tcW w:w="4828" w:type="dxa"/>
            <w:tcBorders>
              <w:top w:val="single" w:sz="8" w:space="0" w:color="8EAD3C"/>
            </w:tcBorders>
            <w:shd w:fill="auto" w:val="clear"/>
            <w:vAlign w:val="center"/>
          </w:tcPr>
          <w:p>
            <w:pPr>
              <w:pStyle w:val="TableContents"/>
              <w:spacing w:before="0" w:after="283"/>
              <w:rPr>
                <w:sz w:val="4"/>
                <w:szCs w:val="4"/>
              </w:rPr>
            </w:pPr>
            <w:r>
              <w:rPr>
                <w:sz w:val="4"/>
                <w:szCs w:val="4"/>
              </w:rPr>
            </w:r>
          </w:p>
        </w:tc>
        <w:tc>
          <w:tcPr>
            <w:tcW w:w="300" w:type="dxa"/>
            <w:tcBorders>
              <w:top w:val="single" w:sz="8" w:space="0" w:color="8EAD3C"/>
            </w:tcBorders>
            <w:shd w:fill="auto" w:val="clear"/>
            <w:vAlign w:val="center"/>
          </w:tcPr>
          <w:p>
            <w:pPr>
              <w:pStyle w:val="TableContents"/>
              <w:spacing w:before="0" w:after="283"/>
              <w:jc w:val="left"/>
              <w:rPr/>
            </w:pPr>
            <w:r>
              <w:rPr/>
              <w:t>     </w:t>
            </w:r>
          </w:p>
        </w:tc>
        <w:tc>
          <w:tcPr>
            <w:tcW w:w="300" w:type="dxa"/>
            <w:tcBorders>
              <w:top w:val="single" w:sz="8" w:space="0" w:color="8EAD3C"/>
            </w:tcBorders>
            <w:shd w:fill="auto" w:val="clear"/>
            <w:vAlign w:val="center"/>
          </w:tcPr>
          <w:p>
            <w:pPr>
              <w:pStyle w:val="TableContents"/>
              <w:spacing w:before="0" w:after="283"/>
              <w:jc w:val="left"/>
              <w:rPr/>
            </w:pPr>
            <w:r>
              <w:rPr/>
              <w:t>     </w:t>
            </w:r>
          </w:p>
        </w:tc>
        <w:tc>
          <w:tcPr>
            <w:tcW w:w="4777" w:type="dxa"/>
            <w:tcBorders>
              <w:top w:val="single" w:sz="8" w:space="0" w:color="8EAD3C"/>
            </w:tcBorders>
            <w:shd w:fill="auto" w:val="clear"/>
            <w:vAlign w:val="center"/>
          </w:tcPr>
          <w:p>
            <w:pPr>
              <w:pStyle w:val="TableContents"/>
              <w:spacing w:before="0" w:after="283"/>
              <w:rPr>
                <w:sz w:val="4"/>
                <w:szCs w:val="4"/>
              </w:rPr>
            </w:pPr>
            <w:r>
              <w:rPr>
                <w:sz w:val="4"/>
                <w:szCs w:val="4"/>
              </w:rPr>
            </w:r>
          </w:p>
        </w:tc>
      </w:tr>
      <w:tr>
        <w:trPr/>
        <w:tc>
          <w:tcPr>
            <w:tcW w:w="4828" w:type="dxa"/>
            <w:tcBorders/>
            <w:shd w:fill="auto" w:val="clear"/>
            <w:tcMar>
              <w:top w:w="0" w:type="dxa"/>
            </w:tcMar>
            <w:vAlign w:val="center"/>
          </w:tcPr>
          <w:p>
            <w:pPr>
              <w:pStyle w:val="TableContents"/>
              <w:spacing w:before="0" w:after="283"/>
              <w:jc w:val="left"/>
              <w:rPr>
                <w:rFonts w:ascii="Arial" w:hAnsi="Arial"/>
                <w:b/>
                <w:color w:val="1A2343"/>
                <w:sz w:val="20"/>
              </w:rPr>
            </w:pPr>
            <w:r>
              <w:rPr>
                <w:rFonts w:ascii="Arial" w:hAnsi="Arial"/>
                <w:b/>
                <w:color w:val="1A2343"/>
                <w:sz w:val="20"/>
              </w:rPr>
              <w:t>WHAT WE DO</w:t>
            </w:r>
          </w:p>
        </w:tc>
        <w:tc>
          <w:tcPr>
            <w:tcW w:w="300" w:type="dxa"/>
            <w:tcBorders/>
            <w:shd w:fill="auto" w:val="clear"/>
            <w:tcMar>
              <w:top w:w="0" w:type="dxa"/>
            </w:tcMar>
            <w:vAlign w:val="center"/>
          </w:tcPr>
          <w:p>
            <w:pPr>
              <w:pStyle w:val="TableContents"/>
              <w:spacing w:before="0" w:after="283"/>
              <w:rPr>
                <w:sz w:val="4"/>
                <w:szCs w:val="4"/>
              </w:rPr>
            </w:pPr>
            <w:r>
              <w:rPr>
                <w:sz w:val="4"/>
                <w:szCs w:val="4"/>
              </w:rPr>
            </w:r>
          </w:p>
        </w:tc>
        <w:tc>
          <w:tcPr>
            <w:tcW w:w="300" w:type="dxa"/>
            <w:tcBorders/>
            <w:shd w:fill="auto" w:val="clear"/>
            <w:tcMar>
              <w:top w:w="0" w:type="dxa"/>
            </w:tcMar>
            <w:vAlign w:val="center"/>
          </w:tcPr>
          <w:p>
            <w:pPr>
              <w:pStyle w:val="TableContents"/>
              <w:spacing w:before="0" w:after="283"/>
              <w:rPr>
                <w:sz w:val="4"/>
                <w:szCs w:val="4"/>
              </w:rPr>
            </w:pPr>
            <w:r>
              <w:rPr>
                <w:sz w:val="4"/>
                <w:szCs w:val="4"/>
              </w:rPr>
            </w:r>
          </w:p>
        </w:tc>
        <w:tc>
          <w:tcPr>
            <w:tcW w:w="4777" w:type="dxa"/>
            <w:tcBorders/>
            <w:shd w:fill="auto" w:val="clear"/>
            <w:tcMar>
              <w:top w:w="0" w:type="dxa"/>
            </w:tcMar>
            <w:vAlign w:val="center"/>
          </w:tcPr>
          <w:p>
            <w:pPr>
              <w:pStyle w:val="TableContents"/>
              <w:spacing w:before="0" w:after="283"/>
              <w:jc w:val="left"/>
              <w:rPr>
                <w:rFonts w:ascii="Arial" w:hAnsi="Arial"/>
                <w:b/>
                <w:color w:val="959595"/>
                <w:sz w:val="20"/>
              </w:rPr>
            </w:pPr>
            <w:r>
              <w:rPr>
                <w:rFonts w:ascii="Arial" w:hAnsi="Arial"/>
                <w:b/>
                <w:color w:val="959595"/>
                <w:sz w:val="20"/>
              </w:rPr>
              <w:t>WHAT WE DON’T DO</w:t>
            </w:r>
          </w:p>
        </w:tc>
      </w:tr>
      <w:tr>
        <w:trPr/>
        <w:tc>
          <w:tcPr>
            <w:tcW w:w="4828" w:type="dxa"/>
            <w:tcBorders/>
            <w:shd w:fill="auto" w:val="clear"/>
            <w:tcMar>
              <w:top w:w="0" w:type="dxa"/>
            </w:tcMar>
            <w:vAlign w:val="center"/>
          </w:tcPr>
          <w:p>
            <w:pPr>
              <w:pStyle w:val="TableContents"/>
              <w:spacing w:before="0" w:after="0"/>
              <w:ind w:left="0" w:right="0" w:hanging="330"/>
              <w:jc w:val="left"/>
              <w:rPr/>
            </w:pPr>
            <w:r>
              <w:rPr/>
              <w:drawing>
                <wp:inline distT="0" distB="0" distL="0" distR="0">
                  <wp:extent cx="114300" cy="85725"/>
                  <wp:effectExtent l="0" t="0" r="0" b="0"/>
                  <wp:docPr id="469"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324" descr=""/>
                          <pic:cNvPicPr>
                            <a:picLocks noChangeAspect="1" noChangeArrowheads="1"/>
                          </pic:cNvPicPr>
                        </pic:nvPicPr>
                        <pic:blipFill>
                          <a:blip r:embed="rId325"/>
                          <a:srcRect l="-8805" t="-11764" r="-8805" b="-11764"/>
                          <a:stretch>
                            <a:fillRect/>
                          </a:stretch>
                        </pic:blipFill>
                        <pic:spPr bwMode="auto">
                          <a:xfrm>
                            <a:off x="0" y="0"/>
                            <a:ext cx="114300" cy="85725"/>
                          </a:xfrm>
                          <a:prstGeom prst="rect">
                            <a:avLst/>
                          </a:prstGeom>
                          <a:ln w="635">
                            <a:solidFill>
                              <a:srgbClr val="000000"/>
                            </a:solidFill>
                          </a:ln>
                        </pic:spPr>
                      </pic:pic>
                    </a:graphicData>
                  </a:graphic>
                </wp:inline>
              </w:drawing>
            </w:r>
            <w:r>
              <w:rPr>
                <w:rFonts w:ascii="Arial" w:hAnsi="Arial"/>
                <w:sz w:val="20"/>
              </w:rPr>
              <w:t>Pay for performance and create alignment with stockholders</w:t>
            </w:r>
          </w:p>
          <w:p>
            <w:pPr>
              <w:pStyle w:val="TableContents"/>
              <w:spacing w:before="0" w:after="0"/>
              <w:ind w:left="0" w:right="0" w:hanging="330"/>
              <w:jc w:val="left"/>
              <w:rPr/>
            </w:pPr>
            <w:r>
              <w:rPr/>
              <w:drawing>
                <wp:inline distT="0" distB="0" distL="0" distR="0">
                  <wp:extent cx="114300" cy="85725"/>
                  <wp:effectExtent l="0" t="0" r="0" b="0"/>
                  <wp:docPr id="470"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325" descr=""/>
                          <pic:cNvPicPr>
                            <a:picLocks noChangeAspect="1" noChangeArrowheads="1"/>
                          </pic:cNvPicPr>
                        </pic:nvPicPr>
                        <pic:blipFill>
                          <a:blip r:embed="rId326"/>
                          <a:srcRect l="-8805" t="-11764" r="-8805" b="-11764"/>
                          <a:stretch>
                            <a:fillRect/>
                          </a:stretch>
                        </pic:blipFill>
                        <pic:spPr bwMode="auto">
                          <a:xfrm>
                            <a:off x="0" y="0"/>
                            <a:ext cx="114300" cy="85725"/>
                          </a:xfrm>
                          <a:prstGeom prst="rect">
                            <a:avLst/>
                          </a:prstGeom>
                          <a:ln w="635">
                            <a:solidFill>
                              <a:srgbClr val="000000"/>
                            </a:solidFill>
                          </a:ln>
                        </pic:spPr>
                      </pic:pic>
                    </a:graphicData>
                  </a:graphic>
                </wp:inline>
              </w:drawing>
            </w:r>
            <w:r>
              <w:rPr>
                <w:rFonts w:ascii="Arial" w:hAnsi="Arial"/>
                <w:sz w:val="20"/>
              </w:rPr>
              <w:t>Include robust hurdles in our incentive plans</w:t>
            </w:r>
          </w:p>
          <w:p>
            <w:pPr>
              <w:pStyle w:val="TableContents"/>
              <w:spacing w:before="0" w:after="0"/>
              <w:ind w:left="0" w:right="0" w:hanging="330"/>
              <w:jc w:val="left"/>
              <w:rPr/>
            </w:pPr>
            <w:r>
              <w:rPr/>
              <w:drawing>
                <wp:inline distT="0" distB="0" distL="0" distR="0">
                  <wp:extent cx="114300" cy="85725"/>
                  <wp:effectExtent l="0" t="0" r="0" b="0"/>
                  <wp:docPr id="471"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326" descr=""/>
                          <pic:cNvPicPr>
                            <a:picLocks noChangeAspect="1" noChangeArrowheads="1"/>
                          </pic:cNvPicPr>
                        </pic:nvPicPr>
                        <pic:blipFill>
                          <a:blip r:embed="rId327"/>
                          <a:srcRect l="-8805" t="-11764" r="-8805" b="-11764"/>
                          <a:stretch>
                            <a:fillRect/>
                          </a:stretch>
                        </pic:blipFill>
                        <pic:spPr bwMode="auto">
                          <a:xfrm>
                            <a:off x="0" y="0"/>
                            <a:ext cx="114300" cy="85725"/>
                          </a:xfrm>
                          <a:prstGeom prst="rect">
                            <a:avLst/>
                          </a:prstGeom>
                          <a:ln w="635">
                            <a:solidFill>
                              <a:srgbClr val="000000"/>
                            </a:solidFill>
                          </a:ln>
                        </pic:spPr>
                      </pic:pic>
                    </a:graphicData>
                  </a:graphic>
                </wp:inline>
              </w:drawing>
            </w:r>
            <w:r>
              <w:rPr>
                <w:rFonts w:ascii="Arial" w:hAnsi="Arial"/>
                <w:sz w:val="20"/>
              </w:rPr>
              <w:t>Pay a vast majority of total compensation for our CEO and other named executive officers in equity</w:t>
            </w:r>
          </w:p>
          <w:p>
            <w:pPr>
              <w:pStyle w:val="TableContents"/>
              <w:spacing w:before="0" w:after="0"/>
              <w:ind w:left="0" w:right="0" w:hanging="330"/>
              <w:jc w:val="left"/>
              <w:rPr/>
            </w:pPr>
            <w:r>
              <w:rPr/>
              <w:drawing>
                <wp:inline distT="0" distB="0" distL="0" distR="0">
                  <wp:extent cx="114300" cy="85725"/>
                  <wp:effectExtent l="0" t="0" r="0" b="0"/>
                  <wp:docPr id="472"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327" descr=""/>
                          <pic:cNvPicPr>
                            <a:picLocks noChangeAspect="1" noChangeArrowheads="1"/>
                          </pic:cNvPicPr>
                        </pic:nvPicPr>
                        <pic:blipFill>
                          <a:blip r:embed="rId328"/>
                          <a:srcRect l="-8805" t="-11764" r="-8805" b="-11764"/>
                          <a:stretch>
                            <a:fillRect/>
                          </a:stretch>
                        </pic:blipFill>
                        <pic:spPr bwMode="auto">
                          <a:xfrm>
                            <a:off x="0" y="0"/>
                            <a:ext cx="114300" cy="85725"/>
                          </a:xfrm>
                          <a:prstGeom prst="rect">
                            <a:avLst/>
                          </a:prstGeom>
                          <a:ln w="635">
                            <a:solidFill>
                              <a:srgbClr val="000000"/>
                            </a:solidFill>
                          </a:ln>
                        </pic:spPr>
                      </pic:pic>
                    </a:graphicData>
                  </a:graphic>
                </wp:inline>
              </w:drawing>
            </w:r>
            <w:r>
              <w:rPr>
                <w:rFonts w:ascii="Arial" w:hAnsi="Arial"/>
                <w:sz w:val="20"/>
              </w:rPr>
              <w:t>Follow robust equity ownership guidelines for our directors and named executive officers</w:t>
            </w:r>
          </w:p>
          <w:p>
            <w:pPr>
              <w:pStyle w:val="TableContents"/>
              <w:spacing w:before="0" w:after="0"/>
              <w:ind w:left="0" w:right="0" w:hanging="330"/>
              <w:jc w:val="left"/>
              <w:rPr/>
            </w:pPr>
            <w:r>
              <w:rPr/>
              <w:drawing>
                <wp:inline distT="0" distB="0" distL="0" distR="0">
                  <wp:extent cx="114300" cy="85725"/>
                  <wp:effectExtent l="0" t="0" r="0" b="0"/>
                  <wp:docPr id="473"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328" descr=""/>
                          <pic:cNvPicPr>
                            <a:picLocks noChangeAspect="1" noChangeArrowheads="1"/>
                          </pic:cNvPicPr>
                        </pic:nvPicPr>
                        <pic:blipFill>
                          <a:blip r:embed="rId329"/>
                          <a:srcRect l="-8805" t="-11764" r="-8805" b="-11764"/>
                          <a:stretch>
                            <a:fillRect/>
                          </a:stretch>
                        </pic:blipFill>
                        <pic:spPr bwMode="auto">
                          <a:xfrm>
                            <a:off x="0" y="0"/>
                            <a:ext cx="114300" cy="85725"/>
                          </a:xfrm>
                          <a:prstGeom prst="rect">
                            <a:avLst/>
                          </a:prstGeom>
                          <a:ln w="635">
                            <a:solidFill>
                              <a:srgbClr val="000000"/>
                            </a:solidFill>
                          </a:ln>
                        </pic:spPr>
                      </pic:pic>
                    </a:graphicData>
                  </a:graphic>
                </wp:inline>
              </w:drawing>
            </w:r>
            <w:r>
              <w:rPr>
                <w:rFonts w:ascii="Arial" w:hAnsi="Arial"/>
                <w:sz w:val="20"/>
              </w:rPr>
              <w:t>Impose a clawback policy with respect to incentive payments</w:t>
            </w:r>
          </w:p>
          <w:p>
            <w:pPr>
              <w:pStyle w:val="TableContents"/>
              <w:spacing w:before="0" w:after="0"/>
              <w:ind w:left="0" w:right="0" w:hanging="330"/>
              <w:jc w:val="left"/>
              <w:rPr/>
            </w:pPr>
            <w:r>
              <w:rPr/>
              <w:drawing>
                <wp:inline distT="0" distB="0" distL="0" distR="0">
                  <wp:extent cx="114300" cy="85725"/>
                  <wp:effectExtent l="0" t="0" r="0" b="0"/>
                  <wp:docPr id="474"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329" descr=""/>
                          <pic:cNvPicPr>
                            <a:picLocks noChangeAspect="1" noChangeArrowheads="1"/>
                          </pic:cNvPicPr>
                        </pic:nvPicPr>
                        <pic:blipFill>
                          <a:blip r:embed="rId330"/>
                          <a:srcRect l="-8805" t="-11764" r="-8805" b="-11764"/>
                          <a:stretch>
                            <a:fillRect/>
                          </a:stretch>
                        </pic:blipFill>
                        <pic:spPr bwMode="auto">
                          <a:xfrm>
                            <a:off x="0" y="0"/>
                            <a:ext cx="114300" cy="85725"/>
                          </a:xfrm>
                          <a:prstGeom prst="rect">
                            <a:avLst/>
                          </a:prstGeom>
                          <a:ln w="635">
                            <a:solidFill>
                              <a:srgbClr val="000000"/>
                            </a:solidFill>
                          </a:ln>
                        </pic:spPr>
                      </pic:pic>
                    </a:graphicData>
                  </a:graphic>
                </wp:inline>
              </w:drawing>
            </w:r>
            <w:r>
              <w:rPr>
                <w:rFonts w:ascii="Arial" w:hAnsi="Arial"/>
                <w:sz w:val="20"/>
              </w:rPr>
              <w:t>Require a double trigger for cash severance and accelerated vesting in connection with a change in control</w:t>
            </w:r>
          </w:p>
        </w:tc>
        <w:tc>
          <w:tcPr>
            <w:tcW w:w="300" w:type="dxa"/>
            <w:tcBorders/>
            <w:shd w:fill="auto" w:val="clear"/>
            <w:tcMar>
              <w:top w:w="0" w:type="dxa"/>
            </w:tcMar>
            <w:vAlign w:val="center"/>
          </w:tcPr>
          <w:p>
            <w:pPr>
              <w:pStyle w:val="TableContents"/>
              <w:spacing w:before="0" w:after="283"/>
              <w:rPr>
                <w:sz w:val="4"/>
                <w:szCs w:val="4"/>
              </w:rPr>
            </w:pPr>
            <w:r>
              <w:rPr>
                <w:sz w:val="4"/>
                <w:szCs w:val="4"/>
              </w:rPr>
            </w:r>
          </w:p>
        </w:tc>
        <w:tc>
          <w:tcPr>
            <w:tcW w:w="300" w:type="dxa"/>
            <w:tcBorders>
              <w:left w:val="single" w:sz="8" w:space="0" w:color="8EAD3C"/>
            </w:tcBorders>
            <w:shd w:fill="auto" w:val="clear"/>
            <w:tcMar>
              <w:top w:w="0" w:type="dxa"/>
              <w:left w:w="28" w:type="dxa"/>
            </w:tcMar>
            <w:vAlign w:val="center"/>
          </w:tcPr>
          <w:p>
            <w:pPr>
              <w:pStyle w:val="TableContents"/>
              <w:spacing w:before="0" w:after="283"/>
              <w:rPr>
                <w:sz w:val="4"/>
                <w:szCs w:val="4"/>
              </w:rPr>
            </w:pPr>
            <w:r>
              <w:rPr>
                <w:sz w:val="4"/>
                <w:szCs w:val="4"/>
              </w:rPr>
            </w:r>
          </w:p>
        </w:tc>
        <w:tc>
          <w:tcPr>
            <w:tcW w:w="4777" w:type="dxa"/>
            <w:tcBorders/>
            <w:shd w:fill="auto" w:val="clear"/>
            <w:tcMar>
              <w:top w:w="0" w:type="dxa"/>
            </w:tcMar>
            <w:vAlign w:val="center"/>
          </w:tcPr>
          <w:p>
            <w:pPr>
              <w:pStyle w:val="TableContents"/>
              <w:spacing w:before="0" w:after="0"/>
              <w:ind w:left="0" w:right="0" w:hanging="290"/>
              <w:jc w:val="left"/>
              <w:rPr/>
            </w:pPr>
            <w:r>
              <w:rPr/>
              <w:drawing>
                <wp:inline distT="0" distB="0" distL="0" distR="0">
                  <wp:extent cx="85725" cy="76200"/>
                  <wp:effectExtent l="0" t="0" r="0" b="0"/>
                  <wp:docPr id="475"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330" descr=""/>
                          <pic:cNvPicPr>
                            <a:picLocks noChangeAspect="1" noChangeArrowheads="1"/>
                          </pic:cNvPicPr>
                        </pic:nvPicPr>
                        <pic:blipFill>
                          <a:blip r:embed="rId331"/>
                          <a:srcRect l="-11764" t="-13207" r="-11764" b="-13207"/>
                          <a:stretch>
                            <a:fillRect/>
                          </a:stretch>
                        </pic:blipFill>
                        <pic:spPr bwMode="auto">
                          <a:xfrm>
                            <a:off x="0" y="0"/>
                            <a:ext cx="85725" cy="76200"/>
                          </a:xfrm>
                          <a:prstGeom prst="rect">
                            <a:avLst/>
                          </a:prstGeom>
                          <a:ln w="635">
                            <a:solidFill>
                              <a:srgbClr val="000000"/>
                            </a:solidFill>
                          </a:ln>
                        </pic:spPr>
                      </pic:pic>
                    </a:graphicData>
                  </a:graphic>
                </wp:inline>
              </w:drawing>
            </w:r>
            <w:r>
              <w:rPr>
                <w:rFonts w:ascii="Arial" w:hAnsi="Arial"/>
                <w:sz w:val="20"/>
              </w:rPr>
              <w:t>No dividends or distributions paid on unearned equity awards subject to performance-based vesting</w:t>
            </w:r>
          </w:p>
          <w:p>
            <w:pPr>
              <w:pStyle w:val="TableContents"/>
              <w:spacing w:before="0" w:after="0"/>
              <w:ind w:left="0" w:right="0" w:hanging="290"/>
              <w:jc w:val="left"/>
              <w:rPr/>
            </w:pPr>
            <w:r>
              <w:rPr/>
              <w:drawing>
                <wp:inline distT="0" distB="0" distL="0" distR="0">
                  <wp:extent cx="85725" cy="76200"/>
                  <wp:effectExtent l="0" t="0" r="0" b="0"/>
                  <wp:docPr id="476"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331" descr=""/>
                          <pic:cNvPicPr>
                            <a:picLocks noChangeAspect="1" noChangeArrowheads="1"/>
                          </pic:cNvPicPr>
                        </pic:nvPicPr>
                        <pic:blipFill>
                          <a:blip r:embed="rId332"/>
                          <a:srcRect l="-11764" t="-13207" r="-11764" b="-13207"/>
                          <a:stretch>
                            <a:fillRect/>
                          </a:stretch>
                        </pic:blipFill>
                        <pic:spPr bwMode="auto">
                          <a:xfrm>
                            <a:off x="0" y="0"/>
                            <a:ext cx="85725" cy="76200"/>
                          </a:xfrm>
                          <a:prstGeom prst="rect">
                            <a:avLst/>
                          </a:prstGeom>
                          <a:ln w="635">
                            <a:solidFill>
                              <a:srgbClr val="000000"/>
                            </a:solidFill>
                          </a:ln>
                        </pic:spPr>
                      </pic:pic>
                    </a:graphicData>
                  </a:graphic>
                </wp:inline>
              </w:drawing>
            </w:r>
            <w:r>
              <w:rPr>
                <w:rFonts w:ascii="Arial" w:hAnsi="Arial"/>
                <w:sz w:val="20"/>
              </w:rPr>
              <w:t>No signing bonuses for NEOs upon entering into employment agreements</w:t>
            </w:r>
          </w:p>
          <w:p>
            <w:pPr>
              <w:pStyle w:val="TableContents"/>
              <w:spacing w:before="0" w:after="0"/>
              <w:ind w:left="0" w:right="0" w:hanging="290"/>
              <w:jc w:val="left"/>
              <w:rPr/>
            </w:pPr>
            <w:r>
              <w:rPr/>
              <w:drawing>
                <wp:inline distT="0" distB="0" distL="0" distR="0">
                  <wp:extent cx="85725" cy="76200"/>
                  <wp:effectExtent l="0" t="0" r="0" b="0"/>
                  <wp:docPr id="477"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332" descr=""/>
                          <pic:cNvPicPr>
                            <a:picLocks noChangeAspect="1" noChangeArrowheads="1"/>
                          </pic:cNvPicPr>
                        </pic:nvPicPr>
                        <pic:blipFill>
                          <a:blip r:embed="rId333"/>
                          <a:srcRect l="-11764" t="-13207" r="-11764" b="-13207"/>
                          <a:stretch>
                            <a:fillRect/>
                          </a:stretch>
                        </pic:blipFill>
                        <pic:spPr bwMode="auto">
                          <a:xfrm>
                            <a:off x="0" y="0"/>
                            <a:ext cx="85725" cy="76200"/>
                          </a:xfrm>
                          <a:prstGeom prst="rect">
                            <a:avLst/>
                          </a:prstGeom>
                          <a:ln w="635">
                            <a:solidFill>
                              <a:srgbClr val="000000"/>
                            </a:solidFill>
                          </a:ln>
                        </pic:spPr>
                      </pic:pic>
                    </a:graphicData>
                  </a:graphic>
                </wp:inline>
              </w:drawing>
            </w:r>
            <w:r>
              <w:rPr>
                <w:rFonts w:ascii="Arial" w:hAnsi="Arial"/>
                <w:sz w:val="20"/>
              </w:rPr>
              <w:t>No excise tax gross-up provisions</w:t>
            </w:r>
          </w:p>
          <w:p>
            <w:pPr>
              <w:pStyle w:val="TableContents"/>
              <w:spacing w:before="0" w:after="0"/>
              <w:ind w:left="0" w:right="0" w:hanging="290"/>
              <w:jc w:val="left"/>
              <w:rPr/>
            </w:pPr>
            <w:r>
              <w:rPr/>
              <w:drawing>
                <wp:inline distT="0" distB="0" distL="0" distR="0">
                  <wp:extent cx="85725" cy="76200"/>
                  <wp:effectExtent l="0" t="0" r="0" b="0"/>
                  <wp:docPr id="478"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333" descr=""/>
                          <pic:cNvPicPr>
                            <a:picLocks noChangeAspect="1" noChangeArrowheads="1"/>
                          </pic:cNvPicPr>
                        </pic:nvPicPr>
                        <pic:blipFill>
                          <a:blip r:embed="rId334"/>
                          <a:srcRect l="-11764" t="-13207" r="-11764" b="-13207"/>
                          <a:stretch>
                            <a:fillRect/>
                          </a:stretch>
                        </pic:blipFill>
                        <pic:spPr bwMode="auto">
                          <a:xfrm>
                            <a:off x="0" y="0"/>
                            <a:ext cx="85725" cy="76200"/>
                          </a:xfrm>
                          <a:prstGeom prst="rect">
                            <a:avLst/>
                          </a:prstGeom>
                          <a:ln w="635">
                            <a:solidFill>
                              <a:srgbClr val="000000"/>
                            </a:solidFill>
                          </a:ln>
                        </pic:spPr>
                      </pic:pic>
                    </a:graphicData>
                  </a:graphic>
                </wp:inline>
              </w:drawing>
            </w:r>
            <w:r>
              <w:rPr>
                <w:rFonts w:ascii="Arial" w:hAnsi="Arial"/>
                <w:sz w:val="20"/>
              </w:rPr>
              <w:t>No repricing of stock options</w:t>
            </w:r>
          </w:p>
          <w:p>
            <w:pPr>
              <w:pStyle w:val="TableContents"/>
              <w:spacing w:before="0" w:after="0"/>
              <w:ind w:left="0" w:right="0" w:hanging="290"/>
              <w:jc w:val="left"/>
              <w:rPr/>
            </w:pPr>
            <w:r>
              <w:rPr/>
              <w:drawing>
                <wp:inline distT="0" distB="0" distL="0" distR="0">
                  <wp:extent cx="85725" cy="76200"/>
                  <wp:effectExtent l="0" t="0" r="0" b="0"/>
                  <wp:docPr id="479"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334" descr=""/>
                          <pic:cNvPicPr>
                            <a:picLocks noChangeAspect="1" noChangeArrowheads="1"/>
                          </pic:cNvPicPr>
                        </pic:nvPicPr>
                        <pic:blipFill>
                          <a:blip r:embed="rId335"/>
                          <a:srcRect l="-11764" t="-13207" r="-11764" b="-13207"/>
                          <a:stretch>
                            <a:fillRect/>
                          </a:stretch>
                        </pic:blipFill>
                        <pic:spPr bwMode="auto">
                          <a:xfrm>
                            <a:off x="0" y="0"/>
                            <a:ext cx="85725" cy="76200"/>
                          </a:xfrm>
                          <a:prstGeom prst="rect">
                            <a:avLst/>
                          </a:prstGeom>
                          <a:ln w="635">
                            <a:solidFill>
                              <a:srgbClr val="000000"/>
                            </a:solidFill>
                          </a:ln>
                        </pic:spPr>
                      </pic:pic>
                    </a:graphicData>
                  </a:graphic>
                </wp:inline>
              </w:drawing>
            </w:r>
            <w:r>
              <w:rPr>
                <w:rFonts w:ascii="Arial" w:hAnsi="Arial"/>
                <w:sz w:val="20"/>
              </w:rPr>
              <w:t>No single trigger cash severance or accelerated vesting in connection with a change in control</w:t>
            </w:r>
          </w:p>
          <w:p>
            <w:pPr>
              <w:pStyle w:val="TableContents"/>
              <w:spacing w:before="0" w:after="0"/>
              <w:ind w:left="0" w:right="0" w:hanging="290"/>
              <w:jc w:val="left"/>
              <w:rPr/>
            </w:pPr>
            <w:r>
              <w:rPr/>
              <w:drawing>
                <wp:inline distT="0" distB="0" distL="0" distR="0">
                  <wp:extent cx="85725" cy="76200"/>
                  <wp:effectExtent l="0" t="0" r="0" b="0"/>
                  <wp:docPr id="480"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335" descr=""/>
                          <pic:cNvPicPr>
                            <a:picLocks noChangeAspect="1" noChangeArrowheads="1"/>
                          </pic:cNvPicPr>
                        </pic:nvPicPr>
                        <pic:blipFill>
                          <a:blip r:embed="rId336"/>
                          <a:srcRect l="-11764" t="-13207" r="-11764" b="-13207"/>
                          <a:stretch>
                            <a:fillRect/>
                          </a:stretch>
                        </pic:blipFill>
                        <pic:spPr bwMode="auto">
                          <a:xfrm>
                            <a:off x="0" y="0"/>
                            <a:ext cx="85725" cy="76200"/>
                          </a:xfrm>
                          <a:prstGeom prst="rect">
                            <a:avLst/>
                          </a:prstGeom>
                          <a:ln w="635">
                            <a:solidFill>
                              <a:srgbClr val="000000"/>
                            </a:solidFill>
                          </a:ln>
                        </pic:spPr>
                      </pic:pic>
                    </a:graphicData>
                  </a:graphic>
                </wp:inline>
              </w:drawing>
            </w:r>
            <w:r>
              <w:rPr>
                <w:rFonts w:ascii="Arial" w:hAnsi="Arial"/>
                <w:sz w:val="20"/>
              </w:rPr>
              <w:t>Don’t allow directors or officers to hedge our securities</w:t>
            </w:r>
          </w:p>
        </w:tc>
      </w:tr>
      <w:tr>
        <w:trPr/>
        <w:tc>
          <w:tcPr>
            <w:tcW w:w="4828"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300"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300" w:type="dxa"/>
            <w:tcBorders>
              <w:bottom w:val="single" w:sz="8" w:space="0" w:color="8EAD3C"/>
            </w:tcBorders>
            <w:shd w:fill="auto" w:val="clear"/>
            <w:tcMar>
              <w:top w:w="0" w:type="dxa"/>
              <w:bottom w:w="28" w:type="dxa"/>
            </w:tcMar>
            <w:vAlign w:val="center"/>
          </w:tcPr>
          <w:p>
            <w:pPr>
              <w:pStyle w:val="TableContents"/>
              <w:spacing w:before="0" w:after="283"/>
              <w:rPr>
                <w:sz w:val="4"/>
                <w:szCs w:val="4"/>
              </w:rPr>
            </w:pPr>
            <w:r>
              <w:rPr>
                <w:sz w:val="4"/>
                <w:szCs w:val="4"/>
              </w:rPr>
            </w:r>
          </w:p>
        </w:tc>
        <w:tc>
          <w:tcPr>
            <w:tcW w:w="4777" w:type="dxa"/>
            <w:tcBorders>
              <w:bottom w:val="single" w:sz="8" w:space="0" w:color="8EAD3C"/>
            </w:tcBorders>
            <w:shd w:fill="auto" w:val="clear"/>
            <w:tcMar>
              <w:top w:w="0" w:type="dxa"/>
              <w:bottom w:w="28" w:type="dxa"/>
            </w:tcMar>
            <w:vAlign w:val="center"/>
          </w:tcPr>
          <w:p>
            <w:pPr>
              <w:pStyle w:val="TableContents"/>
              <w:spacing w:before="0" w:after="283"/>
              <w:jc w:val="left"/>
              <w:rPr/>
            </w:pPr>
            <w:r>
              <w:rPr/>
              <w:t>    </w:t>
            </w:r>
          </w:p>
        </w:tc>
      </w:tr>
    </w:tbl>
    <w:p>
      <w:pPr>
        <w:pStyle w:val="TextBody"/>
        <w:spacing w:before="240" w:after="283"/>
        <w:jc w:val="left"/>
        <w:rPr>
          <w:rFonts w:ascii="Arial" w:hAnsi="Arial"/>
          <w:b/>
          <w:color w:val="8EAD3C"/>
          <w:sz w:val="22"/>
        </w:rPr>
      </w:pPr>
      <w:r>
        <w:rPr>
          <w:rFonts w:ascii="Arial" w:hAnsi="Arial"/>
          <w:b/>
          <w:color w:val="8EAD3C"/>
          <w:sz w:val="22"/>
        </w:rPr>
        <w:t>Peer Group Benchmarking</w:t>
      </w:r>
    </w:p>
    <w:p>
      <w:pPr>
        <w:pStyle w:val="TextBody"/>
        <w:jc w:val="left"/>
        <w:rPr>
          <w:rFonts w:ascii="Arial" w:hAnsi="Arial"/>
          <w:sz w:val="20"/>
        </w:rPr>
      </w:pPr>
      <w:r>
        <w:rPr>
          <w:rFonts w:ascii="Arial" w:hAnsi="Arial"/>
          <w:sz w:val="20"/>
        </w:rPr>
        <w:t>In 2022, as in prior years, the Committee reviewed various peer compensation information in connection with its compensation decisions, primarily focused on the chief executive officer’s compensation. This peer information was not used to target a particular percentile for our Chief Executive Officer’s total compensation for 2022, but rather to confirm that our Chief Executive Officer’s total compensation for 2022 was within an appropriate range of the total compensation, considering relative size and performance.</w:t>
      </w:r>
    </w:p>
    <w:p>
      <w:pPr>
        <w:pStyle w:val="TextBody"/>
        <w:jc w:val="left"/>
        <w:rPr>
          <w:rFonts w:ascii="Arial" w:hAnsi="Arial"/>
          <w:sz w:val="20"/>
        </w:rPr>
      </w:pPr>
      <w:r>
        <w:rPr>
          <w:rFonts w:ascii="Arial" w:hAnsi="Arial"/>
          <w:sz w:val="20"/>
        </w:rPr>
        <w:t>The Committee reviewed total compensation information for the chief executive officers of a peer group, with an emphasis on the REIT industry. The peer group included a number of New York City-based peer companies. That decision is based on the unique characteristics of the New York City real estate marketplace, which is where we conduct substantially all of our business, and which is one of the most competitive in the world, from both a business and compensation perspective. However, among the top 15 New York City real estate companies – in terms of Manhattan office-space ownership – only a handful of those companies, including SL Green, are public.</w:t>
      </w:r>
    </w:p>
    <w:p>
      <w:pPr>
        <w:pStyle w:val="TextBody"/>
        <w:jc w:val="left"/>
        <w:rPr>
          <w:rFonts w:ascii="Arial" w:hAnsi="Arial"/>
          <w:sz w:val="20"/>
        </w:rPr>
      </w:pPr>
      <w:r>
        <w:rPr>
          <w:rFonts w:ascii="Arial" w:hAnsi="Arial"/>
          <w:sz w:val="20"/>
        </w:rPr>
        <w:t>With respect to size, we ranked at or above the median of our selected peers with respect to total enterprise value and total revenue as of December 31, 2022. The following companies were included in the peer group that the Committee reviewed:</w:t>
      </w:r>
    </w:p>
    <w:p>
      <w:pPr>
        <w:pStyle w:val="TextBody"/>
        <w:jc w:val="left"/>
        <w:rPr>
          <w:rFonts w:ascii="Arial" w:hAnsi="Arial"/>
          <w:b/>
          <w:color w:val="8EAD3C"/>
          <w:sz w:val="22"/>
        </w:rPr>
      </w:pPr>
      <w:r>
        <w:rPr>
          <w:rFonts w:ascii="Arial" w:hAnsi="Arial"/>
          <w:b/>
          <w:color w:val="8EAD3C"/>
          <w:sz w:val="22"/>
        </w:rPr>
        <w:t>Peer Group</w:t>
      </w:r>
    </w:p>
    <w:tbl>
      <w:tblPr>
        <w:tblW w:w="10205" w:type="dxa"/>
        <w:jc w:val="left"/>
        <w:tblInd w:w="0" w:type="dxa"/>
        <w:tblCellMar>
          <w:top w:w="0" w:type="dxa"/>
          <w:left w:w="0" w:type="dxa"/>
          <w:bottom w:w="0" w:type="dxa"/>
          <w:right w:w="0" w:type="dxa"/>
        </w:tblCellMar>
      </w:tblPr>
      <w:tblGrid>
        <w:gridCol w:w="1494"/>
        <w:gridCol w:w="300"/>
        <w:gridCol w:w="2282"/>
        <w:gridCol w:w="300"/>
        <w:gridCol w:w="110"/>
        <w:gridCol w:w="515"/>
        <w:gridCol w:w="300"/>
        <w:gridCol w:w="1485"/>
        <w:gridCol w:w="300"/>
        <w:gridCol w:w="2282"/>
        <w:gridCol w:w="300"/>
        <w:gridCol w:w="110"/>
        <w:gridCol w:w="427"/>
      </w:tblGrid>
      <w:tr>
        <w:trPr/>
        <w:tc>
          <w:tcPr>
            <w:tcW w:w="1494" w:type="dxa"/>
            <w:tcBorders/>
            <w:shd w:fill="auto" w:val="clear"/>
            <w:vAlign w:val="center"/>
          </w:tcPr>
          <w:p>
            <w:pPr>
              <w:pStyle w:val="TableContents"/>
              <w:spacing w:before="0" w:after="283"/>
              <w:jc w:val="left"/>
              <w:rPr/>
            </w:pPr>
            <w:r>
              <w:rPr>
                <w:rFonts w:ascii="Arial" w:hAnsi="Arial"/>
                <w:b/>
                <w:color w:val="1A2343"/>
                <w:sz w:val="15"/>
              </w:rPr>
              <w:t>ENTERPRISE VALUE</w:t>
            </w:r>
            <w:r>
              <w:rPr/>
              <w:br/>
            </w:r>
            <w:r>
              <w:rPr>
                <w:rFonts w:ascii="Arial" w:hAnsi="Arial"/>
                <w:sz w:val="15"/>
              </w:rPr>
              <w:t>(in billions)</w:t>
            </w:r>
          </w:p>
        </w:tc>
        <w:tc>
          <w:tcPr>
            <w:tcW w:w="300" w:type="dxa"/>
            <w:tcBorders/>
            <w:shd w:fill="auto" w:val="clear"/>
            <w:vAlign w:val="center"/>
          </w:tcPr>
          <w:p>
            <w:pPr>
              <w:pStyle w:val="TableContents"/>
              <w:spacing w:before="0" w:after="283"/>
              <w:jc w:val="left"/>
              <w:rPr/>
            </w:pPr>
            <w:r>
              <w:rPr/>
              <w:t>     </w:t>
            </w:r>
          </w:p>
        </w:tc>
        <w:tc>
          <w:tcPr>
            <w:tcW w:w="228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jc w:val="left"/>
              <w:rPr/>
            </w:pPr>
            <w:r>
              <w:rPr/>
              <w:t>     </w:t>
            </w:r>
          </w:p>
        </w:tc>
        <w:tc>
          <w:tcPr>
            <w:tcW w:w="625" w:type="dxa"/>
            <w:gridSpan w:val="2"/>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jc w:val="left"/>
              <w:rPr/>
            </w:pPr>
            <w:r>
              <w:rPr/>
              <w:t>     </w:t>
            </w:r>
          </w:p>
        </w:tc>
        <w:tc>
          <w:tcPr>
            <w:tcW w:w="1485" w:type="dxa"/>
            <w:tcBorders/>
            <w:shd w:fill="auto" w:val="clear"/>
            <w:vAlign w:val="center"/>
          </w:tcPr>
          <w:p>
            <w:pPr>
              <w:pStyle w:val="TableContents"/>
              <w:spacing w:before="0" w:after="283"/>
              <w:jc w:val="left"/>
              <w:rPr/>
            </w:pPr>
            <w:r>
              <w:rPr>
                <w:rFonts w:ascii="Arial" w:hAnsi="Arial"/>
                <w:b/>
                <w:color w:val="1A2343"/>
                <w:sz w:val="15"/>
              </w:rPr>
              <w:t>REVENUE</w:t>
            </w:r>
            <w:r>
              <w:rPr/>
              <w:br/>
            </w:r>
            <w:r>
              <w:rPr>
                <w:rFonts w:ascii="Arial" w:hAnsi="Arial"/>
                <w:sz w:val="15"/>
              </w:rPr>
              <w:t>(in billions)</w:t>
            </w:r>
          </w:p>
        </w:tc>
        <w:tc>
          <w:tcPr>
            <w:tcW w:w="300" w:type="dxa"/>
            <w:tcBorders/>
            <w:shd w:fill="auto" w:val="clear"/>
            <w:vAlign w:val="center"/>
          </w:tcPr>
          <w:p>
            <w:pPr>
              <w:pStyle w:val="TableContents"/>
              <w:spacing w:before="0" w:after="283"/>
              <w:jc w:val="left"/>
              <w:rPr/>
            </w:pPr>
            <w:r>
              <w:rPr/>
              <w:t>     </w:t>
            </w:r>
          </w:p>
        </w:tc>
        <w:tc>
          <w:tcPr>
            <w:tcW w:w="228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jc w:val="left"/>
              <w:rPr/>
            </w:pPr>
            <w:r>
              <w:rPr/>
              <w:t>     </w:t>
            </w:r>
          </w:p>
        </w:tc>
        <w:tc>
          <w:tcPr>
            <w:tcW w:w="537" w:type="dxa"/>
            <w:gridSpan w:val="2"/>
            <w:tcBorders/>
            <w:shd w:fill="auto" w:val="clear"/>
            <w:vAlign w:val="center"/>
          </w:tcPr>
          <w:p>
            <w:pPr>
              <w:pStyle w:val="TableContents"/>
              <w:spacing w:before="0" w:after="283"/>
              <w:rPr>
                <w:sz w:val="4"/>
                <w:szCs w:val="4"/>
              </w:rPr>
            </w:pPr>
            <w:r>
              <w:rPr>
                <w:sz w:val="4"/>
                <w:szCs w:val="4"/>
              </w:rPr>
            </w:r>
          </w:p>
        </w:tc>
      </w:tr>
      <w:tr>
        <w:trPr/>
        <w:tc>
          <w:tcPr>
            <w:tcW w:w="1494" w:type="dxa"/>
            <w:tcBorders/>
            <w:shd w:fill="auto" w:val="clear"/>
            <w:vAlign w:val="center"/>
          </w:tcPr>
          <w:p>
            <w:pPr>
              <w:pStyle w:val="TableContents"/>
              <w:spacing w:before="0" w:after="283"/>
              <w:jc w:val="left"/>
              <w:rPr/>
            </w:pPr>
            <w:r>
              <w:rPr/>
              <w:drawing>
                <wp:inline distT="0" distB="0" distL="0" distR="0">
                  <wp:extent cx="800100" cy="152400"/>
                  <wp:effectExtent l="0" t="0" r="0" b="0"/>
                  <wp:docPr id="481"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336" descr=""/>
                          <pic:cNvPicPr>
                            <a:picLocks noChangeAspect="1" noChangeArrowheads="1"/>
                          </pic:cNvPicPr>
                        </pic:nvPicPr>
                        <pic:blipFill>
                          <a:blip r:embed="rId337"/>
                          <a:srcRect l="-1259" t="-6619" r="-1259" b="-6619"/>
                          <a:stretch>
                            <a:fillRect/>
                          </a:stretch>
                        </pic:blipFill>
                        <pic:spPr bwMode="auto">
                          <a:xfrm>
                            <a:off x="0" y="0"/>
                            <a:ext cx="800100" cy="15240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Alexandria Real Estate Equities, Inc.</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515" w:type="dxa"/>
            <w:tcBorders/>
            <w:shd w:fill="auto" w:val="clear"/>
            <w:vAlign w:val="center"/>
          </w:tcPr>
          <w:p>
            <w:pPr>
              <w:pStyle w:val="TableContents"/>
              <w:spacing w:before="0" w:after="283"/>
              <w:jc w:val="right"/>
              <w:rPr>
                <w:rFonts w:ascii="Arial" w:hAnsi="Arial"/>
                <w:sz w:val="15"/>
              </w:rPr>
            </w:pPr>
            <w:r>
              <w:rPr>
                <w:rFonts w:ascii="Arial" w:hAnsi="Arial"/>
                <w:sz w:val="15"/>
              </w:rPr>
              <w:t>37,943</w:t>
            </w:r>
          </w:p>
        </w:tc>
        <w:tc>
          <w:tcPr>
            <w:tcW w:w="300"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jc w:val="left"/>
              <w:rPr/>
            </w:pPr>
            <w:r>
              <w:rPr/>
              <w:drawing>
                <wp:inline distT="0" distB="0" distL="0" distR="0">
                  <wp:extent cx="942975" cy="152400"/>
                  <wp:effectExtent l="0" t="0" r="0" b="0"/>
                  <wp:docPr id="482"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337" descr=""/>
                          <pic:cNvPicPr>
                            <a:picLocks noChangeAspect="1" noChangeArrowheads="1"/>
                          </pic:cNvPicPr>
                        </pic:nvPicPr>
                        <pic:blipFill>
                          <a:blip r:embed="rId338"/>
                          <a:srcRect l="-1069" t="-6619" r="-1069" b="-6619"/>
                          <a:stretch>
                            <a:fillRect/>
                          </a:stretch>
                        </pic:blipFill>
                        <pic:spPr bwMode="auto">
                          <a:xfrm>
                            <a:off x="0" y="0"/>
                            <a:ext cx="942975" cy="15240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Boston Properties, Inc.</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427" w:type="dxa"/>
            <w:tcBorders/>
            <w:shd w:fill="auto" w:val="clear"/>
            <w:vAlign w:val="center"/>
          </w:tcPr>
          <w:p>
            <w:pPr>
              <w:pStyle w:val="TableContents"/>
              <w:spacing w:before="0" w:after="283"/>
              <w:jc w:val="right"/>
              <w:rPr>
                <w:rFonts w:ascii="Arial" w:hAnsi="Arial"/>
                <w:sz w:val="15"/>
              </w:rPr>
            </w:pPr>
            <w:r>
              <w:rPr>
                <w:rFonts w:ascii="Arial" w:hAnsi="Arial"/>
                <w:sz w:val="15"/>
              </w:rPr>
              <w:t>3,109</w:t>
            </w:r>
          </w:p>
        </w:tc>
      </w:tr>
      <w:tr>
        <w:trPr/>
        <w:tc>
          <w:tcPr>
            <w:tcW w:w="1494" w:type="dxa"/>
            <w:tcBorders/>
            <w:shd w:fill="auto" w:val="clear"/>
            <w:vAlign w:val="center"/>
          </w:tcPr>
          <w:p>
            <w:pPr>
              <w:pStyle w:val="TableContents"/>
              <w:spacing w:before="0" w:after="283"/>
              <w:jc w:val="left"/>
              <w:rPr/>
            </w:pPr>
            <w:r>
              <w:rPr/>
              <w:drawing>
                <wp:inline distT="0" distB="0" distL="0" distR="0">
                  <wp:extent cx="581025" cy="161925"/>
                  <wp:effectExtent l="0" t="0" r="0" b="0"/>
                  <wp:docPr id="483"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338" descr=""/>
                          <pic:cNvPicPr>
                            <a:picLocks noChangeAspect="1" noChangeArrowheads="1"/>
                          </pic:cNvPicPr>
                        </pic:nvPicPr>
                        <pic:blipFill>
                          <a:blip r:embed="rId339"/>
                          <a:srcRect l="-1734" t="-6222" r="-1734" b="-6222"/>
                          <a:stretch>
                            <a:fillRect/>
                          </a:stretch>
                        </pic:blipFill>
                        <pic:spPr bwMode="auto">
                          <a:xfrm>
                            <a:off x="0" y="0"/>
                            <a:ext cx="581025" cy="161925"/>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Boston Properties, Inc.</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515" w:type="dxa"/>
            <w:tcBorders/>
            <w:shd w:fill="auto" w:val="clear"/>
            <w:vAlign w:val="center"/>
          </w:tcPr>
          <w:p>
            <w:pPr>
              <w:pStyle w:val="TableContents"/>
              <w:spacing w:before="0" w:after="283"/>
              <w:jc w:val="right"/>
              <w:rPr>
                <w:rFonts w:ascii="Arial" w:hAnsi="Arial"/>
                <w:sz w:val="15"/>
              </w:rPr>
            </w:pPr>
            <w:r>
              <w:rPr>
                <w:rFonts w:ascii="Arial" w:hAnsi="Arial"/>
                <w:sz w:val="15"/>
              </w:rPr>
              <w:t>27,293</w:t>
            </w:r>
          </w:p>
        </w:tc>
        <w:tc>
          <w:tcPr>
            <w:tcW w:w="300"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jc w:val="left"/>
              <w:rPr/>
            </w:pPr>
            <w:r>
              <w:rPr/>
              <w:drawing>
                <wp:inline distT="0" distB="0" distL="0" distR="0">
                  <wp:extent cx="790575" cy="171450"/>
                  <wp:effectExtent l="0" t="0" r="0" b="0"/>
                  <wp:docPr id="484"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339" descr=""/>
                          <pic:cNvPicPr>
                            <a:picLocks noChangeAspect="1" noChangeArrowheads="1"/>
                          </pic:cNvPicPr>
                        </pic:nvPicPr>
                        <pic:blipFill>
                          <a:blip r:embed="rId340"/>
                          <a:srcRect l="-1275" t="-5882" r="-1275" b="-5882"/>
                          <a:stretch>
                            <a:fillRect/>
                          </a:stretch>
                        </pic:blipFill>
                        <pic:spPr bwMode="auto">
                          <a:xfrm>
                            <a:off x="0" y="0"/>
                            <a:ext cx="790575" cy="17145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Alexandria Real Estate Equities, Inc.</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427" w:type="dxa"/>
            <w:tcBorders/>
            <w:shd w:fill="auto" w:val="clear"/>
            <w:vAlign w:val="center"/>
          </w:tcPr>
          <w:p>
            <w:pPr>
              <w:pStyle w:val="TableContents"/>
              <w:spacing w:before="0" w:after="283"/>
              <w:jc w:val="right"/>
              <w:rPr>
                <w:rFonts w:ascii="Arial" w:hAnsi="Arial"/>
                <w:sz w:val="15"/>
              </w:rPr>
            </w:pPr>
            <w:r>
              <w:rPr>
                <w:rFonts w:ascii="Arial" w:hAnsi="Arial"/>
                <w:sz w:val="15"/>
              </w:rPr>
              <w:t>2,589</w:t>
            </w:r>
          </w:p>
        </w:tc>
      </w:tr>
      <w:tr>
        <w:trPr/>
        <w:tc>
          <w:tcPr>
            <w:tcW w:w="1494" w:type="dxa"/>
            <w:tcBorders/>
            <w:shd w:fill="auto" w:val="clear"/>
            <w:vAlign w:val="center"/>
          </w:tcPr>
          <w:p>
            <w:pPr>
              <w:pStyle w:val="TableContents"/>
              <w:spacing w:before="0" w:after="283"/>
              <w:jc w:val="left"/>
              <w:rPr/>
            </w:pPr>
            <w:r>
              <w:rPr/>
              <w:drawing>
                <wp:inline distT="0" distB="0" distL="0" distR="0">
                  <wp:extent cx="323850" cy="152400"/>
                  <wp:effectExtent l="0" t="0" r="0" b="0"/>
                  <wp:docPr id="485"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340" descr=""/>
                          <pic:cNvPicPr>
                            <a:picLocks noChangeAspect="1" noChangeArrowheads="1"/>
                          </pic:cNvPicPr>
                        </pic:nvPicPr>
                        <pic:blipFill>
                          <a:blip r:embed="rId341"/>
                          <a:srcRect l="-3111" t="-6619" r="-3111" b="-6619"/>
                          <a:stretch>
                            <a:fillRect/>
                          </a:stretch>
                        </pic:blipFill>
                        <pic:spPr bwMode="auto">
                          <a:xfrm>
                            <a:off x="0" y="0"/>
                            <a:ext cx="323850" cy="15240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Vornado Realty Trust</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515" w:type="dxa"/>
            <w:tcBorders/>
            <w:shd w:fill="auto" w:val="clear"/>
            <w:vAlign w:val="center"/>
          </w:tcPr>
          <w:p>
            <w:pPr>
              <w:pStyle w:val="TableContents"/>
              <w:spacing w:before="0" w:after="283"/>
              <w:jc w:val="right"/>
              <w:rPr>
                <w:rFonts w:ascii="Arial" w:hAnsi="Arial"/>
                <w:sz w:val="15"/>
              </w:rPr>
            </w:pPr>
            <w:r>
              <w:rPr>
                <w:rFonts w:ascii="Arial" w:hAnsi="Arial"/>
                <w:sz w:val="15"/>
              </w:rPr>
              <w:t>14,159</w:t>
            </w:r>
          </w:p>
        </w:tc>
        <w:tc>
          <w:tcPr>
            <w:tcW w:w="300"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jc w:val="left"/>
              <w:rPr/>
            </w:pPr>
            <w:r>
              <w:rPr/>
              <w:drawing>
                <wp:inline distT="0" distB="0" distL="0" distR="0">
                  <wp:extent cx="552450" cy="171450"/>
                  <wp:effectExtent l="0" t="0" r="0" b="0"/>
                  <wp:docPr id="486"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341" descr=""/>
                          <pic:cNvPicPr>
                            <a:picLocks noChangeAspect="1" noChangeArrowheads="1"/>
                          </pic:cNvPicPr>
                        </pic:nvPicPr>
                        <pic:blipFill>
                          <a:blip r:embed="rId342"/>
                          <a:srcRect l="-1824" t="-5882" r="-1824" b="-5882"/>
                          <a:stretch>
                            <a:fillRect/>
                          </a:stretch>
                        </pic:blipFill>
                        <pic:spPr bwMode="auto">
                          <a:xfrm>
                            <a:off x="0" y="0"/>
                            <a:ext cx="552450" cy="17145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Vornado Realty Trust</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427" w:type="dxa"/>
            <w:tcBorders/>
            <w:shd w:fill="auto" w:val="clear"/>
            <w:vAlign w:val="center"/>
          </w:tcPr>
          <w:p>
            <w:pPr>
              <w:pStyle w:val="TableContents"/>
              <w:spacing w:before="0" w:after="283"/>
              <w:jc w:val="right"/>
              <w:rPr>
                <w:rFonts w:ascii="Arial" w:hAnsi="Arial"/>
                <w:sz w:val="15"/>
              </w:rPr>
            </w:pPr>
            <w:r>
              <w:rPr>
                <w:rFonts w:ascii="Arial" w:hAnsi="Arial"/>
                <w:sz w:val="15"/>
              </w:rPr>
              <w:t>1,800</w:t>
            </w:r>
          </w:p>
        </w:tc>
      </w:tr>
      <w:tr>
        <w:trPr/>
        <w:tc>
          <w:tcPr>
            <w:tcW w:w="1494" w:type="dxa"/>
            <w:tcBorders/>
            <w:shd w:fill="auto" w:val="clear"/>
            <w:vAlign w:val="center"/>
          </w:tcPr>
          <w:p>
            <w:pPr>
              <w:pStyle w:val="TableContents"/>
              <w:spacing w:before="0" w:after="283"/>
              <w:jc w:val="left"/>
              <w:rPr/>
            </w:pPr>
            <w:r>
              <w:rPr/>
              <w:drawing>
                <wp:inline distT="0" distB="0" distL="0" distR="0">
                  <wp:extent cx="209550" cy="152400"/>
                  <wp:effectExtent l="0" t="0" r="0" b="0"/>
                  <wp:docPr id="487"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342" descr=""/>
                          <pic:cNvPicPr>
                            <a:picLocks noChangeAspect="1" noChangeArrowheads="1"/>
                          </pic:cNvPicPr>
                        </pic:nvPicPr>
                        <pic:blipFill>
                          <a:blip r:embed="rId343"/>
                          <a:srcRect l="-4810" t="-6619" r="-4810" b="-6619"/>
                          <a:stretch>
                            <a:fillRect/>
                          </a:stretch>
                        </pic:blipFill>
                        <pic:spPr bwMode="auto">
                          <a:xfrm>
                            <a:off x="0" y="0"/>
                            <a:ext cx="209550" cy="15240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b/>
                <w:color w:val="1A2343"/>
                <w:sz w:val="15"/>
              </w:rPr>
            </w:pPr>
            <w:r>
              <w:rPr>
                <w:rFonts w:ascii="Arial" w:hAnsi="Arial"/>
                <w:b/>
                <w:color w:val="1A2343"/>
                <w:sz w:val="15"/>
              </w:rPr>
              <w:t>SL Green Realty Corp.</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b/>
                <w:color w:val="1A2343"/>
                <w:sz w:val="15"/>
              </w:rPr>
            </w:pPr>
            <w:r>
              <w:rPr>
                <w:rFonts w:ascii="Arial" w:hAnsi="Arial"/>
                <w:b/>
                <w:color w:val="1A2343"/>
                <w:sz w:val="15"/>
              </w:rPr>
              <w:t>$</w:t>
            </w:r>
          </w:p>
        </w:tc>
        <w:tc>
          <w:tcPr>
            <w:tcW w:w="515" w:type="dxa"/>
            <w:tcBorders/>
            <w:shd w:fill="auto" w:val="clear"/>
            <w:vAlign w:val="center"/>
          </w:tcPr>
          <w:p>
            <w:pPr>
              <w:pStyle w:val="TableContents"/>
              <w:spacing w:before="0" w:after="283"/>
              <w:jc w:val="right"/>
              <w:rPr>
                <w:rFonts w:ascii="Arial" w:hAnsi="Arial"/>
                <w:b/>
                <w:color w:val="1A2343"/>
                <w:sz w:val="15"/>
              </w:rPr>
            </w:pPr>
            <w:r>
              <w:rPr>
                <w:rFonts w:ascii="Arial" w:hAnsi="Arial"/>
                <w:b/>
                <w:color w:val="1A2343"/>
                <w:sz w:val="15"/>
              </w:rPr>
              <w:t>9,081</w:t>
            </w:r>
          </w:p>
        </w:tc>
        <w:tc>
          <w:tcPr>
            <w:tcW w:w="300"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jc w:val="left"/>
              <w:rPr/>
            </w:pPr>
            <w:r>
              <w:rPr/>
              <w:drawing>
                <wp:inline distT="0" distB="0" distL="0" distR="0">
                  <wp:extent cx="361950" cy="171450"/>
                  <wp:effectExtent l="0" t="0" r="0" b="0"/>
                  <wp:docPr id="488"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343" descr=""/>
                          <pic:cNvPicPr>
                            <a:picLocks noChangeAspect="1" noChangeArrowheads="1"/>
                          </pic:cNvPicPr>
                        </pic:nvPicPr>
                        <pic:blipFill>
                          <a:blip r:embed="rId344"/>
                          <a:srcRect l="-2786" t="-5882" r="-2786" b="-5882"/>
                          <a:stretch>
                            <a:fillRect/>
                          </a:stretch>
                        </pic:blipFill>
                        <pic:spPr bwMode="auto">
                          <a:xfrm>
                            <a:off x="0" y="0"/>
                            <a:ext cx="361950" cy="17145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Kilroy Realty Corporation</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427" w:type="dxa"/>
            <w:tcBorders/>
            <w:shd w:fill="auto" w:val="clear"/>
            <w:vAlign w:val="center"/>
          </w:tcPr>
          <w:p>
            <w:pPr>
              <w:pStyle w:val="TableContents"/>
              <w:spacing w:before="0" w:after="283"/>
              <w:jc w:val="right"/>
              <w:rPr>
                <w:rFonts w:ascii="Arial" w:hAnsi="Arial"/>
                <w:sz w:val="15"/>
              </w:rPr>
            </w:pPr>
            <w:r>
              <w:rPr>
                <w:rFonts w:ascii="Arial" w:hAnsi="Arial"/>
                <w:sz w:val="15"/>
              </w:rPr>
              <w:t>1,097</w:t>
            </w:r>
          </w:p>
        </w:tc>
      </w:tr>
      <w:tr>
        <w:trPr/>
        <w:tc>
          <w:tcPr>
            <w:tcW w:w="1494" w:type="dxa"/>
            <w:tcBorders/>
            <w:shd w:fill="auto" w:val="clear"/>
            <w:vAlign w:val="center"/>
          </w:tcPr>
          <w:p>
            <w:pPr>
              <w:pStyle w:val="TableContents"/>
              <w:spacing w:before="0" w:after="283"/>
              <w:jc w:val="left"/>
              <w:rPr/>
            </w:pPr>
            <w:r>
              <w:rPr/>
              <w:drawing>
                <wp:inline distT="0" distB="0" distL="0" distR="0">
                  <wp:extent cx="219075" cy="152400"/>
                  <wp:effectExtent l="0" t="0" r="0" b="0"/>
                  <wp:docPr id="489"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344" descr=""/>
                          <pic:cNvPicPr>
                            <a:picLocks noChangeAspect="1" noChangeArrowheads="1"/>
                          </pic:cNvPicPr>
                        </pic:nvPicPr>
                        <pic:blipFill>
                          <a:blip r:embed="rId345"/>
                          <a:srcRect l="-4597" t="-6619" r="-4597" b="-6619"/>
                          <a:stretch>
                            <a:fillRect/>
                          </a:stretch>
                        </pic:blipFill>
                        <pic:spPr bwMode="auto">
                          <a:xfrm>
                            <a:off x="0" y="0"/>
                            <a:ext cx="219075" cy="15240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Kilroy Realty Corporation</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515" w:type="dxa"/>
            <w:tcBorders/>
            <w:shd w:fill="auto" w:val="clear"/>
            <w:vAlign w:val="center"/>
          </w:tcPr>
          <w:p>
            <w:pPr>
              <w:pStyle w:val="TableContents"/>
              <w:spacing w:before="0" w:after="283"/>
              <w:jc w:val="right"/>
              <w:rPr>
                <w:rFonts w:ascii="Arial" w:hAnsi="Arial"/>
                <w:sz w:val="15"/>
              </w:rPr>
            </w:pPr>
            <w:r>
              <w:rPr>
                <w:rFonts w:ascii="Arial" w:hAnsi="Arial"/>
                <w:sz w:val="15"/>
              </w:rPr>
              <w:t>8,694</w:t>
            </w:r>
          </w:p>
        </w:tc>
        <w:tc>
          <w:tcPr>
            <w:tcW w:w="300"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jc w:val="left"/>
              <w:rPr/>
            </w:pPr>
            <w:r>
              <w:rPr/>
              <w:drawing>
                <wp:inline distT="0" distB="0" distL="0" distR="0">
                  <wp:extent cx="342900" cy="152400"/>
                  <wp:effectExtent l="0" t="0" r="0" b="0"/>
                  <wp:docPr id="490"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345" descr=""/>
                          <pic:cNvPicPr>
                            <a:picLocks noChangeAspect="1" noChangeArrowheads="1"/>
                          </pic:cNvPicPr>
                        </pic:nvPicPr>
                        <pic:blipFill>
                          <a:blip r:embed="rId346"/>
                          <a:srcRect l="-2938" t="-6619" r="-2938" b="-6619"/>
                          <a:stretch>
                            <a:fillRect/>
                          </a:stretch>
                        </pic:blipFill>
                        <pic:spPr bwMode="auto">
                          <a:xfrm>
                            <a:off x="0" y="0"/>
                            <a:ext cx="342900" cy="15240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Hudson Pacific Properties, Inc.</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427" w:type="dxa"/>
            <w:tcBorders/>
            <w:shd w:fill="auto" w:val="clear"/>
            <w:vAlign w:val="center"/>
          </w:tcPr>
          <w:p>
            <w:pPr>
              <w:pStyle w:val="TableContents"/>
              <w:spacing w:before="0" w:after="283"/>
              <w:jc w:val="right"/>
              <w:rPr>
                <w:rFonts w:ascii="Arial" w:hAnsi="Arial"/>
                <w:sz w:val="15"/>
              </w:rPr>
            </w:pPr>
            <w:r>
              <w:rPr>
                <w:rFonts w:ascii="Arial" w:hAnsi="Arial"/>
                <w:sz w:val="15"/>
              </w:rPr>
              <w:t>1,026</w:t>
            </w:r>
          </w:p>
        </w:tc>
      </w:tr>
      <w:tr>
        <w:trPr/>
        <w:tc>
          <w:tcPr>
            <w:tcW w:w="1494" w:type="dxa"/>
            <w:tcBorders/>
            <w:shd w:fill="auto" w:val="clear"/>
            <w:vAlign w:val="center"/>
          </w:tcPr>
          <w:p>
            <w:pPr>
              <w:pStyle w:val="TableContents"/>
              <w:spacing w:before="0" w:after="283"/>
              <w:jc w:val="left"/>
              <w:rPr/>
            </w:pPr>
            <w:r>
              <w:rPr/>
              <w:drawing>
                <wp:inline distT="0" distB="0" distL="0" distR="0">
                  <wp:extent cx="200025" cy="161925"/>
                  <wp:effectExtent l="0" t="0" r="0" b="0"/>
                  <wp:docPr id="491"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346" descr=""/>
                          <pic:cNvPicPr>
                            <a:picLocks noChangeAspect="1" noChangeArrowheads="1"/>
                          </pic:cNvPicPr>
                        </pic:nvPicPr>
                        <pic:blipFill>
                          <a:blip r:embed="rId347"/>
                          <a:srcRect l="-5035" t="-6222" r="-5035" b="-6222"/>
                          <a:stretch>
                            <a:fillRect/>
                          </a:stretch>
                        </pic:blipFill>
                        <pic:spPr bwMode="auto">
                          <a:xfrm>
                            <a:off x="0" y="0"/>
                            <a:ext cx="200025" cy="161925"/>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Douglas Emmett, Inc.</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515" w:type="dxa"/>
            <w:tcBorders/>
            <w:shd w:fill="auto" w:val="clear"/>
            <w:vAlign w:val="center"/>
          </w:tcPr>
          <w:p>
            <w:pPr>
              <w:pStyle w:val="TableContents"/>
              <w:spacing w:before="0" w:after="283"/>
              <w:jc w:val="right"/>
              <w:rPr>
                <w:rFonts w:ascii="Arial" w:hAnsi="Arial"/>
                <w:sz w:val="15"/>
              </w:rPr>
            </w:pPr>
            <w:r>
              <w:rPr>
                <w:rFonts w:ascii="Arial" w:hAnsi="Arial"/>
                <w:sz w:val="15"/>
              </w:rPr>
              <w:t>8,160</w:t>
            </w:r>
          </w:p>
        </w:tc>
        <w:tc>
          <w:tcPr>
            <w:tcW w:w="300"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jc w:val="left"/>
              <w:rPr/>
            </w:pPr>
            <w:r>
              <w:rPr/>
              <w:drawing>
                <wp:inline distT="0" distB="0" distL="0" distR="0">
                  <wp:extent cx="323850" cy="171450"/>
                  <wp:effectExtent l="0" t="0" r="0" b="0"/>
                  <wp:docPr id="492"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347" descr=""/>
                          <pic:cNvPicPr>
                            <a:picLocks noChangeAspect="1" noChangeArrowheads="1"/>
                          </pic:cNvPicPr>
                        </pic:nvPicPr>
                        <pic:blipFill>
                          <a:blip r:embed="rId348"/>
                          <a:srcRect l="-3111" t="-5882" r="-3111" b="-5882"/>
                          <a:stretch>
                            <a:fillRect/>
                          </a:stretch>
                        </pic:blipFill>
                        <pic:spPr bwMode="auto">
                          <a:xfrm>
                            <a:off x="0" y="0"/>
                            <a:ext cx="323850" cy="17145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Douglas Emmett, Inc.</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427" w:type="dxa"/>
            <w:tcBorders/>
            <w:shd w:fill="auto" w:val="clear"/>
            <w:vAlign w:val="center"/>
          </w:tcPr>
          <w:p>
            <w:pPr>
              <w:pStyle w:val="TableContents"/>
              <w:spacing w:before="0" w:after="283"/>
              <w:jc w:val="right"/>
              <w:rPr>
                <w:rFonts w:ascii="Arial" w:hAnsi="Arial"/>
                <w:sz w:val="15"/>
              </w:rPr>
            </w:pPr>
            <w:r>
              <w:rPr>
                <w:rFonts w:ascii="Arial" w:hAnsi="Arial"/>
                <w:sz w:val="15"/>
              </w:rPr>
              <w:t>994</w:t>
            </w:r>
          </w:p>
        </w:tc>
      </w:tr>
      <w:tr>
        <w:trPr/>
        <w:tc>
          <w:tcPr>
            <w:tcW w:w="1494" w:type="dxa"/>
            <w:tcBorders/>
            <w:shd w:fill="auto" w:val="clear"/>
            <w:vAlign w:val="center"/>
          </w:tcPr>
          <w:p>
            <w:pPr>
              <w:pStyle w:val="TableContents"/>
              <w:spacing w:before="0" w:after="283"/>
              <w:jc w:val="left"/>
              <w:rPr/>
            </w:pPr>
            <w:r>
              <w:rPr/>
              <w:drawing>
                <wp:inline distT="0" distB="0" distL="0" distR="0">
                  <wp:extent cx="190500" cy="171450"/>
                  <wp:effectExtent l="0" t="0" r="0" b="0"/>
                  <wp:docPr id="493"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348" descr=""/>
                          <pic:cNvPicPr>
                            <a:picLocks noChangeAspect="1" noChangeArrowheads="1"/>
                          </pic:cNvPicPr>
                        </pic:nvPicPr>
                        <pic:blipFill>
                          <a:blip r:embed="rId349"/>
                          <a:srcRect l="-5293" t="-5882" r="-5293" b="-5882"/>
                          <a:stretch>
                            <a:fillRect/>
                          </a:stretch>
                        </pic:blipFill>
                        <pic:spPr bwMode="auto">
                          <a:xfrm>
                            <a:off x="0" y="0"/>
                            <a:ext cx="190500" cy="17145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Kennedy-Wilson Holdings, Inc.</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515" w:type="dxa"/>
            <w:tcBorders/>
            <w:shd w:fill="auto" w:val="clear"/>
            <w:vAlign w:val="center"/>
          </w:tcPr>
          <w:p>
            <w:pPr>
              <w:pStyle w:val="TableContents"/>
              <w:spacing w:before="0" w:after="283"/>
              <w:jc w:val="right"/>
              <w:rPr>
                <w:rFonts w:ascii="Arial" w:hAnsi="Arial"/>
                <w:sz w:val="15"/>
              </w:rPr>
            </w:pPr>
            <w:r>
              <w:rPr>
                <w:rFonts w:ascii="Arial" w:hAnsi="Arial"/>
                <w:sz w:val="15"/>
              </w:rPr>
              <w:t>7,922</w:t>
            </w:r>
          </w:p>
        </w:tc>
        <w:tc>
          <w:tcPr>
            <w:tcW w:w="300"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jc w:val="left"/>
              <w:rPr/>
            </w:pPr>
            <w:r>
              <w:rPr/>
              <w:drawing>
                <wp:inline distT="0" distB="0" distL="0" distR="0">
                  <wp:extent cx="266700" cy="152400"/>
                  <wp:effectExtent l="0" t="0" r="0" b="0"/>
                  <wp:docPr id="494"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349" descr=""/>
                          <pic:cNvPicPr>
                            <a:picLocks noChangeAspect="1" noChangeArrowheads="1"/>
                          </pic:cNvPicPr>
                        </pic:nvPicPr>
                        <pic:blipFill>
                          <a:blip r:embed="rId350"/>
                          <a:srcRect l="-3778" t="-6619" r="-3778" b="-6619"/>
                          <a:stretch>
                            <a:fillRect/>
                          </a:stretch>
                        </pic:blipFill>
                        <pic:spPr bwMode="auto">
                          <a:xfrm>
                            <a:off x="0" y="0"/>
                            <a:ext cx="266700" cy="15240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b/>
                <w:color w:val="1A2343"/>
                <w:sz w:val="15"/>
              </w:rPr>
            </w:pPr>
            <w:r>
              <w:rPr>
                <w:rFonts w:ascii="Arial" w:hAnsi="Arial"/>
                <w:b/>
                <w:color w:val="1A2343"/>
                <w:sz w:val="15"/>
              </w:rPr>
              <w:t>SL Green Realty Corp.</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b/>
                <w:color w:val="1A2343"/>
                <w:sz w:val="15"/>
              </w:rPr>
            </w:pPr>
            <w:r>
              <w:rPr>
                <w:rFonts w:ascii="Arial" w:hAnsi="Arial"/>
                <w:b/>
                <w:color w:val="1A2343"/>
                <w:sz w:val="15"/>
              </w:rPr>
              <w:t>$</w:t>
            </w:r>
          </w:p>
        </w:tc>
        <w:tc>
          <w:tcPr>
            <w:tcW w:w="427" w:type="dxa"/>
            <w:tcBorders/>
            <w:shd w:fill="auto" w:val="clear"/>
            <w:vAlign w:val="center"/>
          </w:tcPr>
          <w:p>
            <w:pPr>
              <w:pStyle w:val="TableContents"/>
              <w:spacing w:before="0" w:after="283"/>
              <w:jc w:val="right"/>
              <w:rPr>
                <w:rFonts w:ascii="Arial" w:hAnsi="Arial"/>
                <w:b/>
                <w:color w:val="1A2343"/>
                <w:sz w:val="15"/>
              </w:rPr>
            </w:pPr>
            <w:r>
              <w:rPr>
                <w:rFonts w:ascii="Arial" w:hAnsi="Arial"/>
                <w:b/>
                <w:color w:val="1A2343"/>
                <w:sz w:val="15"/>
              </w:rPr>
              <w:t>827</w:t>
            </w:r>
          </w:p>
        </w:tc>
      </w:tr>
      <w:tr>
        <w:trPr/>
        <w:tc>
          <w:tcPr>
            <w:tcW w:w="1494" w:type="dxa"/>
            <w:tcBorders/>
            <w:shd w:fill="auto" w:val="clear"/>
            <w:vAlign w:val="center"/>
          </w:tcPr>
          <w:p>
            <w:pPr>
              <w:pStyle w:val="TableContents"/>
              <w:spacing w:before="0" w:after="283"/>
              <w:jc w:val="left"/>
              <w:rPr/>
            </w:pPr>
            <w:r>
              <w:rPr/>
              <w:drawing>
                <wp:inline distT="0" distB="0" distL="0" distR="0">
                  <wp:extent cx="171450" cy="152400"/>
                  <wp:effectExtent l="0" t="0" r="0" b="0"/>
                  <wp:docPr id="495"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350" descr=""/>
                          <pic:cNvPicPr>
                            <a:picLocks noChangeAspect="1" noChangeArrowheads="1"/>
                          </pic:cNvPicPr>
                        </pic:nvPicPr>
                        <pic:blipFill>
                          <a:blip r:embed="rId351"/>
                          <a:srcRect l="-5882" t="-6619" r="-5882" b="-6619"/>
                          <a:stretch>
                            <a:fillRect/>
                          </a:stretch>
                        </pic:blipFill>
                        <pic:spPr bwMode="auto">
                          <a:xfrm>
                            <a:off x="0" y="0"/>
                            <a:ext cx="171450" cy="15240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Hudson Pacific Properties, Inc.</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515" w:type="dxa"/>
            <w:tcBorders/>
            <w:shd w:fill="auto" w:val="clear"/>
            <w:vAlign w:val="center"/>
          </w:tcPr>
          <w:p>
            <w:pPr>
              <w:pStyle w:val="TableContents"/>
              <w:spacing w:before="0" w:after="283"/>
              <w:jc w:val="right"/>
              <w:rPr>
                <w:rFonts w:ascii="Arial" w:hAnsi="Arial"/>
                <w:sz w:val="15"/>
              </w:rPr>
            </w:pPr>
            <w:r>
              <w:rPr>
                <w:rFonts w:ascii="Arial" w:hAnsi="Arial"/>
                <w:sz w:val="15"/>
              </w:rPr>
              <w:t>7,083</w:t>
            </w:r>
          </w:p>
        </w:tc>
        <w:tc>
          <w:tcPr>
            <w:tcW w:w="300"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jc w:val="left"/>
              <w:rPr/>
            </w:pPr>
            <w:r>
              <w:rPr/>
              <w:drawing>
                <wp:inline distT="0" distB="0" distL="0" distR="0">
                  <wp:extent cx="247650" cy="152400"/>
                  <wp:effectExtent l="0" t="0" r="0" b="0"/>
                  <wp:docPr id="496"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351" descr=""/>
                          <pic:cNvPicPr>
                            <a:picLocks noChangeAspect="1" noChangeArrowheads="1"/>
                          </pic:cNvPicPr>
                        </pic:nvPicPr>
                        <pic:blipFill>
                          <a:blip r:embed="rId352"/>
                          <a:srcRect l="-4069" t="-6619" r="-4069" b="-6619"/>
                          <a:stretch>
                            <a:fillRect/>
                          </a:stretch>
                        </pic:blipFill>
                        <pic:spPr bwMode="auto">
                          <a:xfrm>
                            <a:off x="0" y="0"/>
                            <a:ext cx="247650" cy="15240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Paramount Group, Inc.</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427" w:type="dxa"/>
            <w:tcBorders/>
            <w:shd w:fill="auto" w:val="clear"/>
            <w:vAlign w:val="center"/>
          </w:tcPr>
          <w:p>
            <w:pPr>
              <w:pStyle w:val="TableContents"/>
              <w:spacing w:before="0" w:after="283"/>
              <w:jc w:val="right"/>
              <w:rPr>
                <w:rFonts w:ascii="Arial" w:hAnsi="Arial"/>
                <w:sz w:val="15"/>
              </w:rPr>
            </w:pPr>
            <w:r>
              <w:rPr>
                <w:rFonts w:ascii="Arial" w:hAnsi="Arial"/>
                <w:sz w:val="15"/>
              </w:rPr>
              <w:t>740</w:t>
            </w:r>
          </w:p>
        </w:tc>
      </w:tr>
      <w:tr>
        <w:trPr/>
        <w:tc>
          <w:tcPr>
            <w:tcW w:w="1494" w:type="dxa"/>
            <w:tcBorders/>
            <w:shd w:fill="auto" w:val="clear"/>
            <w:vAlign w:val="center"/>
          </w:tcPr>
          <w:p>
            <w:pPr>
              <w:pStyle w:val="TableContents"/>
              <w:spacing w:before="0" w:after="283"/>
              <w:jc w:val="left"/>
              <w:rPr/>
            </w:pPr>
            <w:r>
              <w:rPr/>
              <w:drawing>
                <wp:inline distT="0" distB="0" distL="0" distR="0">
                  <wp:extent cx="152400" cy="171450"/>
                  <wp:effectExtent l="0" t="0" r="0" b="0"/>
                  <wp:docPr id="497"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352" descr=""/>
                          <pic:cNvPicPr>
                            <a:picLocks noChangeAspect="1" noChangeArrowheads="1"/>
                          </pic:cNvPicPr>
                        </pic:nvPicPr>
                        <pic:blipFill>
                          <a:blip r:embed="rId353"/>
                          <a:srcRect l="-6619" t="-5882" r="-6619" b="-5882"/>
                          <a:stretch>
                            <a:fillRect/>
                          </a:stretch>
                        </pic:blipFill>
                        <pic:spPr bwMode="auto">
                          <a:xfrm>
                            <a:off x="0" y="0"/>
                            <a:ext cx="152400" cy="17145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Paramount Group, Inc.</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515" w:type="dxa"/>
            <w:tcBorders/>
            <w:shd w:fill="auto" w:val="clear"/>
            <w:vAlign w:val="center"/>
          </w:tcPr>
          <w:p>
            <w:pPr>
              <w:pStyle w:val="TableContents"/>
              <w:spacing w:before="0" w:after="283"/>
              <w:jc w:val="right"/>
              <w:rPr>
                <w:rFonts w:ascii="Arial" w:hAnsi="Arial"/>
                <w:sz w:val="15"/>
              </w:rPr>
            </w:pPr>
            <w:r>
              <w:rPr>
                <w:rFonts w:ascii="Arial" w:hAnsi="Arial"/>
                <w:sz w:val="15"/>
              </w:rPr>
              <w:t>5,256</w:t>
            </w:r>
          </w:p>
        </w:tc>
        <w:tc>
          <w:tcPr>
            <w:tcW w:w="300"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jc w:val="left"/>
              <w:rPr/>
            </w:pPr>
            <w:r>
              <w:rPr/>
              <w:drawing>
                <wp:inline distT="0" distB="0" distL="0" distR="0">
                  <wp:extent cx="247650" cy="171450"/>
                  <wp:effectExtent l="0" t="0" r="0" b="0"/>
                  <wp:docPr id="498"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353" descr=""/>
                          <pic:cNvPicPr>
                            <a:picLocks noChangeAspect="1" noChangeArrowheads="1"/>
                          </pic:cNvPicPr>
                        </pic:nvPicPr>
                        <pic:blipFill>
                          <a:blip r:embed="rId354"/>
                          <a:srcRect l="-4069" t="-5882" r="-4069" b="-5882"/>
                          <a:stretch>
                            <a:fillRect/>
                          </a:stretch>
                        </pic:blipFill>
                        <pic:spPr bwMode="auto">
                          <a:xfrm>
                            <a:off x="0" y="0"/>
                            <a:ext cx="247650" cy="17145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Empire State Realty Trust, Inc.</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427" w:type="dxa"/>
            <w:tcBorders/>
            <w:shd w:fill="auto" w:val="clear"/>
            <w:vAlign w:val="center"/>
          </w:tcPr>
          <w:p>
            <w:pPr>
              <w:pStyle w:val="TableContents"/>
              <w:spacing w:before="0" w:after="283"/>
              <w:jc w:val="right"/>
              <w:rPr>
                <w:rFonts w:ascii="Arial" w:hAnsi="Arial"/>
                <w:sz w:val="15"/>
              </w:rPr>
            </w:pPr>
            <w:r>
              <w:rPr>
                <w:rFonts w:ascii="Arial" w:hAnsi="Arial"/>
                <w:sz w:val="15"/>
              </w:rPr>
              <w:t>727</w:t>
            </w:r>
          </w:p>
        </w:tc>
      </w:tr>
      <w:tr>
        <w:trPr/>
        <w:tc>
          <w:tcPr>
            <w:tcW w:w="1494" w:type="dxa"/>
            <w:tcBorders/>
            <w:shd w:fill="auto" w:val="clear"/>
            <w:vAlign w:val="center"/>
          </w:tcPr>
          <w:p>
            <w:pPr>
              <w:pStyle w:val="TableContents"/>
              <w:spacing w:before="0" w:after="283"/>
              <w:jc w:val="left"/>
              <w:rPr/>
            </w:pPr>
            <w:r>
              <w:rPr/>
              <w:drawing>
                <wp:inline distT="0" distB="0" distL="0" distR="0">
                  <wp:extent cx="142875" cy="171450"/>
                  <wp:effectExtent l="0" t="0" r="0" b="0"/>
                  <wp:docPr id="499"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354" descr=""/>
                          <pic:cNvPicPr>
                            <a:picLocks noChangeAspect="1" noChangeArrowheads="1"/>
                          </pic:cNvPicPr>
                        </pic:nvPicPr>
                        <pic:blipFill>
                          <a:blip r:embed="rId355"/>
                          <a:srcRect l="-7052" t="-5882" r="-7052" b="-5882"/>
                          <a:stretch>
                            <a:fillRect/>
                          </a:stretch>
                        </pic:blipFill>
                        <pic:spPr bwMode="auto">
                          <a:xfrm>
                            <a:off x="0" y="0"/>
                            <a:ext cx="142875" cy="17145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Ladder Capital Corp</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515" w:type="dxa"/>
            <w:tcBorders/>
            <w:shd w:fill="auto" w:val="clear"/>
            <w:vAlign w:val="center"/>
          </w:tcPr>
          <w:p>
            <w:pPr>
              <w:pStyle w:val="TableContents"/>
              <w:spacing w:before="0" w:after="283"/>
              <w:jc w:val="right"/>
              <w:rPr>
                <w:rFonts w:ascii="Arial" w:hAnsi="Arial"/>
                <w:sz w:val="15"/>
              </w:rPr>
            </w:pPr>
            <w:r>
              <w:rPr>
                <w:rFonts w:ascii="Arial" w:hAnsi="Arial"/>
                <w:sz w:val="15"/>
              </w:rPr>
              <w:t>5,182</w:t>
            </w:r>
          </w:p>
        </w:tc>
        <w:tc>
          <w:tcPr>
            <w:tcW w:w="300"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jc w:val="left"/>
              <w:rPr/>
            </w:pPr>
            <w:r>
              <w:rPr/>
              <w:drawing>
                <wp:inline distT="0" distB="0" distL="0" distR="0">
                  <wp:extent cx="180975" cy="152400"/>
                  <wp:effectExtent l="0" t="0" r="0" b="0"/>
                  <wp:docPr id="500"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355" descr=""/>
                          <pic:cNvPicPr>
                            <a:picLocks noChangeAspect="1" noChangeArrowheads="1"/>
                          </pic:cNvPicPr>
                        </pic:nvPicPr>
                        <pic:blipFill>
                          <a:blip r:embed="rId356"/>
                          <a:srcRect l="-5566" t="-6619" r="-5566" b="-6619"/>
                          <a:stretch>
                            <a:fillRect/>
                          </a:stretch>
                        </pic:blipFill>
                        <pic:spPr bwMode="auto">
                          <a:xfrm>
                            <a:off x="0" y="0"/>
                            <a:ext cx="180975" cy="15240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Kennedy-Wilson Holdings, Inc.</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427" w:type="dxa"/>
            <w:tcBorders/>
            <w:shd w:fill="auto" w:val="clear"/>
            <w:vAlign w:val="center"/>
          </w:tcPr>
          <w:p>
            <w:pPr>
              <w:pStyle w:val="TableContents"/>
              <w:spacing w:before="0" w:after="283"/>
              <w:jc w:val="right"/>
              <w:rPr>
                <w:rFonts w:ascii="Arial" w:hAnsi="Arial"/>
                <w:sz w:val="15"/>
              </w:rPr>
            </w:pPr>
            <w:r>
              <w:rPr>
                <w:rFonts w:ascii="Arial" w:hAnsi="Arial"/>
                <w:sz w:val="15"/>
              </w:rPr>
              <w:t>540</w:t>
            </w:r>
          </w:p>
        </w:tc>
      </w:tr>
      <w:tr>
        <w:trPr/>
        <w:tc>
          <w:tcPr>
            <w:tcW w:w="1494" w:type="dxa"/>
            <w:tcBorders/>
            <w:shd w:fill="auto" w:val="clear"/>
            <w:vAlign w:val="center"/>
          </w:tcPr>
          <w:p>
            <w:pPr>
              <w:pStyle w:val="TableContents"/>
              <w:spacing w:before="0" w:after="283"/>
              <w:jc w:val="left"/>
              <w:rPr/>
            </w:pPr>
            <w:r>
              <w:rPr/>
              <w:drawing>
                <wp:inline distT="0" distB="0" distL="0" distR="0">
                  <wp:extent cx="114300" cy="171450"/>
                  <wp:effectExtent l="0" t="0" r="0" b="0"/>
                  <wp:docPr id="501"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356" descr=""/>
                          <pic:cNvPicPr>
                            <a:picLocks noChangeAspect="1" noChangeArrowheads="1"/>
                          </pic:cNvPicPr>
                        </pic:nvPicPr>
                        <pic:blipFill>
                          <a:blip r:embed="rId357"/>
                          <a:srcRect l="-8805" t="-5882" r="-8805" b="-5882"/>
                          <a:stretch>
                            <a:fillRect/>
                          </a:stretch>
                        </pic:blipFill>
                        <pic:spPr bwMode="auto">
                          <a:xfrm>
                            <a:off x="0" y="0"/>
                            <a:ext cx="114300" cy="17145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Empire State Realty Trust, Inc.</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515" w:type="dxa"/>
            <w:tcBorders/>
            <w:shd w:fill="auto" w:val="clear"/>
            <w:vAlign w:val="center"/>
          </w:tcPr>
          <w:p>
            <w:pPr>
              <w:pStyle w:val="TableContents"/>
              <w:spacing w:before="0" w:after="283"/>
              <w:jc w:val="right"/>
              <w:rPr>
                <w:rFonts w:ascii="Arial" w:hAnsi="Arial"/>
                <w:sz w:val="15"/>
              </w:rPr>
            </w:pPr>
            <w:r>
              <w:rPr>
                <w:rFonts w:ascii="Arial" w:hAnsi="Arial"/>
                <w:sz w:val="15"/>
              </w:rPr>
              <w:t>3,800</w:t>
            </w:r>
          </w:p>
        </w:tc>
        <w:tc>
          <w:tcPr>
            <w:tcW w:w="300"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jc w:val="left"/>
              <w:rPr/>
            </w:pPr>
            <w:r>
              <w:rPr/>
              <w:drawing>
                <wp:inline distT="0" distB="0" distL="0" distR="0">
                  <wp:extent cx="123825" cy="152400"/>
                  <wp:effectExtent l="0" t="0" r="0" b="0"/>
                  <wp:docPr id="502"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357" descr=""/>
                          <pic:cNvPicPr>
                            <a:picLocks noChangeAspect="1" noChangeArrowheads="1"/>
                          </pic:cNvPicPr>
                        </pic:nvPicPr>
                        <pic:blipFill>
                          <a:blip r:embed="rId358"/>
                          <a:srcRect l="-8139" t="-6619" r="-8139" b="-6619"/>
                          <a:stretch>
                            <a:fillRect/>
                          </a:stretch>
                        </pic:blipFill>
                        <pic:spPr bwMode="auto">
                          <a:xfrm>
                            <a:off x="0" y="0"/>
                            <a:ext cx="123825" cy="15240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jc w:val="left"/>
              <w:rPr>
                <w:rFonts w:ascii="Arial" w:hAnsi="Arial"/>
                <w:sz w:val="15"/>
              </w:rPr>
            </w:pPr>
            <w:r>
              <w:rPr>
                <w:rFonts w:ascii="Arial" w:hAnsi="Arial"/>
                <w:sz w:val="15"/>
              </w:rPr>
              <w:t>Ladder Capital Corp</w:t>
            </w:r>
          </w:p>
        </w:tc>
        <w:tc>
          <w:tcPr>
            <w:tcW w:w="3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right"/>
              <w:rPr>
                <w:rFonts w:ascii="Arial" w:hAnsi="Arial"/>
                <w:sz w:val="15"/>
              </w:rPr>
            </w:pPr>
            <w:r>
              <w:rPr>
                <w:rFonts w:ascii="Arial" w:hAnsi="Arial"/>
                <w:sz w:val="15"/>
              </w:rPr>
              <w:t>$</w:t>
            </w:r>
          </w:p>
        </w:tc>
        <w:tc>
          <w:tcPr>
            <w:tcW w:w="427" w:type="dxa"/>
            <w:tcBorders/>
            <w:shd w:fill="auto" w:val="clear"/>
            <w:vAlign w:val="center"/>
          </w:tcPr>
          <w:p>
            <w:pPr>
              <w:pStyle w:val="TableContents"/>
              <w:spacing w:before="0" w:after="283"/>
              <w:jc w:val="right"/>
              <w:rPr>
                <w:rFonts w:ascii="Arial" w:hAnsi="Arial"/>
                <w:sz w:val="15"/>
              </w:rPr>
            </w:pPr>
            <w:r>
              <w:rPr>
                <w:rFonts w:ascii="Arial" w:hAnsi="Arial"/>
                <w:sz w:val="15"/>
              </w:rPr>
              <w:t>345</w:t>
            </w:r>
          </w:p>
        </w:tc>
      </w:tr>
    </w:tbl>
    <w:p>
      <w:pPr>
        <w:pStyle w:val="TextBody"/>
        <w:jc w:val="left"/>
        <w:rPr>
          <w:rFonts w:ascii="Arial" w:hAnsi="Arial"/>
          <w:sz w:val="15"/>
        </w:rPr>
      </w:pPr>
      <w:r>
        <w:rPr>
          <w:rFonts w:ascii="Arial" w:hAnsi="Arial"/>
          <w:sz w:val="15"/>
        </w:rPr>
        <w:t>Source: S&amp;P Capital IQ. Data as of December 31, 2022.</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62</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sz w:val="20"/>
        </w:rPr>
      </w:pPr>
      <w:r>
        <w:rPr>
          <w:rFonts w:ascii="Arial" w:hAnsi="Arial"/>
          <w:sz w:val="20"/>
        </w:rPr>
        <w:t>In the market for talent and compensation, the Committee views SLG as most comparable to real estate companies and companies in complex financial services-related industries such as top performing hedge funds, international investors, large private firms and others that may have equal or greater financial resources, including access to cost-efficient capital. Many of these most direct competitors are private companies, however, and are not required to publicly disclose their compensation arrangements, though the Committee believes that the top real estate principals of these non-REIT companies typically receive substantially higher compensation than their counterparts at public REITs. Nonetheless, to ensure the rigor of our compensation program benchmarking, we have limited our peer group to companies for which there is sufficient publicly available information to thoroughly and completely evaluate the comparability of any given peer company.</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F3F6EA" w:val="clear"/>
            <w:vAlign w:val="center"/>
          </w:tcPr>
          <w:p>
            <w:pPr>
              <w:pStyle w:val="TableContents"/>
              <w:spacing w:before="0" w:after="283"/>
              <w:jc w:val="left"/>
              <w:rPr>
                <w:rFonts w:ascii="Arial" w:hAnsi="Arial"/>
                <w:sz w:val="20"/>
              </w:rPr>
            </w:pPr>
            <w:r>
              <w:rPr>
                <w:rFonts w:ascii="Arial" w:hAnsi="Arial"/>
                <w:sz w:val="20"/>
              </w:rPr>
              <w:t>Given limited publicly available information on the private companies with which we most directly compete for real estate talent, we have elected to include only public REITs in our compensation peer group.</w:t>
            </w:r>
          </w:p>
        </w:tc>
      </w:tr>
    </w:tbl>
    <w:p>
      <w:pPr>
        <w:pStyle w:val="TextBody"/>
        <w:spacing w:before="240" w:after="283"/>
        <w:jc w:val="left"/>
        <w:rPr>
          <w:rFonts w:ascii="Arial" w:hAnsi="Arial"/>
          <w:b/>
          <w:color w:val="8EAD3C"/>
          <w:sz w:val="20"/>
        </w:rPr>
      </w:pPr>
      <w:r>
        <w:rPr>
          <w:rFonts w:ascii="Arial" w:hAnsi="Arial"/>
          <w:b/>
          <w:color w:val="8EAD3C"/>
          <w:sz w:val="20"/>
        </w:rPr>
        <w:t>Analysis of Risk Associated with Our Executive Compensation Plans</w:t>
      </w:r>
    </w:p>
    <w:p>
      <w:pPr>
        <w:pStyle w:val="TextBody"/>
        <w:jc w:val="left"/>
        <w:rPr>
          <w:rFonts w:ascii="Arial" w:hAnsi="Arial"/>
          <w:sz w:val="20"/>
        </w:rPr>
      </w:pPr>
      <w:r>
        <w:rPr>
          <w:rFonts w:ascii="Arial" w:hAnsi="Arial"/>
          <w:sz w:val="20"/>
        </w:rPr>
        <w:t>In setting compensation, we consider the risks to our stockholders and to achievement of our goals that may be inherent in the executive compensation program. We concluded that it is not reasonably likely that our compensation policies and practices will have a material adverse effect on us.</w:t>
      </w:r>
    </w:p>
    <w:p>
      <w:pPr>
        <w:pStyle w:val="TextBody"/>
        <w:jc w:val="left"/>
        <w:rPr>
          <w:rFonts w:ascii="Arial" w:hAnsi="Arial"/>
          <w:sz w:val="20"/>
        </w:rPr>
      </w:pPr>
      <w:r>
        <w:rPr>
          <w:rFonts w:ascii="Arial" w:hAnsi="Arial"/>
          <w:sz w:val="20"/>
        </w:rPr>
        <w:t>In reaching our conclusion, we considered the following aspects of our executive compensation plans and policies among others: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We evaluate performance based upon the achievement of a variety of business objectives and goals.</w:t>
            </w:r>
          </w:p>
        </w:tc>
      </w:tr>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We use a balanced equity compensation mix comprised of performance-based and time-based full value equity awards. This approach lessens the likelihood that executives will take unreasonable risks to keep their equity awards “in-the-money,” as may be the case with equity compensation programs that rely solely on leveraged market-based equity compensation vehicles such as stock options.</w:t>
            </w:r>
          </w:p>
        </w:tc>
      </w:tr>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We provide a significant portion of incentive compensation in the form of long-term incentive awards. The amounts that ultimately may be earned are tied to how we perform over a multi-year period, which focuses management on sustaining our long-term performance.</w:t>
            </w:r>
          </w:p>
        </w:tc>
      </w:tr>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We structure payouts under our performance-based awards based on achieving a minimum level of performance, so that some compensation is awarded at levels below full target achievement rather than an “all-or-nothing” approach.</w:t>
            </w:r>
          </w:p>
        </w:tc>
      </w:tr>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We provide a significant portion of each executive’s annual compensation in the form of equity-based compensation. In addition, executives are required to maintain sizable holdings of equity in the Company under the terms of our equity ownership guidelines. This practice aligns an appropriate portion of our executives’ personal wealth to our long-term performance.</w:t>
            </w:r>
          </w:p>
        </w:tc>
      </w:tr>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We adopted a policy for recoupment of incentive payments made to our executives, including our named executive officers, if payment was based on having met or exceeded performance expectations during a period of fraudulent activity for which the executive is responsible.</w:t>
            </w:r>
          </w:p>
        </w:tc>
      </w:tr>
    </w:tbl>
    <w:p>
      <w:pPr>
        <w:pStyle w:val="TextBody"/>
        <w:spacing w:before="240" w:after="283"/>
        <w:jc w:val="left"/>
        <w:rPr>
          <w:rFonts w:ascii="Arial" w:hAnsi="Arial"/>
          <w:sz w:val="20"/>
        </w:rPr>
      </w:pPr>
      <w:r>
        <w:rPr>
          <w:rFonts w:ascii="Arial" w:hAnsi="Arial"/>
          <w:sz w:val="20"/>
        </w:rPr>
        <w:t>Accordingly, although a significant portion of our executives’ compensation is performance-based and “at-risk,” we believe our executive compensation programs are appropriately structured and do not pose a material risk to the Company.</w:t>
      </w:r>
    </w:p>
    <w:p>
      <w:pPr>
        <w:pStyle w:val="TextBody"/>
        <w:jc w:val="left"/>
        <w:rPr>
          <w:rFonts w:ascii="Arial" w:hAnsi="Arial"/>
          <w:b/>
          <w:color w:val="8EAD3C"/>
          <w:sz w:val="20"/>
        </w:rPr>
      </w:pPr>
      <w:r>
        <w:rPr>
          <w:rFonts w:ascii="Arial" w:hAnsi="Arial"/>
          <w:b/>
          <w:color w:val="8EAD3C"/>
          <w:sz w:val="20"/>
        </w:rPr>
        <w:t>Executive and Director Equity Ownership Guidelines</w:t>
      </w:r>
    </w:p>
    <w:p>
      <w:pPr>
        <w:pStyle w:val="TextBody"/>
        <w:jc w:val="left"/>
        <w:rPr>
          <w:rFonts w:ascii="Arial" w:hAnsi="Arial"/>
          <w:sz w:val="20"/>
        </w:rPr>
      </w:pPr>
      <w:r>
        <w:rPr>
          <w:rFonts w:ascii="Arial" w:hAnsi="Arial"/>
          <w:sz w:val="20"/>
        </w:rPr>
        <w:t>In furtherance of the Committee’s ongoing efforts to foster an ownership culture among our senior leadership team, we adopted equity ownership guidelines for our named executive officers and non-employee directors, as set forth below:</w:t>
      </w:r>
    </w:p>
    <w:tbl>
      <w:tblPr>
        <w:tblW w:w="4945" w:type="dxa"/>
        <w:jc w:val="left"/>
        <w:tblInd w:w="0" w:type="dxa"/>
        <w:tblCellMar>
          <w:top w:w="0" w:type="dxa"/>
          <w:left w:w="0" w:type="dxa"/>
          <w:bottom w:w="0" w:type="dxa"/>
          <w:right w:w="0" w:type="dxa"/>
        </w:tblCellMar>
      </w:tblPr>
      <w:tblGrid>
        <w:gridCol w:w="2855"/>
        <w:gridCol w:w="300"/>
        <w:gridCol w:w="1790"/>
      </w:tblGrid>
      <w:tr>
        <w:trPr/>
        <w:tc>
          <w:tcPr>
            <w:tcW w:w="285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r>
      <w:tr>
        <w:trPr/>
        <w:tc>
          <w:tcPr>
            <w:tcW w:w="2855" w:type="dxa"/>
            <w:tcBorders>
              <w:bottom w:val="single" w:sz="12" w:space="0" w:color="1A2343"/>
            </w:tcBorders>
            <w:shd w:fill="auto" w:val="clear"/>
            <w:tcMar>
              <w:bottom w:w="40" w:type="dxa"/>
            </w:tcMar>
            <w:vAlign w:val="center"/>
          </w:tcPr>
          <w:p>
            <w:pPr>
              <w:pStyle w:val="TableContents"/>
              <w:spacing w:before="0" w:after="283"/>
              <w:jc w:val="left"/>
              <w:rPr>
                <w:rFonts w:ascii="Arial" w:hAnsi="Arial"/>
                <w:color w:val="1A2343"/>
                <w:sz w:val="15"/>
              </w:rPr>
            </w:pPr>
            <w:r>
              <w:rPr>
                <w:rFonts w:ascii="Arial" w:hAnsi="Arial"/>
                <w:color w:val="1A2343"/>
                <w:sz w:val="15"/>
              </w:rPr>
              <w:t>Named Executive Officers and</w:t>
              <w:br/>
              <w:t>Non-Employee Directors</w:t>
            </w:r>
          </w:p>
        </w:tc>
        <w:tc>
          <w:tcPr>
            <w:tcW w:w="300" w:type="dxa"/>
            <w:tcBorders/>
            <w:shd w:fill="auto" w:val="clear"/>
            <w:vAlign w:val="center"/>
          </w:tcPr>
          <w:p>
            <w:pPr>
              <w:pStyle w:val="TableContents"/>
              <w:spacing w:before="0" w:after="283"/>
              <w:jc w:val="left"/>
              <w:rPr/>
            </w:pPr>
            <w:r>
              <w:rPr/>
              <w:t>     </w:t>
            </w:r>
          </w:p>
        </w:tc>
        <w:tc>
          <w:tcPr>
            <w:tcW w:w="179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Multiple of Base Salary or</w:t>
              <w:br/>
              <w:t>Annual Cash Retainer</w:t>
            </w:r>
          </w:p>
        </w:tc>
      </w:tr>
      <w:tr>
        <w:trPr/>
        <w:tc>
          <w:tcPr>
            <w:tcW w:w="285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Chief Executive Officer</w:t>
            </w:r>
          </w:p>
        </w:tc>
        <w:tc>
          <w:tcPr>
            <w:tcW w:w="300" w:type="dxa"/>
            <w:tcBorders/>
            <w:shd w:fill="auto" w:val="clear"/>
            <w:vAlign w:val="center"/>
          </w:tcPr>
          <w:p>
            <w:pPr>
              <w:pStyle w:val="TableContents"/>
              <w:spacing w:before="0" w:after="283"/>
              <w:rPr>
                <w:sz w:val="4"/>
                <w:szCs w:val="4"/>
              </w:rPr>
            </w:pPr>
            <w:r>
              <w:rPr>
                <w:sz w:val="4"/>
                <w:szCs w:val="4"/>
              </w:rPr>
            </w:r>
          </w:p>
        </w:tc>
        <w:tc>
          <w:tcPr>
            <w:tcW w:w="179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8x</w:t>
            </w:r>
          </w:p>
        </w:tc>
      </w:tr>
      <w:tr>
        <w:trPr/>
        <w:tc>
          <w:tcPr>
            <w:tcW w:w="2855"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Other Named Executive Officers</w:t>
            </w:r>
          </w:p>
        </w:tc>
        <w:tc>
          <w:tcPr>
            <w:tcW w:w="300" w:type="dxa"/>
            <w:tcBorders/>
            <w:shd w:fill="auto" w:val="clear"/>
            <w:vAlign w:val="center"/>
          </w:tcPr>
          <w:p>
            <w:pPr>
              <w:pStyle w:val="TableContents"/>
              <w:spacing w:before="0" w:after="283"/>
              <w:rPr>
                <w:sz w:val="4"/>
                <w:szCs w:val="4"/>
              </w:rPr>
            </w:pPr>
            <w:r>
              <w:rPr>
                <w:sz w:val="4"/>
                <w:szCs w:val="4"/>
              </w:rPr>
            </w:r>
          </w:p>
        </w:tc>
        <w:tc>
          <w:tcPr>
            <w:tcW w:w="179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6x</w:t>
            </w:r>
          </w:p>
        </w:tc>
      </w:tr>
      <w:tr>
        <w:trPr/>
        <w:tc>
          <w:tcPr>
            <w:tcW w:w="2855" w:type="dxa"/>
            <w:tcBorders>
              <w:bottom w:val="single" w:sz="12" w:space="0" w:color="1A2343"/>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Non-Employee Directors</w:t>
            </w:r>
          </w:p>
        </w:tc>
        <w:tc>
          <w:tcPr>
            <w:tcW w:w="300" w:type="dxa"/>
            <w:tcBorders/>
            <w:shd w:fill="auto" w:val="clear"/>
            <w:vAlign w:val="center"/>
          </w:tcPr>
          <w:p>
            <w:pPr>
              <w:pStyle w:val="TableContents"/>
              <w:spacing w:before="0" w:after="283"/>
              <w:rPr>
                <w:sz w:val="4"/>
                <w:szCs w:val="4"/>
              </w:rPr>
            </w:pPr>
            <w:r>
              <w:rPr>
                <w:sz w:val="4"/>
                <w:szCs w:val="4"/>
              </w:rPr>
            </w:r>
          </w:p>
        </w:tc>
        <w:tc>
          <w:tcPr>
            <w:tcW w:w="179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5x</w:t>
            </w:r>
          </w:p>
        </w:tc>
      </w:tr>
    </w:tbl>
    <w:p>
      <w:pPr>
        <w:pStyle w:val="TextBody"/>
        <w:spacing w:before="240" w:after="283"/>
        <w:jc w:val="left"/>
        <w:rPr>
          <w:rFonts w:ascii="Arial" w:hAnsi="Arial"/>
          <w:sz w:val="20"/>
        </w:rPr>
      </w:pPr>
      <w:r>
        <w:rPr>
          <w:rFonts w:ascii="Arial" w:hAnsi="Arial"/>
          <w:sz w:val="20"/>
        </w:rPr>
        <w:t>All of our named executive officers hold a significant amount of equity in our Company and are highly incentivized to create sustainable, long-term stockholder value.</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455" w:type="dxa"/>
        <w:jc w:val="left"/>
        <w:tblInd w:w="0" w:type="dxa"/>
        <w:tblCellMar>
          <w:top w:w="0" w:type="dxa"/>
          <w:left w:w="0" w:type="dxa"/>
          <w:bottom w:w="0" w:type="dxa"/>
          <w:right w:w="0" w:type="dxa"/>
        </w:tblCellMar>
      </w:tblPr>
      <w:tblGrid>
        <w:gridCol w:w="2165"/>
        <w:gridCol w:w="290"/>
      </w:tblGrid>
      <w:tr>
        <w:trPr/>
        <w:tc>
          <w:tcPr>
            <w:tcW w:w="2165" w:type="dxa"/>
            <w:tcBorders/>
            <w:shd w:fill="auto" w:val="clear"/>
            <w:vAlign w:val="center"/>
          </w:tcPr>
          <w:p>
            <w:pPr>
              <w:pStyle w:val="TableContents"/>
              <w:spacing w:before="0" w:after="283"/>
              <w:jc w:val="left"/>
              <w:rPr>
                <w:rFonts w:ascii="Arial" w:hAnsi="Arial"/>
                <w:b/>
                <w:sz w:val="15"/>
              </w:rPr>
            </w:pPr>
            <w:r>
              <w:rPr>
                <w:rFonts w:ascii="Arial" w:hAnsi="Arial"/>
                <w:b/>
                <w:sz w:val="15"/>
              </w:rPr>
              <w:t>EXECUTIVE COMPENSATION</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63</w:t>
            </w:r>
          </w:p>
        </w:tc>
      </w:tr>
    </w:tbl>
    <w:p>
      <w:pPr>
        <w:pStyle w:val="TextBody"/>
        <w:spacing w:before="0" w:after="0"/>
        <w:rPr/>
      </w:pPr>
      <w:r>
        <w:rPr/>
      </w:r>
    </w:p>
    <w:tbl>
      <w:tblPr>
        <w:tblW w:w="4030" w:type="dxa"/>
        <w:jc w:val="left"/>
        <w:tblInd w:w="0" w:type="dxa"/>
        <w:tblCellMar>
          <w:top w:w="0" w:type="dxa"/>
          <w:left w:w="0" w:type="dxa"/>
          <w:bottom w:w="28" w:type="dxa"/>
          <w:right w:w="0" w:type="dxa"/>
        </w:tblCellMar>
      </w:tblPr>
      <w:tblGrid>
        <w:gridCol w:w="1925"/>
        <w:gridCol w:w="300"/>
        <w:gridCol w:w="1805"/>
      </w:tblGrid>
      <w:tr>
        <w:trPr/>
        <w:tc>
          <w:tcPr>
            <w:tcW w:w="1925"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Named Executive Officers</w:t>
            </w:r>
          </w:p>
        </w:tc>
        <w:tc>
          <w:tcPr>
            <w:tcW w:w="300" w:type="dxa"/>
            <w:tcBorders/>
            <w:shd w:fill="auto" w:val="clear"/>
            <w:tcMar>
              <w:bottom w:w="0" w:type="dxa"/>
            </w:tcMar>
            <w:vAlign w:val="center"/>
          </w:tcPr>
          <w:p>
            <w:pPr>
              <w:pStyle w:val="TableContents"/>
              <w:spacing w:before="0" w:after="283"/>
              <w:jc w:val="left"/>
              <w:rPr/>
            </w:pPr>
            <w:r>
              <w:rPr/>
              <w:t>     </w:t>
            </w:r>
          </w:p>
        </w:tc>
        <w:tc>
          <w:tcPr>
            <w:tcW w:w="1805"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Actual Equity Ownership -</w:t>
              <w:br/>
              <w:t>Multiple of Base Salary</w:t>
            </w:r>
            <w:r>
              <w:rPr>
                <w:rFonts w:ascii="Arial" w:hAnsi="Arial"/>
                <w:color w:val="1A2343"/>
                <w:position w:val="5"/>
                <w:sz w:val="12"/>
                <w:sz w:val="15"/>
              </w:rPr>
              <w:t>(1)</w:t>
            </w:r>
          </w:p>
        </w:tc>
      </w:tr>
      <w:tr>
        <w:trPr/>
        <w:tc>
          <w:tcPr>
            <w:tcW w:w="1925" w:type="dxa"/>
            <w:tcBorders>
              <w:bottom w:val="single" w:sz="8" w:space="0" w:color="5B5975"/>
            </w:tcBorders>
            <w:shd w:fill="auto" w:val="clear"/>
            <w:vAlign w:val="center"/>
          </w:tcPr>
          <w:p>
            <w:pPr>
              <w:pStyle w:val="TableContents"/>
              <w:spacing w:before="0" w:after="283"/>
              <w:jc w:val="left"/>
              <w:rPr>
                <w:rFonts w:ascii="Arial" w:hAnsi="Arial"/>
                <w:b/>
                <w:color w:val="1A2343"/>
                <w:sz w:val="20"/>
              </w:rPr>
            </w:pPr>
            <w:r>
              <w:rPr>
                <w:rFonts w:ascii="Arial" w:hAnsi="Arial"/>
                <w:b/>
                <w:color w:val="1A2343"/>
                <w:sz w:val="20"/>
              </w:rPr>
              <w:t>Marc Holliday</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0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31x</w:t>
            </w:r>
          </w:p>
        </w:tc>
      </w:tr>
      <w:tr>
        <w:trPr/>
        <w:tc>
          <w:tcPr>
            <w:tcW w:w="1925" w:type="dxa"/>
            <w:tcBorders>
              <w:bottom w:val="single" w:sz="8" w:space="0" w:color="5B5975"/>
            </w:tcBorders>
            <w:shd w:fill="auto" w:val="clear"/>
            <w:vAlign w:val="center"/>
          </w:tcPr>
          <w:p>
            <w:pPr>
              <w:pStyle w:val="TableContents"/>
              <w:spacing w:before="0" w:after="283"/>
              <w:jc w:val="left"/>
              <w:rPr>
                <w:rFonts w:ascii="Arial" w:hAnsi="Arial"/>
                <w:b/>
                <w:color w:val="1A2343"/>
                <w:sz w:val="20"/>
              </w:rPr>
            </w:pPr>
            <w:r>
              <w:rPr>
                <w:rFonts w:ascii="Arial" w:hAnsi="Arial"/>
                <w:b/>
                <w:color w:val="1A2343"/>
                <w:sz w:val="20"/>
              </w:rPr>
              <w:t>Andrew Mathias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0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40x</w:t>
            </w:r>
          </w:p>
        </w:tc>
      </w:tr>
      <w:tr>
        <w:trPr/>
        <w:tc>
          <w:tcPr>
            <w:tcW w:w="1925" w:type="dxa"/>
            <w:tcBorders>
              <w:bottom w:val="single" w:sz="8" w:space="0" w:color="5B5975"/>
            </w:tcBorders>
            <w:shd w:fill="auto" w:val="clear"/>
            <w:vAlign w:val="center"/>
          </w:tcPr>
          <w:p>
            <w:pPr>
              <w:pStyle w:val="TableContents"/>
              <w:spacing w:before="0" w:after="283"/>
              <w:jc w:val="left"/>
              <w:rPr>
                <w:rFonts w:ascii="Arial" w:hAnsi="Arial"/>
                <w:b/>
                <w:color w:val="1A2343"/>
                <w:sz w:val="20"/>
              </w:rPr>
            </w:pPr>
            <w:r>
              <w:rPr>
                <w:rFonts w:ascii="Arial" w:hAnsi="Arial"/>
                <w:b/>
                <w:color w:val="1A2343"/>
                <w:sz w:val="20"/>
              </w:rPr>
              <w:t>Matthew J. DiLiberto</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0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9x</w:t>
            </w:r>
          </w:p>
        </w:tc>
      </w:tr>
      <w:tr>
        <w:trPr/>
        <w:tc>
          <w:tcPr>
            <w:tcW w:w="1925" w:type="dxa"/>
            <w:tcBorders>
              <w:bottom w:val="single" w:sz="12" w:space="0" w:color="1A2343"/>
            </w:tcBorders>
            <w:shd w:fill="auto" w:val="clear"/>
            <w:vAlign w:val="center"/>
          </w:tcPr>
          <w:p>
            <w:pPr>
              <w:pStyle w:val="TableContents"/>
              <w:spacing w:before="0" w:after="283"/>
              <w:jc w:val="left"/>
              <w:rPr>
                <w:rFonts w:ascii="Arial" w:hAnsi="Arial"/>
                <w:b/>
                <w:color w:val="1A2343"/>
                <w:sz w:val="20"/>
              </w:rPr>
            </w:pPr>
            <w:r>
              <w:rPr>
                <w:rFonts w:ascii="Arial" w:hAnsi="Arial"/>
                <w:b/>
                <w:color w:val="1A2343"/>
                <w:sz w:val="20"/>
              </w:rPr>
              <w:t>Andrew S. Levine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05" w:type="dxa"/>
            <w:tcBorders>
              <w:bottom w:val="single" w:sz="12" w:space="0" w:color="1A2343"/>
            </w:tcBorders>
            <w:shd w:fill="auto" w:val="clear"/>
            <w:vAlign w:val="center"/>
          </w:tcPr>
          <w:p>
            <w:pPr>
              <w:pStyle w:val="TableContents"/>
              <w:spacing w:before="0" w:after="283"/>
              <w:jc w:val="right"/>
              <w:rPr>
                <w:rFonts w:ascii="Arial" w:hAnsi="Arial"/>
                <w:sz w:val="20"/>
              </w:rPr>
            </w:pPr>
            <w:r>
              <w:rPr>
                <w:rFonts w:ascii="Arial" w:hAnsi="Arial"/>
                <w:sz w:val="20"/>
              </w:rPr>
              <w:t>13x</w:t>
            </w:r>
          </w:p>
        </w:tc>
      </w:tr>
    </w:tbl>
    <w:tbl>
      <w:tblPr>
        <w:tblW w:w="1720" w:type="dxa"/>
        <w:jc w:val="left"/>
        <w:tblInd w:w="0" w:type="dxa"/>
        <w:tblCellMar>
          <w:top w:w="0" w:type="dxa"/>
          <w:left w:w="0" w:type="dxa"/>
          <w:bottom w:w="0" w:type="dxa"/>
          <w:right w:w="0" w:type="dxa"/>
        </w:tblCellMar>
      </w:tblPr>
      <w:tblGrid>
        <w:gridCol w:w="245"/>
        <w:gridCol w:w="1475"/>
      </w:tblGrid>
      <w:tr>
        <w:trPr/>
        <w:tc>
          <w:tcPr>
            <w:tcW w:w="245"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 </w:t>
            </w:r>
          </w:p>
        </w:tc>
        <w:tc>
          <w:tcPr>
            <w:tcW w:w="1475" w:type="dxa"/>
            <w:tcBorders/>
            <w:shd w:fill="auto" w:val="clear"/>
            <w:vAlign w:val="center"/>
          </w:tcPr>
          <w:p>
            <w:pPr>
              <w:pStyle w:val="TableContents"/>
              <w:spacing w:before="0" w:after="283"/>
              <w:jc w:val="left"/>
              <w:rPr>
                <w:rFonts w:ascii="Arial" w:hAnsi="Arial"/>
                <w:sz w:val="15"/>
              </w:rPr>
            </w:pPr>
            <w:r>
              <w:rPr>
                <w:rFonts w:ascii="Arial" w:hAnsi="Arial"/>
                <w:sz w:val="15"/>
              </w:rPr>
              <w:t>As of March 7, 2023.</w:t>
            </w:r>
          </w:p>
        </w:tc>
      </w:tr>
    </w:tbl>
    <w:p>
      <w:pPr>
        <w:pStyle w:val="TextBody"/>
        <w:spacing w:before="240" w:after="283"/>
        <w:jc w:val="left"/>
        <w:rPr>
          <w:rFonts w:ascii="Arial" w:hAnsi="Arial"/>
          <w:b/>
          <w:color w:val="8EAD3C"/>
          <w:sz w:val="22"/>
        </w:rPr>
      </w:pPr>
      <w:r>
        <w:rPr>
          <w:rFonts w:ascii="Arial" w:hAnsi="Arial"/>
          <w:b/>
          <w:color w:val="8EAD3C"/>
          <w:sz w:val="22"/>
        </w:rPr>
        <w:t>Outstanding Annual Equity Award Performance Summary (2020-2022)</w:t>
      </w:r>
    </w:p>
    <w:tbl>
      <w:tblPr>
        <w:tblW w:w="9690" w:type="dxa"/>
        <w:jc w:val="left"/>
        <w:tblInd w:w="0" w:type="dxa"/>
        <w:tblCellMar>
          <w:top w:w="0" w:type="dxa"/>
          <w:left w:w="0" w:type="dxa"/>
          <w:bottom w:w="28" w:type="dxa"/>
          <w:right w:w="0" w:type="dxa"/>
        </w:tblCellMar>
      </w:tblPr>
      <w:tblGrid>
        <w:gridCol w:w="3650"/>
        <w:gridCol w:w="300"/>
        <w:gridCol w:w="2390"/>
        <w:gridCol w:w="300"/>
        <w:gridCol w:w="3050"/>
      </w:tblGrid>
      <w:tr>
        <w:trPr/>
        <w:tc>
          <w:tcPr>
            <w:tcW w:w="365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Operational Awards</w:t>
            </w:r>
          </w:p>
        </w:tc>
        <w:tc>
          <w:tcPr>
            <w:tcW w:w="300" w:type="dxa"/>
            <w:tcBorders/>
            <w:shd w:fill="auto" w:val="clear"/>
            <w:tcMar>
              <w:bottom w:w="0" w:type="dxa"/>
            </w:tcMar>
            <w:vAlign w:val="center"/>
          </w:tcPr>
          <w:p>
            <w:pPr>
              <w:pStyle w:val="TableContents"/>
              <w:spacing w:before="0" w:after="283"/>
              <w:jc w:val="left"/>
              <w:rPr/>
            </w:pPr>
            <w:r>
              <w:rPr/>
              <w:t>     </w:t>
            </w:r>
          </w:p>
        </w:tc>
        <w:tc>
          <w:tcPr>
            <w:tcW w:w="2390"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Actual Percentage Earned</w:t>
              <w:br/>
              <w:t>as of 12/31/2022</w:t>
            </w:r>
          </w:p>
        </w:tc>
        <w:tc>
          <w:tcPr>
            <w:tcW w:w="300" w:type="dxa"/>
            <w:tcBorders/>
            <w:shd w:fill="auto" w:val="clear"/>
            <w:tcMar>
              <w:bottom w:w="0" w:type="dxa"/>
            </w:tcMar>
            <w:vAlign w:val="center"/>
          </w:tcPr>
          <w:p>
            <w:pPr>
              <w:pStyle w:val="TableContents"/>
              <w:spacing w:before="0" w:after="283"/>
              <w:jc w:val="right"/>
              <w:rPr/>
            </w:pPr>
            <w:r>
              <w:rPr/>
              <w:t>     </w:t>
            </w:r>
          </w:p>
        </w:tc>
        <w:tc>
          <w:tcPr>
            <w:tcW w:w="3050"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Actual / Projected Absolute TSR Modifier as</w:t>
              <w:br/>
              <w:t>of 12/31/2022</w:t>
            </w:r>
          </w:p>
        </w:tc>
      </w:tr>
      <w:tr>
        <w:trPr/>
        <w:tc>
          <w:tcPr>
            <w:tcW w:w="36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2022 Operational Component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39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141.29% (Actual)</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-12.5% (Projected)</w:t>
            </w:r>
          </w:p>
        </w:tc>
      </w:tr>
      <w:tr>
        <w:trPr/>
        <w:tc>
          <w:tcPr>
            <w:tcW w:w="36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2021 Operational Component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39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200.00% (Actual)</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-12.5% (Projected)</w:t>
            </w:r>
          </w:p>
        </w:tc>
      </w:tr>
      <w:tr>
        <w:trPr/>
        <w:tc>
          <w:tcPr>
            <w:tcW w:w="3650" w:type="dxa"/>
            <w:tcBorders>
              <w:bottom w:val="single" w:sz="12" w:space="0" w:color="1A2343"/>
            </w:tcBorders>
            <w:shd w:fill="auto" w:val="clear"/>
            <w:vAlign w:val="center"/>
          </w:tcPr>
          <w:p>
            <w:pPr>
              <w:pStyle w:val="TableContents"/>
              <w:spacing w:before="0" w:after="283"/>
              <w:jc w:val="left"/>
              <w:rPr>
                <w:rFonts w:ascii="Arial" w:hAnsi="Arial"/>
                <w:sz w:val="20"/>
              </w:rPr>
            </w:pPr>
            <w:r>
              <w:rPr>
                <w:rFonts w:ascii="Arial" w:hAnsi="Arial"/>
                <w:sz w:val="20"/>
              </w:rPr>
              <w:t>2020 Operational Component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390" w:type="dxa"/>
            <w:tcBorders>
              <w:bottom w:val="single" w:sz="12" w:space="0" w:color="1A2343"/>
            </w:tcBorders>
            <w:shd w:fill="auto" w:val="clear"/>
            <w:vAlign w:val="center"/>
          </w:tcPr>
          <w:p>
            <w:pPr>
              <w:pStyle w:val="TableContents"/>
              <w:spacing w:before="0" w:after="283"/>
              <w:jc w:val="right"/>
              <w:rPr>
                <w:rFonts w:ascii="Arial" w:hAnsi="Arial"/>
                <w:sz w:val="20"/>
              </w:rPr>
            </w:pPr>
            <w:r>
              <w:rPr>
                <w:rFonts w:ascii="Arial" w:hAnsi="Arial"/>
                <w:sz w:val="20"/>
              </w:rPr>
              <w:t>115.44% (Actual)</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0" w:type="dxa"/>
            <w:tcBorders>
              <w:bottom w:val="single" w:sz="12" w:space="0" w:color="1A2343"/>
            </w:tcBorders>
            <w:shd w:fill="auto" w:val="clear"/>
            <w:vAlign w:val="center"/>
          </w:tcPr>
          <w:p>
            <w:pPr>
              <w:pStyle w:val="TableContents"/>
              <w:spacing w:before="0" w:after="283"/>
              <w:jc w:val="right"/>
              <w:rPr>
                <w:rFonts w:ascii="Arial" w:hAnsi="Arial"/>
                <w:sz w:val="20"/>
              </w:rPr>
            </w:pPr>
            <w:r>
              <w:rPr>
                <w:rFonts w:ascii="Arial" w:hAnsi="Arial"/>
                <w:sz w:val="20"/>
              </w:rPr>
              <w:t>-12.5% (Actual)</w:t>
            </w:r>
          </w:p>
        </w:tc>
      </w:tr>
      <w:tr>
        <w:trPr/>
        <w:tc>
          <w:tcPr>
            <w:tcW w:w="9690" w:type="dxa"/>
            <w:gridSpan w:val="5"/>
            <w:tcBorders/>
            <w:shd w:fill="auto" w:val="clear"/>
            <w:tcMar>
              <w:bottom w:w="0" w:type="dxa"/>
            </w:tcMar>
            <w:vAlign w:val="center"/>
          </w:tcPr>
          <w:p>
            <w:pPr>
              <w:pStyle w:val="TableContents"/>
              <w:spacing w:before="0" w:after="283"/>
              <w:rPr/>
            </w:pPr>
            <w:r>
              <w:rPr/>
              <w:t>     </w:t>
            </w:r>
          </w:p>
        </w:tc>
      </w:tr>
      <w:tr>
        <w:trPr/>
        <w:tc>
          <w:tcPr>
            <w:tcW w:w="365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Relative Awards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390"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Actual / Projected Percentile Rank</w:t>
              <w:br/>
              <w:t>as of 12/31/2022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0"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Actual / Projected Percentage Earned</w:t>
              <w:br/>
              <w:t>as of 12/31/2022</w:t>
            </w:r>
          </w:p>
        </w:tc>
      </w:tr>
      <w:tr>
        <w:trPr/>
        <w:tc>
          <w:tcPr>
            <w:tcW w:w="36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2022 Relative TSR vs. Office REIT Peers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39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24</w:t>
            </w:r>
            <w:r>
              <w:rPr>
                <w:rFonts w:ascii="Arial" w:hAnsi="Arial"/>
                <w:position w:val="7"/>
                <w:sz w:val="16"/>
                <w:sz w:val="20"/>
              </w:rPr>
              <w:t xml:space="preserve">th </w:t>
            </w:r>
            <w:r>
              <w:rPr>
                <w:rFonts w:ascii="Arial" w:hAnsi="Arial"/>
                <w:sz w:val="20"/>
              </w:rPr>
              <w:t>Percentile (Projected)</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0.00% (Projected)</w:t>
            </w:r>
          </w:p>
        </w:tc>
      </w:tr>
      <w:tr>
        <w:trPr/>
        <w:tc>
          <w:tcPr>
            <w:tcW w:w="36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2022 Relative TSR vs. NYC REIT Peers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39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0</w:t>
            </w:r>
            <w:r>
              <w:rPr>
                <w:rFonts w:ascii="Arial" w:hAnsi="Arial"/>
                <w:position w:val="7"/>
                <w:sz w:val="16"/>
                <w:sz w:val="20"/>
              </w:rPr>
              <w:t xml:space="preserve">th </w:t>
            </w:r>
            <w:r>
              <w:rPr>
                <w:rFonts w:ascii="Arial" w:hAnsi="Arial"/>
                <w:sz w:val="20"/>
              </w:rPr>
              <w:t>Percentile (Projected)</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0.00% (Projected)</w:t>
            </w:r>
          </w:p>
        </w:tc>
      </w:tr>
      <w:tr>
        <w:trPr/>
        <w:tc>
          <w:tcPr>
            <w:tcW w:w="36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2021 Relative TSR vs. Office REIT Peers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39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25</w:t>
            </w:r>
            <w:r>
              <w:rPr>
                <w:rFonts w:ascii="Arial" w:hAnsi="Arial"/>
                <w:position w:val="7"/>
                <w:sz w:val="16"/>
                <w:sz w:val="20"/>
              </w:rPr>
              <w:t xml:space="preserve">th </w:t>
            </w:r>
            <w:r>
              <w:rPr>
                <w:rFonts w:ascii="Arial" w:hAnsi="Arial"/>
                <w:sz w:val="20"/>
              </w:rPr>
              <w:t>Percentile (Projected)</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0.00% (Projected)</w:t>
            </w:r>
          </w:p>
        </w:tc>
      </w:tr>
      <w:tr>
        <w:trPr/>
        <w:tc>
          <w:tcPr>
            <w:tcW w:w="36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2021 Relative TSR vs. NYC REIT Peers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39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0</w:t>
            </w:r>
            <w:r>
              <w:rPr>
                <w:rFonts w:ascii="Arial" w:hAnsi="Arial"/>
                <w:position w:val="7"/>
                <w:sz w:val="16"/>
                <w:sz w:val="20"/>
              </w:rPr>
              <w:t xml:space="preserve">th </w:t>
            </w:r>
            <w:r>
              <w:rPr>
                <w:rFonts w:ascii="Arial" w:hAnsi="Arial"/>
                <w:sz w:val="20"/>
              </w:rPr>
              <w:t>Percentile (Projected)</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0.00% (Projected)</w:t>
            </w:r>
          </w:p>
        </w:tc>
      </w:tr>
      <w:tr>
        <w:trPr/>
        <w:tc>
          <w:tcPr>
            <w:tcW w:w="36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2020 Relative TSR vs. Office REIT Peers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39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31</w:t>
            </w:r>
            <w:r>
              <w:rPr>
                <w:rFonts w:ascii="Arial" w:hAnsi="Arial"/>
                <w:position w:val="7"/>
                <w:sz w:val="16"/>
                <w:sz w:val="20"/>
              </w:rPr>
              <w:t xml:space="preserve">st </w:t>
            </w:r>
            <w:r>
              <w:rPr>
                <w:rFonts w:ascii="Arial" w:hAnsi="Arial"/>
                <w:sz w:val="20"/>
              </w:rPr>
              <w:t>Percentile (Actual)</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0"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0.00% (Actual)</w:t>
            </w:r>
          </w:p>
        </w:tc>
      </w:tr>
      <w:tr>
        <w:trPr/>
        <w:tc>
          <w:tcPr>
            <w:tcW w:w="3650" w:type="dxa"/>
            <w:tcBorders>
              <w:bottom w:val="single" w:sz="12" w:space="0" w:color="1A2343"/>
            </w:tcBorders>
            <w:shd w:fill="auto" w:val="clear"/>
            <w:vAlign w:val="center"/>
          </w:tcPr>
          <w:p>
            <w:pPr>
              <w:pStyle w:val="TableContents"/>
              <w:spacing w:before="0" w:after="283"/>
              <w:jc w:val="left"/>
              <w:rPr>
                <w:rFonts w:ascii="Arial" w:hAnsi="Arial"/>
                <w:sz w:val="20"/>
              </w:rPr>
            </w:pPr>
            <w:r>
              <w:rPr>
                <w:rFonts w:ascii="Arial" w:hAnsi="Arial"/>
                <w:sz w:val="20"/>
              </w:rPr>
              <w:t>2020 Relative TSR vs. NYC REIT Peers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390" w:type="dxa"/>
            <w:tcBorders>
              <w:bottom w:val="single" w:sz="12" w:space="0" w:color="1A2343"/>
            </w:tcBorders>
            <w:shd w:fill="auto" w:val="clear"/>
            <w:vAlign w:val="center"/>
          </w:tcPr>
          <w:p>
            <w:pPr>
              <w:pStyle w:val="TableContents"/>
              <w:spacing w:before="0" w:after="283"/>
              <w:jc w:val="right"/>
              <w:rPr>
                <w:rFonts w:ascii="Arial" w:hAnsi="Arial"/>
                <w:sz w:val="20"/>
              </w:rPr>
            </w:pPr>
            <w:r>
              <w:rPr>
                <w:rFonts w:ascii="Arial" w:hAnsi="Arial"/>
                <w:sz w:val="20"/>
              </w:rPr>
              <w:t>42</w:t>
            </w:r>
            <w:r>
              <w:rPr>
                <w:rFonts w:ascii="Arial" w:hAnsi="Arial"/>
                <w:position w:val="7"/>
                <w:sz w:val="16"/>
                <w:sz w:val="20"/>
              </w:rPr>
              <w:t xml:space="preserve">nd </w:t>
            </w:r>
            <w:r>
              <w:rPr>
                <w:rFonts w:ascii="Arial" w:hAnsi="Arial"/>
                <w:sz w:val="20"/>
              </w:rPr>
              <w:t>Percentile (Actual)</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0" w:type="dxa"/>
            <w:tcBorders>
              <w:bottom w:val="single" w:sz="12" w:space="0" w:color="1A2343"/>
            </w:tcBorders>
            <w:shd w:fill="auto" w:val="clear"/>
            <w:vAlign w:val="center"/>
          </w:tcPr>
          <w:p>
            <w:pPr>
              <w:pStyle w:val="TableContents"/>
              <w:spacing w:before="0" w:after="283"/>
              <w:jc w:val="right"/>
              <w:rPr>
                <w:rFonts w:ascii="Arial" w:hAnsi="Arial"/>
                <w:sz w:val="20"/>
              </w:rPr>
            </w:pPr>
            <w:r>
              <w:rPr>
                <w:rFonts w:ascii="Arial" w:hAnsi="Arial"/>
                <w:sz w:val="20"/>
              </w:rPr>
              <w:t>75.49% (Actual)</w:t>
            </w:r>
          </w:p>
        </w:tc>
      </w:tr>
    </w:tbl>
    <w:p>
      <w:pPr>
        <w:pStyle w:val="TextBody"/>
        <w:spacing w:before="240" w:after="283"/>
        <w:jc w:val="left"/>
        <w:rPr>
          <w:rFonts w:ascii="Arial" w:hAnsi="Arial"/>
          <w:sz w:val="20"/>
        </w:rPr>
      </w:pPr>
      <w:r>
        <w:rPr>
          <w:rFonts w:ascii="Arial" w:hAnsi="Arial"/>
          <w:sz w:val="20"/>
        </w:rPr>
        <w:t>Our 2021 and 2020 annual performance-based equity awards generally have the same structure as the 2022 performance-based equity awards described above in “—Compensation Discussion and Analysis—Our 2022 Executive Compensation Program.” However, for 2020 the relative component was weighted 66.67% to the Office REIT Peers and 33.33% to the NYC REIT Peers (rather than 50% each for 2021 and 2022). These 2020 awards are described in full in our proxy statements relating to our 2020 fiscal years.</w:t>
      </w:r>
    </w:p>
    <w:p>
      <w:pPr>
        <w:pStyle w:val="TextBody"/>
        <w:jc w:val="left"/>
        <w:rPr>
          <w:rFonts w:ascii="Arial" w:hAnsi="Arial"/>
          <w:sz w:val="20"/>
        </w:rPr>
      </w:pPr>
      <w:r>
        <w:rPr>
          <w:rFonts w:ascii="Arial" w:hAnsi="Arial"/>
          <w:sz w:val="20"/>
        </w:rPr>
        <w:t>For additional information regarding the number of LTIP units relating to each of our outstanding annual performance-based equity awards held by each of our named executive officers, see “—Executive Compensation Tables—Outstanding Equity Awards at Fiscal Year End 2022.”</w:t>
      </w:r>
    </w:p>
    <w:p>
      <w:pPr>
        <w:pStyle w:val="TextBody"/>
        <w:jc w:val="left"/>
        <w:rPr>
          <w:rFonts w:ascii="Arial" w:hAnsi="Arial"/>
          <w:b/>
          <w:color w:val="8EAD3C"/>
          <w:sz w:val="22"/>
        </w:rPr>
      </w:pPr>
      <w:r>
        <w:rPr>
          <w:rFonts w:ascii="Arial" w:hAnsi="Arial"/>
          <w:b/>
          <w:color w:val="8EAD3C"/>
          <w:sz w:val="22"/>
        </w:rPr>
        <w:t>Perquisites and Other Personal Benefits</w:t>
      </w:r>
    </w:p>
    <w:p>
      <w:pPr>
        <w:pStyle w:val="TextBody"/>
        <w:jc w:val="left"/>
        <w:rPr>
          <w:rFonts w:ascii="Arial" w:hAnsi="Arial"/>
          <w:sz w:val="20"/>
        </w:rPr>
      </w:pPr>
      <w:r>
        <w:rPr>
          <w:rFonts w:ascii="Arial" w:hAnsi="Arial"/>
          <w:sz w:val="20"/>
        </w:rPr>
        <w:t>We do not provide significant perquisites or personal benefits to our named executive officers, except that we provided company owned or leased automobiles for our Chief Executive Officer and our President during 2022. We also provided automobile insurance premiums for these vehicles.</w:t>
      </w:r>
    </w:p>
    <w:tbl>
      <w:tblPr>
        <w:tblW w:w="8120" w:type="dxa"/>
        <w:jc w:val="left"/>
        <w:tblInd w:w="0" w:type="dxa"/>
        <w:tblCellMar>
          <w:top w:w="0" w:type="dxa"/>
          <w:left w:w="0" w:type="dxa"/>
          <w:bottom w:w="0" w:type="dxa"/>
          <w:right w:w="0" w:type="dxa"/>
        </w:tblCellMar>
      </w:tblPr>
      <w:tblGrid>
        <w:gridCol w:w="8120"/>
      </w:tblGrid>
      <w:tr>
        <w:trPr/>
        <w:tc>
          <w:tcPr>
            <w:tcW w:w="8120" w:type="dxa"/>
            <w:tcBorders/>
            <w:shd w:fill="F3F6EA" w:val="clear"/>
            <w:vAlign w:val="center"/>
          </w:tcPr>
          <w:p>
            <w:pPr>
              <w:pStyle w:val="TableContents"/>
              <w:spacing w:before="0" w:after="283"/>
              <w:jc w:val="left"/>
              <w:rPr>
                <w:rFonts w:ascii="Arial" w:hAnsi="Arial"/>
                <w:sz w:val="20"/>
              </w:rPr>
            </w:pPr>
            <w:r>
              <w:rPr>
                <w:rFonts w:ascii="Arial" w:hAnsi="Arial"/>
                <w:sz w:val="20"/>
              </w:rPr>
              <w:t>In January 2023, we discontinued all automobile perquisites for our named executive officers.</w:t>
            </w:r>
          </w:p>
        </w:tc>
      </w:tr>
    </w:tbl>
    <w:p>
      <w:pPr>
        <w:pStyle w:val="TextBody"/>
        <w:spacing w:before="240" w:after="283"/>
        <w:jc w:val="left"/>
        <w:rPr>
          <w:rFonts w:ascii="Arial" w:hAnsi="Arial"/>
          <w:sz w:val="20"/>
        </w:rPr>
      </w:pPr>
      <w:r>
        <w:rPr>
          <w:rFonts w:ascii="Arial" w:hAnsi="Arial"/>
          <w:sz w:val="20"/>
        </w:rPr>
        <w:t>Additionally, our Chief Executive Officer receives certain life insurance benefits. The costs of these benefits constituted less than one percent of the applicable executive’s compensation.</w:t>
      </w:r>
    </w:p>
    <w:p>
      <w:pPr>
        <w:pStyle w:val="TextBody"/>
        <w:jc w:val="left"/>
        <w:rPr>
          <w:rFonts w:ascii="Arial" w:hAnsi="Arial"/>
          <w:b/>
          <w:color w:val="8EAD3C"/>
          <w:sz w:val="22"/>
        </w:rPr>
      </w:pPr>
      <w:r>
        <w:rPr>
          <w:rFonts w:ascii="Arial" w:hAnsi="Arial"/>
          <w:b/>
          <w:color w:val="8EAD3C"/>
          <w:sz w:val="22"/>
        </w:rPr>
        <w:t>Employment Agreements</w:t>
      </w:r>
    </w:p>
    <w:p>
      <w:pPr>
        <w:pStyle w:val="TextBody"/>
        <w:jc w:val="left"/>
        <w:rPr>
          <w:rFonts w:ascii="Arial" w:hAnsi="Arial"/>
          <w:sz w:val="20"/>
        </w:rPr>
      </w:pPr>
      <w:r>
        <w:rPr>
          <w:rFonts w:ascii="Arial" w:hAnsi="Arial"/>
          <w:sz w:val="20"/>
        </w:rPr>
        <w:t>As noted above, we have employment agreements with all of our named executive officers. All of the employment agreements with our named executive officers provide for, among other things, severance payments and benefits and acceleration of equity awards in connection with certain qualified terminations. In return, each of our named executive officers has agreed to non-compete, non-solicitation, non-interference and confidentiality provisions. For each of our executives, we believe that, because the severance level is negotiated up front, it makes it easier for us to terminate these executives without the need for protracted negotiations over severance. We also believe that providing pre-negotiated severance</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64</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sz w:val="20"/>
        </w:rPr>
      </w:pPr>
      <w:r>
        <w:rPr>
          <w:rFonts w:ascii="Arial" w:hAnsi="Arial"/>
          <w:sz w:val="20"/>
        </w:rPr>
        <w:t>benefits for all of our executives in the event they are terminated without cause or terminate their employment for good reason following a change in control helps to further align the interests of our executives and our stockholders in the event of a potentially attractive proposed change in control transaction following which one or more of our executives may be expected to be terminated. See “—Executive Compensation Tables—Potential Payments Upon Termination or Change in Control” for a summary of the employment agreements with our named executive officers.</w:t>
      </w:r>
    </w:p>
    <w:p>
      <w:pPr>
        <w:pStyle w:val="TextBody"/>
        <w:jc w:val="left"/>
        <w:rPr>
          <w:rFonts w:ascii="Arial" w:hAnsi="Arial"/>
          <w:b/>
          <w:color w:val="8EAD3C"/>
          <w:sz w:val="22"/>
        </w:rPr>
      </w:pPr>
      <w:r>
        <w:rPr>
          <w:rFonts w:ascii="Arial" w:hAnsi="Arial"/>
          <w:b/>
          <w:color w:val="8EAD3C"/>
          <w:sz w:val="22"/>
        </w:rPr>
        <w:t>Clawback Policy</w:t>
      </w:r>
    </w:p>
    <w:p>
      <w:pPr>
        <w:pStyle w:val="TextBody"/>
        <w:jc w:val="left"/>
        <w:rPr>
          <w:rFonts w:ascii="Arial" w:hAnsi="Arial"/>
          <w:sz w:val="20"/>
        </w:rPr>
      </w:pPr>
      <w:r>
        <w:rPr>
          <w:rFonts w:ascii="Arial" w:hAnsi="Arial"/>
          <w:sz w:val="20"/>
        </w:rPr>
        <w:t>The Board adopted a clawback policy under which any incentive payments made to a named executive officer on the basis of having met or exceeded performance targets during a period of fraudulent activity for which such executive is found personally responsible may be recouped by the Company.</w:t>
      </w:r>
    </w:p>
    <w:p>
      <w:pPr>
        <w:pStyle w:val="TextBody"/>
        <w:jc w:val="left"/>
        <w:rPr>
          <w:rFonts w:ascii="Arial" w:hAnsi="Arial"/>
          <w:b/>
          <w:color w:val="8EAD3C"/>
          <w:sz w:val="22"/>
        </w:rPr>
      </w:pPr>
      <w:r>
        <w:rPr>
          <w:rFonts w:ascii="Arial" w:hAnsi="Arial"/>
          <w:b/>
          <w:color w:val="8EAD3C"/>
          <w:sz w:val="22"/>
        </w:rPr>
        <w:t>Anti-hedging Policy</w:t>
      </w:r>
    </w:p>
    <w:p>
      <w:pPr>
        <w:pStyle w:val="TextBody"/>
        <w:jc w:val="left"/>
        <w:rPr>
          <w:rFonts w:ascii="Arial" w:hAnsi="Arial"/>
          <w:sz w:val="20"/>
        </w:rPr>
      </w:pPr>
      <w:r>
        <w:rPr>
          <w:rFonts w:ascii="Arial" w:hAnsi="Arial"/>
          <w:sz w:val="20"/>
        </w:rPr>
        <w:t>The Board has adopted a policy prohibiting all of our executive officers and directors from engaging in hedging transactions with respect to our securities. Pursuant to this policy, our executive officers and directors may not engage in hedging transactions with respect to our securities (including, without limitation, partnership interests in our operating partnership) through puts, calls, covered calls, synthetic purchases, collars, other derivative securities of the Company or otherwise at any time. Prior to the adoption of this policy, none of our executive officers or directors were engaging in any hedging transactions with respect to our securities, and this policy was adopted to formally reflect the practices that our executive officers and directors had already been observing. The Company does not have any practices or policies regarding the ability of any other employees to purchase financial instruments or otherwise engage in transactions that hedge or offset, or are designed to hedge or offset, any decrease in the market value of the Company’s equity securities.</w:t>
      </w:r>
    </w:p>
    <w:p>
      <w:pPr>
        <w:pStyle w:val="TextBody"/>
        <w:jc w:val="left"/>
        <w:rPr>
          <w:rFonts w:ascii="Arial" w:hAnsi="Arial"/>
          <w:b/>
          <w:color w:val="8EAD3C"/>
          <w:sz w:val="22"/>
        </w:rPr>
      </w:pPr>
      <w:r>
        <w:rPr>
          <w:rFonts w:ascii="Arial" w:hAnsi="Arial"/>
          <w:b/>
          <w:color w:val="8EAD3C"/>
          <w:sz w:val="22"/>
        </w:rPr>
        <w:t>Other Matters – LTIP units and Class O LTIP units</w:t>
      </w:r>
    </w:p>
    <w:p>
      <w:pPr>
        <w:pStyle w:val="TextBody"/>
        <w:jc w:val="left"/>
        <w:rPr>
          <w:rFonts w:ascii="Arial" w:hAnsi="Arial"/>
          <w:sz w:val="20"/>
        </w:rPr>
      </w:pPr>
      <w:r>
        <w:rPr>
          <w:rFonts w:ascii="Arial" w:hAnsi="Arial"/>
          <w:sz w:val="20"/>
        </w:rPr>
        <w:t>We issued a separate class of units of limited partnership interest in our operating partnership, which we refer to as LTIP units, for the equity bonuses that we granted to our named executive officers for 2022 and as equity awards granted in connection with new or extended employment agreements or the provisions of such agreements.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 the satisfaction of applicable vesting conditions, on a one-for-one basis into common units, which in turn are redeemable by the holder for cash or, at our election, on a one-for-one basis into shares of our common stock. LTIP units are not entitled to distributions prior to being 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w:t>
      </w:r>
    </w:p>
    <w:p>
      <w:pPr>
        <w:pStyle w:val="TextBody"/>
        <w:jc w:val="left"/>
        <w:rPr>
          <w:rFonts w:ascii="Arial" w:hAnsi="Arial"/>
          <w:sz w:val="20"/>
        </w:rPr>
      </w:pPr>
      <w:r>
        <w:rPr>
          <w:rFonts w:ascii="Arial" w:hAnsi="Arial"/>
          <w:sz w:val="20"/>
        </w:rPr>
        <w:t>In addition to the LTIP units described above that we issued in lieu of shares of restricted stock, we also have issued another class of units of limited partnership interest in our operating partnership that are intended to be similar to stock options from an economic perspective, which we refer to as Class O LTIP units. Class O LTIP units are also intended to qualify as “profits interests” for U.S. federal income tax purposes. During 2022, we did not grant any Class O LTIP units.</w:t>
      </w:r>
    </w:p>
    <w:p>
      <w:pPr>
        <w:pStyle w:val="TextBody"/>
        <w:jc w:val="left"/>
        <w:rPr>
          <w:rFonts w:ascii="Arial" w:hAnsi="Arial"/>
          <w:sz w:val="20"/>
        </w:rPr>
      </w:pPr>
      <w:r>
        <w:rPr>
          <w:rFonts w:ascii="Arial" w:hAnsi="Arial"/>
          <w:sz w:val="20"/>
        </w:rPr>
        <w:t>Like stock options, Class O LTIP units operate in a manner that generally permits holders to realize the benefit of any increase in the per share value of our common stock above the value at the time the Class O LTIP units are granted. At the time of the grant of Class O LTIP units, the operating partnership establishes a conversion threshold, the vesting terms and the mandatory conversion date, if any, for the Class O LTIP units. The conversion threshold corresponds to the exercise price of a stock option while the mandatory conversion date corresponds to the expiration date of a stock option. Similar to the exercise price for stock options, the conversion threshold will equal the per unit value of the common units of our operating partnership on the grant date. Class O LTIP units will receive 10% distributions relating to periods between grant and vesting upon vesting, and will receive 10% distributions from vesting to their conversion as opposed to holders of non-qualified stock options who will not receive any distributions relating to periods between grant and exercise.</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455" w:type="dxa"/>
        <w:jc w:val="left"/>
        <w:tblInd w:w="0" w:type="dxa"/>
        <w:tblCellMar>
          <w:top w:w="0" w:type="dxa"/>
          <w:left w:w="0" w:type="dxa"/>
          <w:bottom w:w="0" w:type="dxa"/>
          <w:right w:w="0" w:type="dxa"/>
        </w:tblCellMar>
      </w:tblPr>
      <w:tblGrid>
        <w:gridCol w:w="2165"/>
        <w:gridCol w:w="290"/>
      </w:tblGrid>
      <w:tr>
        <w:trPr/>
        <w:tc>
          <w:tcPr>
            <w:tcW w:w="2165" w:type="dxa"/>
            <w:tcBorders/>
            <w:shd w:fill="auto" w:val="clear"/>
            <w:vAlign w:val="center"/>
          </w:tcPr>
          <w:p>
            <w:pPr>
              <w:pStyle w:val="TableContents"/>
              <w:spacing w:before="0" w:after="283"/>
              <w:jc w:val="left"/>
              <w:rPr>
                <w:rFonts w:ascii="Arial" w:hAnsi="Arial"/>
                <w:b/>
                <w:sz w:val="15"/>
              </w:rPr>
            </w:pPr>
            <w:r>
              <w:rPr>
                <w:rFonts w:ascii="Arial" w:hAnsi="Arial"/>
                <w:b/>
                <w:sz w:val="15"/>
              </w:rPr>
              <w:t>EXECUTIVE COMPENSATION</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65</w:t>
            </w:r>
          </w:p>
        </w:tc>
      </w:tr>
    </w:tbl>
    <w:p>
      <w:pPr>
        <w:pStyle w:val="TextBody"/>
        <w:spacing w:before="240" w:after="283"/>
        <w:jc w:val="left"/>
        <w:rPr>
          <w:rFonts w:ascii="Arial" w:hAnsi="Arial"/>
          <w:sz w:val="20"/>
        </w:rPr>
      </w:pPr>
      <w:r>
        <w:rPr>
          <w:rFonts w:ascii="Arial" w:hAnsi="Arial"/>
          <w:sz w:val="20"/>
        </w:rPr>
        <w:t>Once Class O LTIP units have vested, they may be converted into common units of our operating partnership by the holder at any time prior to their mandatory conversion date in a manner that is similar to a net exercise of stock options. Upon exercise of this conversion right, the Class O LTIP units will convert into a number of common units of the operating partnership that have an aggregate value equal to the aggregate spread of the Class O LTIP units that are converted. The “spread” for each Class O LTIP unit will equal the excess, if any, of the value of our operating partnership’s assets per common unit on the conversion date above the per unit value at the time the Class O LTIP unit was granted (i.e., the conversion threshold). Any Class O LTIP units that have not been voluntarily converted prior to the mandatory conversion date established at the time the Class O LTIP units were granted will automatically convert into common units on such mandatory conversion date, or be forfeited if the value of our operating partnership’s assets per common unit is less than the conversion threshold for the Class O LTIP units.</w:t>
      </w:r>
    </w:p>
    <w:p>
      <w:pPr>
        <w:pStyle w:val="TextBody"/>
        <w:jc w:val="left"/>
        <w:rPr>
          <w:rFonts w:ascii="Arial" w:hAnsi="Arial"/>
          <w:sz w:val="20"/>
        </w:rPr>
      </w:pPr>
      <w:r>
        <w:rPr>
          <w:rFonts w:ascii="Arial" w:hAnsi="Arial"/>
          <w:sz w:val="20"/>
        </w:rPr>
        <w:t>LTIP units and Class O LTIP units are intended to offer executives substantially the same long-term incentive as shares of restricted stock and stock options, respectively,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Similarly, holders of non-qualified stock options are taxed upon exercise. Conversely, under current federal income tax law, an executive would generally not be subject to tax at the time of issuance or vesting of an LTIP unit or Class O LTIP unit or conversion into common units but only when he or she chooses to liquidate the common units into which his or her LTIP units or Class O LTIP units convert. Therefore, an executive who wishes to hold his or her equity awards for the long term can generally do so in a more tax-efficient manner with LTIP units or Class O LTIP units. In light of the increased tax efficiency, we have chosen to use LTIP units and Class O LTIP units for grants to our executives. We believe that the use of LTIP units and Class O LTIP units has (i) enhanced our equity-based compensation package overall, (ii) advanced the goal of promoting long-term equity ownership by executives, (iii) not adversely impacted dilution as compared to restricted stock, and (iv) further aligned the interests of our executives with the interests of our stockholders.</w:t>
      </w:r>
    </w:p>
    <w:p>
      <w:pPr>
        <w:pStyle w:val="TextBody"/>
        <w:jc w:val="left"/>
        <w:rPr/>
      </w:pPr>
      <w:bookmarkStart w:id="21" w:name="pg_CompensationCommitteeReport"/>
      <w:bookmarkEnd w:id="21"/>
      <w:r>
        <w:rPr>
          <w:rStyle w:val="StrongEmphasis"/>
          <w:rFonts w:ascii="Arial" w:hAnsi="Arial"/>
          <w:color w:val="8EAD3C"/>
          <w:sz w:val="32"/>
        </w:rPr>
        <w:t>COMPENSATION COMMITTEE REPORT</w:t>
      </w:r>
    </w:p>
    <w:p>
      <w:pPr>
        <w:pStyle w:val="TextBody"/>
        <w:jc w:val="left"/>
        <w:rPr>
          <w:rFonts w:ascii="Arial" w:hAnsi="Arial"/>
          <w:sz w:val="20"/>
        </w:rPr>
      </w:pPr>
      <w:r>
        <w:rPr>
          <w:rFonts w:ascii="Arial" w:hAnsi="Arial"/>
          <w:sz w:val="20"/>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2022.</w:t>
      </w:r>
    </w:p>
    <w:p>
      <w:pPr>
        <w:pStyle w:val="TextBody"/>
        <w:jc w:val="left"/>
        <w:rPr>
          <w:rFonts w:ascii="Arial" w:hAnsi="Arial"/>
          <w:sz w:val="20"/>
        </w:rPr>
      </w:pPr>
      <w:r>
        <w:rPr>
          <w:rFonts w:ascii="Arial" w:hAnsi="Arial"/>
          <w:sz w:val="20"/>
        </w:rPr>
        <w:t>Submitted by our Compensation Committee</w:t>
      </w:r>
    </w:p>
    <w:tbl>
      <w:tblPr>
        <w:tblW w:w="5340" w:type="dxa"/>
        <w:jc w:val="left"/>
        <w:tblInd w:w="0" w:type="dxa"/>
        <w:tblCellMar>
          <w:top w:w="0" w:type="dxa"/>
          <w:left w:w="0" w:type="dxa"/>
          <w:bottom w:w="0" w:type="dxa"/>
          <w:right w:w="0" w:type="dxa"/>
        </w:tblCellMar>
      </w:tblPr>
      <w:tblGrid>
        <w:gridCol w:w="2270"/>
        <w:gridCol w:w="1835"/>
        <w:gridCol w:w="1235"/>
      </w:tblGrid>
      <w:tr>
        <w:trPr/>
        <w:tc>
          <w:tcPr>
            <w:tcW w:w="2270" w:type="dxa"/>
            <w:tcBorders/>
            <w:shd w:fill="auto" w:val="clear"/>
            <w:vAlign w:val="center"/>
          </w:tcPr>
          <w:p>
            <w:pPr>
              <w:pStyle w:val="TableContents"/>
              <w:spacing w:before="0" w:after="283"/>
              <w:jc w:val="left"/>
              <w:rPr/>
            </w:pPr>
            <w:r>
              <w:rPr>
                <w:rStyle w:val="StrongEmphasis"/>
                <w:rFonts w:ascii="Arial" w:hAnsi="Arial"/>
                <w:color w:val="1A2343"/>
                <w:sz w:val="20"/>
              </w:rPr>
              <w:t>Lauren B. Dillard (Chair)</w:t>
            </w:r>
          </w:p>
        </w:tc>
        <w:tc>
          <w:tcPr>
            <w:tcW w:w="1835" w:type="dxa"/>
            <w:tcBorders/>
            <w:shd w:fill="auto" w:val="clear"/>
            <w:vAlign w:val="center"/>
          </w:tcPr>
          <w:p>
            <w:pPr>
              <w:pStyle w:val="TableContents"/>
              <w:spacing w:before="0" w:after="283"/>
              <w:jc w:val="left"/>
              <w:rPr/>
            </w:pPr>
            <w:r>
              <w:rPr>
                <w:rStyle w:val="StrongEmphasis"/>
                <w:rFonts w:ascii="Arial" w:hAnsi="Arial"/>
                <w:color w:val="1A2343"/>
                <w:sz w:val="20"/>
              </w:rPr>
              <w:t>Edwin T. Burton, III</w:t>
            </w:r>
          </w:p>
        </w:tc>
        <w:tc>
          <w:tcPr>
            <w:tcW w:w="1235" w:type="dxa"/>
            <w:tcBorders/>
            <w:shd w:fill="auto" w:val="clear"/>
            <w:vAlign w:val="center"/>
          </w:tcPr>
          <w:p>
            <w:pPr>
              <w:pStyle w:val="TableContents"/>
              <w:spacing w:before="0" w:after="283"/>
              <w:jc w:val="left"/>
              <w:rPr/>
            </w:pPr>
            <w:r>
              <w:rPr>
                <w:rStyle w:val="StrongEmphasis"/>
                <w:rFonts w:ascii="Arial" w:hAnsi="Arial"/>
                <w:color w:val="1A2343"/>
                <w:sz w:val="20"/>
              </w:rPr>
              <w:t>John S. Levy</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66</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pPr>
      <w:bookmarkStart w:id="22" w:name="pg_ExecutiveCompensationTables"/>
      <w:bookmarkEnd w:id="22"/>
      <w:r>
        <w:rPr>
          <w:rStyle w:val="StrongEmphasis"/>
          <w:rFonts w:ascii="Arial" w:hAnsi="Arial"/>
          <w:color w:val="8EAD3C"/>
          <w:sz w:val="32"/>
        </w:rPr>
        <w:t>EXECUTIVE COMPENSATION TABLES</w:t>
      </w:r>
    </w:p>
    <w:p>
      <w:pPr>
        <w:pStyle w:val="TextBody"/>
        <w:jc w:val="left"/>
        <w:rPr/>
      </w:pPr>
      <w:r>
        <w:rPr>
          <w:rStyle w:val="StrongEmphasis"/>
          <w:rFonts w:ascii="Arial" w:hAnsi="Arial"/>
          <w:color w:val="1A2343"/>
          <w:sz w:val="26"/>
        </w:rPr>
        <w:t>Summary Compensation Table</w:t>
      </w:r>
    </w:p>
    <w:p>
      <w:pPr>
        <w:pStyle w:val="TextBody"/>
        <w:jc w:val="left"/>
        <w:rPr>
          <w:rFonts w:ascii="Arial" w:hAnsi="Arial"/>
          <w:sz w:val="20"/>
        </w:rPr>
      </w:pPr>
      <w:r>
        <w:rPr>
          <w:rFonts w:ascii="Arial" w:hAnsi="Arial"/>
          <w:sz w:val="20"/>
        </w:rPr>
        <w:t>The following table sets forth information regarding the compensation paid to the individuals who served as our Chief Executive Officer and Chief Financial Officer during our 2022 fiscal year and two of our most highly compensated executive officers, other than our Chief Executive Officer and Chief Financial Officer, whose total compensation exceeded $100,000 during the fiscal year ended December 31, 2022, or collectively, the “named executive officers.”</w:t>
      </w:r>
    </w:p>
    <w:tbl>
      <w:tblPr>
        <w:tblW w:w="10124" w:type="dxa"/>
        <w:jc w:val="left"/>
        <w:tblInd w:w="0" w:type="dxa"/>
        <w:tblCellMar>
          <w:top w:w="0" w:type="dxa"/>
          <w:left w:w="0" w:type="dxa"/>
          <w:bottom w:w="40" w:type="dxa"/>
          <w:right w:w="0" w:type="dxa"/>
        </w:tblCellMar>
      </w:tblPr>
      <w:tblGrid>
        <w:gridCol w:w="1595"/>
        <w:gridCol w:w="120"/>
        <w:gridCol w:w="380"/>
        <w:gridCol w:w="120"/>
        <w:gridCol w:w="335"/>
        <w:gridCol w:w="740"/>
        <w:gridCol w:w="120"/>
        <w:gridCol w:w="110"/>
        <w:gridCol w:w="740"/>
        <w:gridCol w:w="200"/>
        <w:gridCol w:w="120"/>
        <w:gridCol w:w="130"/>
        <w:gridCol w:w="984"/>
        <w:gridCol w:w="120"/>
        <w:gridCol w:w="680"/>
        <w:gridCol w:w="120"/>
        <w:gridCol w:w="380"/>
        <w:gridCol w:w="740"/>
        <w:gridCol w:w="120"/>
        <w:gridCol w:w="695"/>
        <w:gridCol w:w="515"/>
        <w:gridCol w:w="120"/>
        <w:gridCol w:w="110"/>
        <w:gridCol w:w="830"/>
      </w:tblGrid>
      <w:tr>
        <w:trPr/>
        <w:tc>
          <w:tcPr>
            <w:tcW w:w="1595"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Name and Principal</w:t>
              <w:br/>
              <w:t>Position</w:t>
            </w:r>
          </w:p>
        </w:tc>
        <w:tc>
          <w:tcPr>
            <w:tcW w:w="120" w:type="dxa"/>
            <w:tcBorders/>
            <w:shd w:fill="auto" w:val="clear"/>
            <w:tcMar>
              <w:bottom w:w="0" w:type="dxa"/>
            </w:tcMar>
            <w:vAlign w:val="center"/>
          </w:tcPr>
          <w:p>
            <w:pPr>
              <w:pStyle w:val="TableContents"/>
              <w:spacing w:before="0" w:after="283"/>
              <w:jc w:val="right"/>
              <w:rPr/>
            </w:pPr>
            <w:r>
              <w:rPr/>
              <w:t>  </w:t>
            </w:r>
          </w:p>
        </w:tc>
        <w:tc>
          <w:tcPr>
            <w:tcW w:w="380"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Year</w:t>
            </w:r>
          </w:p>
        </w:tc>
        <w:tc>
          <w:tcPr>
            <w:tcW w:w="120" w:type="dxa"/>
            <w:tcBorders/>
            <w:shd w:fill="auto" w:val="clear"/>
            <w:tcMar>
              <w:bottom w:w="0" w:type="dxa"/>
            </w:tcMar>
            <w:vAlign w:val="center"/>
          </w:tcPr>
          <w:p>
            <w:pPr>
              <w:pStyle w:val="TableContents"/>
              <w:spacing w:before="0" w:after="283"/>
              <w:jc w:val="left"/>
              <w:rPr/>
            </w:pPr>
            <w:r>
              <w:rPr/>
              <w:t>  </w:t>
            </w:r>
          </w:p>
        </w:tc>
        <w:tc>
          <w:tcPr>
            <w:tcW w:w="107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Salary</w:t>
              <w:br/>
              <w:t>($)</w:t>
            </w:r>
          </w:p>
        </w:tc>
        <w:tc>
          <w:tcPr>
            <w:tcW w:w="120" w:type="dxa"/>
            <w:tcBorders/>
            <w:shd w:fill="auto" w:val="clear"/>
            <w:tcMar>
              <w:bottom w:w="0" w:type="dxa"/>
            </w:tcMar>
            <w:vAlign w:val="center"/>
          </w:tcPr>
          <w:p>
            <w:pPr>
              <w:pStyle w:val="TableContents"/>
              <w:spacing w:before="0" w:after="283"/>
              <w:jc w:val="left"/>
              <w:rPr/>
            </w:pPr>
            <w:r>
              <w:rPr/>
              <w:t>  </w:t>
            </w:r>
          </w:p>
        </w:tc>
        <w:tc>
          <w:tcPr>
            <w:tcW w:w="850"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Bonus</w:t>
              <w:br/>
              <w:t>($)</w:t>
            </w:r>
          </w:p>
        </w:tc>
        <w:tc>
          <w:tcPr>
            <w:tcW w:w="200" w:type="dxa"/>
            <w:tcBorders/>
            <w:shd w:fill="auto" w:val="clear"/>
            <w:tcMar>
              <w:bottom w:w="0" w:type="dxa"/>
            </w:tcMar>
            <w:vAlign w:val="center"/>
          </w:tcPr>
          <w:p>
            <w:pPr>
              <w:pStyle w:val="TableContents"/>
              <w:spacing w:before="0" w:after="283"/>
              <w:rPr>
                <w:sz w:val="4"/>
                <w:szCs w:val="4"/>
              </w:rPr>
            </w:pPr>
            <w:r>
              <w:rPr>
                <w:sz w:val="4"/>
                <w:szCs w:val="4"/>
              </w:rPr>
            </w:r>
          </w:p>
        </w:tc>
        <w:tc>
          <w:tcPr>
            <w:tcW w:w="120" w:type="dxa"/>
            <w:tcBorders/>
            <w:shd w:fill="auto" w:val="clear"/>
            <w:tcMar>
              <w:bottom w:w="0" w:type="dxa"/>
            </w:tcMar>
            <w:vAlign w:val="center"/>
          </w:tcPr>
          <w:p>
            <w:pPr>
              <w:pStyle w:val="TableContents"/>
              <w:spacing w:before="0" w:after="283"/>
              <w:jc w:val="left"/>
              <w:rPr/>
            </w:pPr>
            <w:r>
              <w:rPr/>
              <w:t>  </w:t>
            </w:r>
          </w:p>
        </w:tc>
        <w:tc>
          <w:tcPr>
            <w:tcW w:w="1114"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Stock Awards</w:t>
            </w:r>
            <w:r>
              <w:rPr>
                <w:rFonts w:ascii="Arial" w:hAnsi="Arial"/>
                <w:color w:val="1A2343"/>
                <w:position w:val="5"/>
                <w:sz w:val="12"/>
                <w:sz w:val="15"/>
              </w:rPr>
              <w:t>(1)</w:t>
            </w:r>
            <w:r>
              <w:rPr>
                <w:rFonts w:ascii="Arial" w:hAnsi="Arial"/>
                <w:color w:val="1A2343"/>
                <w:sz w:val="15"/>
              </w:rPr>
              <w:br/>
              <w:t>($)</w:t>
            </w:r>
          </w:p>
        </w:tc>
        <w:tc>
          <w:tcPr>
            <w:tcW w:w="120" w:type="dxa"/>
            <w:tcBorders/>
            <w:shd w:fill="auto" w:val="clear"/>
            <w:tcMar>
              <w:bottom w:w="0" w:type="dxa"/>
            </w:tcMar>
            <w:vAlign w:val="center"/>
          </w:tcPr>
          <w:p>
            <w:pPr>
              <w:pStyle w:val="TableContents"/>
              <w:spacing w:before="0" w:after="283"/>
              <w:jc w:val="right"/>
              <w:rPr/>
            </w:pPr>
            <w:r>
              <w:rPr/>
              <w:t>  </w:t>
            </w:r>
          </w:p>
        </w:tc>
        <w:tc>
          <w:tcPr>
            <w:tcW w:w="680"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Option</w:t>
              <w:br/>
              <w:t>Awards</w:t>
            </w:r>
            <w:r>
              <w:rPr>
                <w:rFonts w:ascii="Arial" w:hAnsi="Arial"/>
                <w:color w:val="1A2343"/>
                <w:position w:val="5"/>
                <w:sz w:val="12"/>
                <w:sz w:val="15"/>
              </w:rPr>
              <w:t>(1)</w:t>
            </w:r>
            <w:r>
              <w:rPr>
                <w:rFonts w:ascii="Arial" w:hAnsi="Arial"/>
                <w:color w:val="1A2343"/>
                <w:sz w:val="15"/>
              </w:rPr>
              <w:br/>
              <w:t>($)</w:t>
            </w:r>
          </w:p>
        </w:tc>
        <w:tc>
          <w:tcPr>
            <w:tcW w:w="120" w:type="dxa"/>
            <w:tcBorders/>
            <w:shd w:fill="auto" w:val="clear"/>
            <w:tcMar>
              <w:bottom w:w="0" w:type="dxa"/>
            </w:tcMar>
            <w:vAlign w:val="center"/>
          </w:tcPr>
          <w:p>
            <w:pPr>
              <w:pStyle w:val="TableContents"/>
              <w:spacing w:before="0" w:after="283"/>
              <w:jc w:val="left"/>
              <w:rPr/>
            </w:pPr>
            <w:r>
              <w:rPr/>
              <w:t>  </w:t>
            </w:r>
          </w:p>
        </w:tc>
        <w:tc>
          <w:tcPr>
            <w:tcW w:w="1120"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Non-Equity</w:t>
              <w:br/>
              <w:t>Incentive Plan</w:t>
              <w:br/>
              <w:t>Compensation</w:t>
              <w:br/>
              <w:t>($)</w:t>
            </w:r>
          </w:p>
        </w:tc>
        <w:tc>
          <w:tcPr>
            <w:tcW w:w="120" w:type="dxa"/>
            <w:tcBorders/>
            <w:shd w:fill="auto" w:val="clear"/>
            <w:tcMar>
              <w:bottom w:w="0" w:type="dxa"/>
            </w:tcMar>
            <w:vAlign w:val="center"/>
          </w:tcPr>
          <w:p>
            <w:pPr>
              <w:pStyle w:val="TableContents"/>
              <w:spacing w:before="0" w:after="283"/>
              <w:jc w:val="left"/>
              <w:rPr/>
            </w:pPr>
            <w:r>
              <w:rPr/>
              <w:t>  </w:t>
            </w:r>
          </w:p>
        </w:tc>
        <w:tc>
          <w:tcPr>
            <w:tcW w:w="1210"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All Other</w:t>
              <w:br/>
              <w:t>Compensation</w:t>
            </w:r>
            <w:r>
              <w:rPr>
                <w:rFonts w:ascii="Arial" w:hAnsi="Arial"/>
                <w:color w:val="1A2343"/>
                <w:position w:val="5"/>
                <w:sz w:val="12"/>
                <w:sz w:val="15"/>
              </w:rPr>
              <w:t>(2)</w:t>
              <w:br/>
            </w:r>
            <w:r>
              <w:rPr>
                <w:rFonts w:ascii="Arial" w:hAnsi="Arial"/>
                <w:color w:val="1A2343"/>
                <w:sz w:val="15"/>
              </w:rPr>
              <w:t>($)</w:t>
            </w:r>
          </w:p>
        </w:tc>
        <w:tc>
          <w:tcPr>
            <w:tcW w:w="120" w:type="dxa"/>
            <w:tcBorders/>
            <w:shd w:fill="auto" w:val="clear"/>
            <w:tcMar>
              <w:bottom w:w="0" w:type="dxa"/>
            </w:tcMar>
            <w:vAlign w:val="center"/>
          </w:tcPr>
          <w:p>
            <w:pPr>
              <w:pStyle w:val="TableContents"/>
              <w:spacing w:before="0" w:after="283"/>
              <w:jc w:val="left"/>
              <w:rPr/>
            </w:pPr>
            <w:r>
              <w:rPr/>
              <w:t>  </w:t>
            </w:r>
          </w:p>
        </w:tc>
        <w:tc>
          <w:tcPr>
            <w:tcW w:w="940"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Total</w:t>
              <w:br/>
              <w:t>($)</w:t>
            </w:r>
          </w:p>
        </w:tc>
      </w:tr>
      <w:tr>
        <w:trPr/>
        <w:tc>
          <w:tcPr>
            <w:tcW w:w="1595" w:type="dxa"/>
            <w:vMerge w:val="restart"/>
            <w:tcBorders>
              <w:bottom w:val="single" w:sz="8" w:space="0" w:color="5B5975"/>
            </w:tcBorders>
            <w:shd w:fill="auto" w:val="clear"/>
            <w:vAlign w:val="center"/>
          </w:tcPr>
          <w:p>
            <w:pPr>
              <w:pStyle w:val="TableContents"/>
              <w:spacing w:before="0" w:after="283"/>
              <w:jc w:val="left"/>
              <w:rPr/>
            </w:pPr>
            <w:r>
              <w:rPr>
                <w:rFonts w:ascii="Arial" w:hAnsi="Arial"/>
                <w:b/>
                <w:color w:val="1A2343"/>
                <w:sz w:val="15"/>
              </w:rPr>
              <w:t>Marc Holliday</w:t>
            </w:r>
            <w:r>
              <w:rPr>
                <w:rFonts w:ascii="Arial" w:hAnsi="Arial"/>
                <w:color w:val="1A2343"/>
                <w:sz w:val="15"/>
              </w:rPr>
              <w:br/>
            </w:r>
            <w:r>
              <w:rPr>
                <w:rFonts w:ascii="Arial" w:hAnsi="Arial"/>
                <w:sz w:val="15"/>
              </w:rPr>
              <w:t>Chief Executive</w:t>
              <w:br/>
              <w:t>Officer and</w:t>
              <w:br/>
              <w:t>Chairman of the Board</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2022</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335"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     </w:t>
            </w:r>
          </w:p>
        </w:tc>
        <w:tc>
          <w:tcPr>
            <w:tcW w:w="740"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1,250,000</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F3F6EA" w:val="clear"/>
            <w:vAlign w:val="center"/>
          </w:tcPr>
          <w:p>
            <w:pPr>
              <w:pStyle w:val="TableContents"/>
              <w:spacing w:before="0" w:after="283"/>
              <w:rPr>
                <w:sz w:val="4"/>
                <w:szCs w:val="4"/>
              </w:rPr>
            </w:pPr>
            <w:r>
              <w:rPr>
                <w:sz w:val="4"/>
                <w:szCs w:val="4"/>
              </w:rPr>
            </w:r>
          </w:p>
        </w:tc>
        <w:tc>
          <w:tcPr>
            <w:tcW w:w="740" w:type="dxa"/>
            <w:tcBorders>
              <w:bottom w:val="single" w:sz="8" w:space="0" w:color="5B5975"/>
            </w:tcBorders>
            <w:shd w:fill="F3F6EA" w:val="clear"/>
            <w:vAlign w:val="center"/>
          </w:tcPr>
          <w:p>
            <w:pPr>
              <w:pStyle w:val="TableContents"/>
              <w:spacing w:before="0" w:after="283"/>
              <w:jc w:val="right"/>
              <w:rPr/>
            </w:pPr>
            <w:r>
              <w:rPr/>
              <w:t>—</w:t>
            </w:r>
          </w:p>
        </w:tc>
        <w:tc>
          <w:tcPr>
            <w:tcW w:w="200" w:type="dxa"/>
            <w:tcBorders/>
            <w:shd w:fill="F3F6EA" w:val="clear"/>
            <w:tcMar>
              <w:bottom w:w="0" w:type="dxa"/>
            </w:tcMar>
            <w:vAlign w:val="center"/>
          </w:tcPr>
          <w:p>
            <w:pPr>
              <w:pStyle w:val="TableContents"/>
              <w:spacing w:before="0" w:after="283"/>
              <w:rPr>
                <w:sz w:val="4"/>
                <w:szCs w:val="4"/>
              </w:rPr>
            </w:pPr>
            <w:r>
              <w:rPr>
                <w:sz w:val="4"/>
                <w:szCs w:val="4"/>
              </w:rPr>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130"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w:t>
            </w:r>
          </w:p>
        </w:tc>
        <w:tc>
          <w:tcPr>
            <w:tcW w:w="984"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14,284,701</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F3F6EA" w:val="clear"/>
            <w:vAlign w:val="center"/>
          </w:tcPr>
          <w:p>
            <w:pPr>
              <w:pStyle w:val="TableContents"/>
              <w:spacing w:before="0" w:after="283"/>
              <w:jc w:val="right"/>
              <w:rPr/>
            </w:pPr>
            <w:r>
              <w:rPr/>
              <w:t>—</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      </w:t>
            </w:r>
          </w:p>
        </w:tc>
        <w:tc>
          <w:tcPr>
            <w:tcW w:w="740"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1,051,094</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695"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             </w:t>
            </w:r>
          </w:p>
        </w:tc>
        <w:tc>
          <w:tcPr>
            <w:tcW w:w="515"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75,060</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w:t>
            </w:r>
          </w:p>
        </w:tc>
        <w:tc>
          <w:tcPr>
            <w:tcW w:w="830"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16,660,855</w:t>
            </w:r>
          </w:p>
        </w:tc>
      </w:tr>
      <w:tr>
        <w:trPr/>
        <w:tc>
          <w:tcPr>
            <w:tcW w:w="1595" w:type="dxa"/>
            <w:vMerge w:val="continue"/>
            <w:tcBorders>
              <w:bottom w:val="single" w:sz="8" w:space="0" w:color="5B5975"/>
            </w:tcBorders>
            <w:shd w:fill="auto" w:val="clear"/>
            <w:vAlign w:val="center"/>
          </w:tcPr>
          <w:p>
            <w:pPr>
              <w:pStyle w:val="Normal"/>
              <w:rPr/>
            </w:pPr>
            <w:r>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2021</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3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1,250,000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5B5975"/>
            </w:tcBorders>
            <w:shd w:fill="auto" w:val="clear"/>
            <w:vAlign w:val="center"/>
          </w:tcPr>
          <w:p>
            <w:pPr>
              <w:pStyle w:val="TableContents"/>
              <w:spacing w:before="0" w:after="283"/>
              <w:jc w:val="right"/>
              <w:rPr/>
            </w:pPr>
            <w:r>
              <w:rPr/>
              <w:t>—</w:t>
            </w:r>
          </w:p>
        </w:tc>
        <w:tc>
          <w:tcPr>
            <w:tcW w:w="200" w:type="dxa"/>
            <w:tcBorders/>
            <w:shd w:fill="auto" w:val="clear"/>
            <w:tcMar>
              <w:bottom w:w="0" w:type="dxa"/>
            </w:tcMar>
            <w:vAlign w:val="center"/>
          </w:tcPr>
          <w:p>
            <w:pPr>
              <w:pStyle w:val="TableContents"/>
              <w:spacing w:before="0" w:after="283"/>
              <w:rPr>
                <w:sz w:val="4"/>
                <w:szCs w:val="4"/>
              </w:rPr>
            </w:pPr>
            <w:r>
              <w:rPr>
                <w:sz w:val="4"/>
                <w:szCs w:val="4"/>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3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984"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18,099,677</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auto" w:val="cle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1,681,250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9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515"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57,130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83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21,088,057</w:t>
            </w:r>
          </w:p>
        </w:tc>
      </w:tr>
      <w:tr>
        <w:trPr/>
        <w:tc>
          <w:tcPr>
            <w:tcW w:w="1595" w:type="dxa"/>
            <w:vMerge w:val="continue"/>
            <w:tcBorders>
              <w:bottom w:val="single" w:sz="8" w:space="0" w:color="5B5975"/>
            </w:tcBorders>
            <w:shd w:fill="auto" w:val="clear"/>
            <w:vAlign w:val="center"/>
          </w:tcPr>
          <w:p>
            <w:pPr>
              <w:pStyle w:val="Normal"/>
              <w:rPr/>
            </w:pPr>
            <w:r>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2020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3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1,250,000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387,501</w:t>
            </w:r>
          </w:p>
        </w:tc>
        <w:tc>
          <w:tcPr>
            <w:tcW w:w="200" w:type="dxa"/>
            <w:tcBorders/>
            <w:shd w:fill="auto" w:val="clear"/>
            <w:tcMar>
              <w:bottom w:w="0" w:type="dxa"/>
            </w:tcMar>
            <w:vAlign w:val="center"/>
          </w:tcPr>
          <w:p>
            <w:pPr>
              <w:pStyle w:val="TableContents"/>
              <w:spacing w:before="0" w:after="283"/>
              <w:rPr>
                <w:sz w:val="4"/>
                <w:szCs w:val="4"/>
              </w:rPr>
            </w:pPr>
            <w:r>
              <w:rPr>
                <w:sz w:val="4"/>
                <w:szCs w:val="4"/>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3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984"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12,643,310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auto" w:val="cle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862,500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9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515"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51,415</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83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15,194,726</w:t>
            </w:r>
          </w:p>
        </w:tc>
      </w:tr>
      <w:tr>
        <w:trPr/>
        <w:tc>
          <w:tcPr>
            <w:tcW w:w="1595" w:type="dxa"/>
            <w:vMerge w:val="restart"/>
            <w:tcBorders>
              <w:bottom w:val="single" w:sz="8" w:space="0" w:color="5B5975"/>
            </w:tcBorders>
            <w:shd w:fill="auto" w:val="clear"/>
            <w:vAlign w:val="center"/>
          </w:tcPr>
          <w:p>
            <w:pPr>
              <w:pStyle w:val="TableContents"/>
              <w:spacing w:before="0" w:after="283"/>
              <w:jc w:val="left"/>
              <w:rPr/>
            </w:pPr>
            <w:r>
              <w:rPr>
                <w:rFonts w:ascii="Arial" w:hAnsi="Arial"/>
                <w:b/>
                <w:color w:val="1A2343"/>
                <w:sz w:val="15"/>
              </w:rPr>
              <w:t>Andrew Mathias</w:t>
            </w:r>
            <w:r>
              <w:rPr>
                <w:rFonts w:ascii="Arial" w:hAnsi="Arial"/>
                <w:color w:val="1A2343"/>
                <w:sz w:val="15"/>
              </w:rPr>
              <w:br/>
            </w:r>
            <w:r>
              <w:rPr>
                <w:rFonts w:ascii="Arial" w:hAnsi="Arial"/>
                <w:sz w:val="15"/>
              </w:rPr>
              <w:t>President</w:t>
              <w:br/>
              <w:t> </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2022</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335"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950,000</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F3F6EA" w:val="clear"/>
            <w:vAlign w:val="center"/>
          </w:tcPr>
          <w:p>
            <w:pPr>
              <w:pStyle w:val="TableContents"/>
              <w:spacing w:before="0" w:after="283"/>
              <w:rPr>
                <w:sz w:val="4"/>
                <w:szCs w:val="4"/>
              </w:rPr>
            </w:pPr>
            <w:r>
              <w:rPr>
                <w:sz w:val="4"/>
                <w:szCs w:val="4"/>
              </w:rPr>
            </w:r>
          </w:p>
        </w:tc>
        <w:tc>
          <w:tcPr>
            <w:tcW w:w="740" w:type="dxa"/>
            <w:tcBorders>
              <w:bottom w:val="single" w:sz="8" w:space="0" w:color="5B5975"/>
            </w:tcBorders>
            <w:shd w:fill="F3F6EA" w:val="clear"/>
            <w:vAlign w:val="center"/>
          </w:tcPr>
          <w:p>
            <w:pPr>
              <w:pStyle w:val="TableContents"/>
              <w:spacing w:before="0" w:after="283"/>
              <w:jc w:val="right"/>
              <w:rPr/>
            </w:pPr>
            <w:r>
              <w:rPr/>
              <w:t>—</w:t>
            </w:r>
          </w:p>
        </w:tc>
        <w:tc>
          <w:tcPr>
            <w:tcW w:w="200" w:type="dxa"/>
            <w:tcBorders/>
            <w:shd w:fill="F3F6EA" w:val="clear"/>
            <w:tcMar>
              <w:bottom w:w="0" w:type="dxa"/>
            </w:tcMar>
            <w:vAlign w:val="center"/>
          </w:tcPr>
          <w:p>
            <w:pPr>
              <w:pStyle w:val="TableContents"/>
              <w:spacing w:before="0" w:after="283"/>
              <w:rPr>
                <w:sz w:val="4"/>
                <w:szCs w:val="4"/>
              </w:rPr>
            </w:pPr>
            <w:r>
              <w:rPr>
                <w:sz w:val="4"/>
                <w:szCs w:val="4"/>
              </w:rPr>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130"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w:t>
            </w:r>
          </w:p>
        </w:tc>
        <w:tc>
          <w:tcPr>
            <w:tcW w:w="984"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11,685,931</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F3F6EA" w:val="clear"/>
            <w:vAlign w:val="center"/>
          </w:tcPr>
          <w:p>
            <w:pPr>
              <w:pStyle w:val="TableContents"/>
              <w:spacing w:before="0" w:after="283"/>
              <w:jc w:val="right"/>
              <w:rPr/>
            </w:pPr>
            <w:r>
              <w:rPr/>
              <w:t>—</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F3F6EA" w:val="clear"/>
            <w:vAlign w:val="center"/>
          </w:tcPr>
          <w:p>
            <w:pPr>
              <w:pStyle w:val="TableContents"/>
              <w:spacing w:before="0" w:after="283"/>
              <w:rPr>
                <w:sz w:val="4"/>
                <w:szCs w:val="4"/>
              </w:rPr>
            </w:pPr>
            <w:r>
              <w:rPr>
                <w:sz w:val="4"/>
                <w:szCs w:val="4"/>
              </w:rPr>
            </w:r>
          </w:p>
        </w:tc>
        <w:tc>
          <w:tcPr>
            <w:tcW w:w="740" w:type="dxa"/>
            <w:tcBorders>
              <w:bottom w:val="single" w:sz="8" w:space="0" w:color="5B5975"/>
            </w:tcBorders>
            <w:shd w:fill="F3F6EA" w:val="clear"/>
            <w:vAlign w:val="center"/>
          </w:tcPr>
          <w:p>
            <w:pPr>
              <w:pStyle w:val="TableContents"/>
              <w:spacing w:before="0" w:after="283"/>
              <w:jc w:val="right"/>
              <w:rPr/>
            </w:pPr>
            <w:r>
              <w:rPr/>
              <w:t>—</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695"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w:t>
            </w:r>
          </w:p>
        </w:tc>
        <w:tc>
          <w:tcPr>
            <w:tcW w:w="515"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55,570</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w:t>
            </w:r>
          </w:p>
        </w:tc>
        <w:tc>
          <w:tcPr>
            <w:tcW w:w="830"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12,691,501</w:t>
            </w:r>
          </w:p>
        </w:tc>
      </w:tr>
      <w:tr>
        <w:trPr/>
        <w:tc>
          <w:tcPr>
            <w:tcW w:w="1595" w:type="dxa"/>
            <w:vMerge w:val="continue"/>
            <w:tcBorders>
              <w:bottom w:val="single" w:sz="8" w:space="0" w:color="5B5975"/>
            </w:tcBorders>
            <w:shd w:fill="auto" w:val="clear"/>
            <w:vAlign w:val="center"/>
          </w:tcPr>
          <w:p>
            <w:pPr>
              <w:pStyle w:val="Normal"/>
              <w:rPr/>
            </w:pPr>
            <w:r>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2021</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3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950,000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5B5975"/>
            </w:tcBorders>
            <w:shd w:fill="auto" w:val="clear"/>
            <w:vAlign w:val="center"/>
          </w:tcPr>
          <w:p>
            <w:pPr>
              <w:pStyle w:val="TableContents"/>
              <w:spacing w:before="0" w:after="283"/>
              <w:jc w:val="right"/>
              <w:rPr/>
            </w:pPr>
            <w:r>
              <w:rPr/>
              <w:t>—</w:t>
            </w:r>
          </w:p>
        </w:tc>
        <w:tc>
          <w:tcPr>
            <w:tcW w:w="200" w:type="dxa"/>
            <w:tcBorders/>
            <w:shd w:fill="auto" w:val="clear"/>
            <w:tcMar>
              <w:bottom w:w="0" w:type="dxa"/>
            </w:tcMar>
            <w:vAlign w:val="center"/>
          </w:tcPr>
          <w:p>
            <w:pPr>
              <w:pStyle w:val="TableContents"/>
              <w:spacing w:before="0" w:after="283"/>
              <w:rPr>
                <w:sz w:val="4"/>
                <w:szCs w:val="4"/>
              </w:rPr>
            </w:pPr>
            <w:r>
              <w:rPr>
                <w:sz w:val="4"/>
                <w:szCs w:val="4"/>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3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984"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14,929,026</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auto" w:val="cle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5B5975"/>
            </w:tcBorders>
            <w:shd w:fill="auto" w:val="cle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9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515"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50,522</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83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15,929,548</w:t>
            </w:r>
          </w:p>
        </w:tc>
      </w:tr>
      <w:tr>
        <w:trPr/>
        <w:tc>
          <w:tcPr>
            <w:tcW w:w="1595" w:type="dxa"/>
            <w:vMerge w:val="continue"/>
            <w:tcBorders>
              <w:bottom w:val="single" w:sz="8" w:space="0" w:color="5B5975"/>
            </w:tcBorders>
            <w:shd w:fill="auto" w:val="clear"/>
            <w:vAlign w:val="center"/>
          </w:tcPr>
          <w:p>
            <w:pPr>
              <w:pStyle w:val="Normal"/>
              <w:rPr/>
            </w:pPr>
            <w:r>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2020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3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950,000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5B5975"/>
            </w:tcBorders>
            <w:shd w:fill="auto" w:val="clear"/>
            <w:vAlign w:val="center"/>
          </w:tcPr>
          <w:p>
            <w:pPr>
              <w:pStyle w:val="TableContents"/>
              <w:spacing w:before="0" w:after="283"/>
              <w:jc w:val="right"/>
              <w:rPr/>
            </w:pPr>
            <w:r>
              <w:rPr/>
              <w:t>—</w:t>
            </w:r>
          </w:p>
        </w:tc>
        <w:tc>
          <w:tcPr>
            <w:tcW w:w="200" w:type="dxa"/>
            <w:tcBorders/>
            <w:shd w:fill="auto" w:val="clear"/>
            <w:tcMar>
              <w:bottom w:w="0" w:type="dxa"/>
            </w:tcMar>
            <w:vAlign w:val="center"/>
          </w:tcPr>
          <w:p>
            <w:pPr>
              <w:pStyle w:val="TableContents"/>
              <w:spacing w:before="0" w:after="283"/>
              <w:rPr>
                <w:sz w:val="4"/>
                <w:szCs w:val="4"/>
              </w:rPr>
            </w:pPr>
            <w:r>
              <w:rPr>
                <w:sz w:val="4"/>
                <w:szCs w:val="4"/>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3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984"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10,580,622</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auto" w:val="cle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5B5975"/>
            </w:tcBorders>
            <w:shd w:fill="auto" w:val="cle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9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515"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43,136</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83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11,573,758</w:t>
            </w:r>
          </w:p>
        </w:tc>
      </w:tr>
      <w:tr>
        <w:trPr/>
        <w:tc>
          <w:tcPr>
            <w:tcW w:w="1595" w:type="dxa"/>
            <w:vMerge w:val="restart"/>
            <w:tcBorders>
              <w:bottom w:val="single" w:sz="8" w:space="0" w:color="5B5975"/>
            </w:tcBorders>
            <w:shd w:fill="auto" w:val="clear"/>
            <w:vAlign w:val="center"/>
          </w:tcPr>
          <w:p>
            <w:pPr>
              <w:pStyle w:val="TableContents"/>
              <w:spacing w:before="0" w:after="283"/>
              <w:jc w:val="left"/>
              <w:rPr/>
            </w:pPr>
            <w:r>
              <w:rPr>
                <w:rFonts w:ascii="Arial" w:hAnsi="Arial"/>
                <w:b/>
                <w:color w:val="1A2343"/>
                <w:sz w:val="15"/>
              </w:rPr>
              <w:t>Matthew J. DiLiberto</w:t>
            </w:r>
            <w:r>
              <w:rPr>
                <w:rFonts w:ascii="Arial" w:hAnsi="Arial"/>
                <w:color w:val="1A2343"/>
                <w:sz w:val="15"/>
              </w:rPr>
              <w:br/>
            </w:r>
            <w:r>
              <w:rPr>
                <w:rFonts w:ascii="Arial" w:hAnsi="Arial"/>
                <w:sz w:val="15"/>
              </w:rPr>
              <w:t>Chief Financial Officer</w:t>
              <w:br/>
              <w:t> </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2022</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335"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575,000</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725,000</w:t>
            </w:r>
          </w:p>
        </w:tc>
        <w:tc>
          <w:tcPr>
            <w:tcW w:w="200" w:type="dxa"/>
            <w:tcBorders/>
            <w:shd w:fill="F3F6EA" w:val="clear"/>
            <w:tcMar>
              <w:bottom w:w="0" w:type="dxa"/>
            </w:tcMar>
            <w:vAlign w:val="center"/>
          </w:tcPr>
          <w:p>
            <w:pPr>
              <w:pStyle w:val="TableContents"/>
              <w:spacing w:before="0" w:after="283"/>
              <w:rPr>
                <w:sz w:val="4"/>
                <w:szCs w:val="4"/>
              </w:rPr>
            </w:pPr>
            <w:r>
              <w:rPr>
                <w:sz w:val="4"/>
                <w:szCs w:val="4"/>
              </w:rPr>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130"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w:t>
            </w:r>
          </w:p>
        </w:tc>
        <w:tc>
          <w:tcPr>
            <w:tcW w:w="984"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2,488,387</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F3F6EA" w:val="clear"/>
            <w:vAlign w:val="center"/>
          </w:tcPr>
          <w:p>
            <w:pPr>
              <w:pStyle w:val="TableContents"/>
              <w:spacing w:before="0" w:after="283"/>
              <w:jc w:val="right"/>
              <w:rPr/>
            </w:pPr>
            <w:r>
              <w:rPr/>
              <w:t>—</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F3F6EA" w:val="clear"/>
            <w:vAlign w:val="center"/>
          </w:tcPr>
          <w:p>
            <w:pPr>
              <w:pStyle w:val="TableContents"/>
              <w:spacing w:before="0" w:after="283"/>
              <w:rPr>
                <w:sz w:val="4"/>
                <w:szCs w:val="4"/>
              </w:rPr>
            </w:pPr>
            <w:r>
              <w:rPr>
                <w:sz w:val="4"/>
                <w:szCs w:val="4"/>
              </w:rPr>
            </w:r>
          </w:p>
        </w:tc>
        <w:tc>
          <w:tcPr>
            <w:tcW w:w="740" w:type="dxa"/>
            <w:tcBorders>
              <w:bottom w:val="single" w:sz="8" w:space="0" w:color="5B5975"/>
            </w:tcBorders>
            <w:shd w:fill="F3F6EA" w:val="clear"/>
            <w:vAlign w:val="center"/>
          </w:tcPr>
          <w:p>
            <w:pPr>
              <w:pStyle w:val="TableContents"/>
              <w:spacing w:before="0" w:after="283"/>
              <w:jc w:val="right"/>
              <w:rPr/>
            </w:pPr>
            <w:r>
              <w:rPr/>
              <w:t>—</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695"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w:t>
            </w:r>
          </w:p>
        </w:tc>
        <w:tc>
          <w:tcPr>
            <w:tcW w:w="515"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12,200</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w:t>
            </w:r>
          </w:p>
        </w:tc>
        <w:tc>
          <w:tcPr>
            <w:tcW w:w="830"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3,800,587</w:t>
            </w:r>
          </w:p>
        </w:tc>
      </w:tr>
      <w:tr>
        <w:trPr/>
        <w:tc>
          <w:tcPr>
            <w:tcW w:w="1595" w:type="dxa"/>
            <w:vMerge w:val="continue"/>
            <w:tcBorders>
              <w:bottom w:val="single" w:sz="8" w:space="0" w:color="5B5975"/>
            </w:tcBorders>
            <w:shd w:fill="auto" w:val="clear"/>
            <w:vAlign w:val="center"/>
          </w:tcPr>
          <w:p>
            <w:pPr>
              <w:pStyle w:val="Normal"/>
              <w:rPr/>
            </w:pPr>
            <w:r>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2021</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3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575,000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925,000</w:t>
            </w:r>
          </w:p>
        </w:tc>
        <w:tc>
          <w:tcPr>
            <w:tcW w:w="200" w:type="dxa"/>
            <w:tcBorders/>
            <w:shd w:fill="auto" w:val="clear"/>
            <w:tcMar>
              <w:bottom w:w="0" w:type="dxa"/>
            </w:tcMar>
            <w:vAlign w:val="center"/>
          </w:tcPr>
          <w:p>
            <w:pPr>
              <w:pStyle w:val="TableContents"/>
              <w:spacing w:before="0" w:after="283"/>
              <w:rPr>
                <w:sz w:val="4"/>
                <w:szCs w:val="4"/>
              </w:rPr>
            </w:pPr>
            <w:r>
              <w:rPr>
                <w:sz w:val="4"/>
                <w:szCs w:val="4"/>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3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984"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2,318,872</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auto" w:val="cle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5B5975"/>
            </w:tcBorders>
            <w:shd w:fill="auto" w:val="cle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9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515"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11,600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83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3,830,472</w:t>
            </w:r>
          </w:p>
        </w:tc>
      </w:tr>
      <w:tr>
        <w:trPr/>
        <w:tc>
          <w:tcPr>
            <w:tcW w:w="1595" w:type="dxa"/>
            <w:vMerge w:val="continue"/>
            <w:tcBorders>
              <w:bottom w:val="single" w:sz="8" w:space="0" w:color="5B5975"/>
            </w:tcBorders>
            <w:shd w:fill="auto" w:val="clear"/>
            <w:vAlign w:val="center"/>
          </w:tcPr>
          <w:p>
            <w:pPr>
              <w:pStyle w:val="Normal"/>
              <w:rPr/>
            </w:pPr>
            <w:r>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2020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3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550,000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2,460,000</w:t>
            </w:r>
          </w:p>
        </w:tc>
        <w:tc>
          <w:tcPr>
            <w:tcW w:w="200" w:type="dxa"/>
            <w:tcBorders/>
            <w:shd w:fill="auto" w:val="clear"/>
            <w:tcMar>
              <w:bottom w:w="0" w:type="dxa"/>
            </w:tcMar>
            <w:vAlign w:val="center"/>
          </w:tcPr>
          <w:p>
            <w:pPr>
              <w:pStyle w:val="TableContents"/>
              <w:spacing w:before="0" w:after="283"/>
              <w:jc w:val="left"/>
              <w:rPr>
                <w:rFonts w:ascii="Arial" w:hAnsi="Arial"/>
                <w:position w:val="5"/>
                <w:sz w:val="12"/>
                <w:sz w:val="15"/>
              </w:rPr>
            </w:pPr>
            <w:r>
              <w:rPr>
                <w:rFonts w:ascii="Arial" w:hAnsi="Arial"/>
                <w:position w:val="5"/>
                <w:sz w:val="12"/>
                <w:sz w:val="15"/>
              </w:rPr>
              <w:t xml:space="preserve">(3) </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3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984"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1,336,498</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auto" w:val="clear"/>
            <w:vAlign w:val="center"/>
          </w:tcPr>
          <w:p>
            <w:pPr>
              <w:pStyle w:val="TableContents"/>
              <w:spacing w:before="0" w:after="283"/>
              <w:jc w:val="left"/>
              <w:rPr/>
            </w:pPr>
            <w:r>
              <w:rPr/>
              <w:t>—</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5B5975"/>
            </w:tcBorders>
            <w:shd w:fill="auto" w:val="cle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9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515"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11,400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83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4,357,898</w:t>
            </w:r>
          </w:p>
        </w:tc>
      </w:tr>
      <w:tr>
        <w:trPr/>
        <w:tc>
          <w:tcPr>
            <w:tcW w:w="1595" w:type="dxa"/>
            <w:vMerge w:val="restart"/>
            <w:tcBorders>
              <w:bottom w:val="single" w:sz="12" w:space="0" w:color="1A2343"/>
            </w:tcBorders>
            <w:shd w:fill="auto" w:val="clear"/>
            <w:vAlign w:val="center"/>
          </w:tcPr>
          <w:p>
            <w:pPr>
              <w:pStyle w:val="TableContents"/>
              <w:spacing w:before="0" w:after="283"/>
              <w:jc w:val="left"/>
              <w:rPr/>
            </w:pPr>
            <w:r>
              <w:rPr>
                <w:rFonts w:ascii="Arial" w:hAnsi="Arial"/>
                <w:b/>
                <w:color w:val="1A2343"/>
                <w:sz w:val="15"/>
              </w:rPr>
              <w:t>Andrew S. Levine</w:t>
            </w:r>
            <w:r>
              <w:rPr>
                <w:rFonts w:ascii="Arial" w:hAnsi="Arial"/>
                <w:color w:val="1A2343"/>
                <w:sz w:val="15"/>
              </w:rPr>
              <w:br/>
            </w:r>
            <w:r>
              <w:rPr>
                <w:rFonts w:ascii="Arial" w:hAnsi="Arial"/>
                <w:sz w:val="15"/>
              </w:rPr>
              <w:t>Chief Legal Officer</w:t>
              <w:br/>
              <w:t>and General Counsel</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2022</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335"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580,000</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F3F6EA" w:val="clear"/>
            <w:vAlign w:val="center"/>
          </w:tcPr>
          <w:p>
            <w:pPr>
              <w:pStyle w:val="TableContents"/>
              <w:spacing w:before="0" w:after="283"/>
              <w:rPr>
                <w:sz w:val="4"/>
                <w:szCs w:val="4"/>
              </w:rPr>
            </w:pPr>
            <w:r>
              <w:rPr>
                <w:sz w:val="4"/>
                <w:szCs w:val="4"/>
              </w:rPr>
            </w:r>
          </w:p>
        </w:tc>
        <w:tc>
          <w:tcPr>
            <w:tcW w:w="740" w:type="dxa"/>
            <w:tcBorders>
              <w:bottom w:val="single" w:sz="8" w:space="0" w:color="5B5975"/>
            </w:tcBorders>
            <w:shd w:fill="F3F6EA" w:val="clear"/>
            <w:vAlign w:val="center"/>
          </w:tcPr>
          <w:p>
            <w:pPr>
              <w:pStyle w:val="TableContents"/>
              <w:spacing w:before="0" w:after="283"/>
              <w:jc w:val="right"/>
              <w:rPr/>
            </w:pPr>
            <w:r>
              <w:rPr/>
              <w:t>—</w:t>
            </w:r>
          </w:p>
        </w:tc>
        <w:tc>
          <w:tcPr>
            <w:tcW w:w="200" w:type="dxa"/>
            <w:tcBorders/>
            <w:shd w:fill="F3F6EA" w:val="clear"/>
            <w:tcMar>
              <w:bottom w:w="0" w:type="dxa"/>
            </w:tcMar>
            <w:vAlign w:val="center"/>
          </w:tcPr>
          <w:p>
            <w:pPr>
              <w:pStyle w:val="TableContents"/>
              <w:spacing w:before="0" w:after="283"/>
              <w:rPr>
                <w:sz w:val="4"/>
                <w:szCs w:val="4"/>
              </w:rPr>
            </w:pPr>
            <w:r>
              <w:rPr>
                <w:sz w:val="4"/>
                <w:szCs w:val="4"/>
              </w:rPr>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130"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w:t>
            </w:r>
          </w:p>
        </w:tc>
        <w:tc>
          <w:tcPr>
            <w:tcW w:w="984"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3,935,842</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F3F6EA" w:val="clear"/>
            <w:vAlign w:val="center"/>
          </w:tcPr>
          <w:p>
            <w:pPr>
              <w:pStyle w:val="TableContents"/>
              <w:spacing w:before="0" w:after="283"/>
              <w:jc w:val="left"/>
              <w:rPr/>
            </w:pPr>
            <w:r>
              <w:rPr/>
              <w:t>—</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F3F6EA" w:val="clear"/>
            <w:vAlign w:val="center"/>
          </w:tcPr>
          <w:p>
            <w:pPr>
              <w:pStyle w:val="TableContents"/>
              <w:spacing w:before="0" w:after="283"/>
              <w:rPr>
                <w:sz w:val="4"/>
                <w:szCs w:val="4"/>
              </w:rPr>
            </w:pPr>
            <w:r>
              <w:rPr>
                <w:sz w:val="4"/>
                <w:szCs w:val="4"/>
              </w:rPr>
            </w:r>
          </w:p>
        </w:tc>
        <w:tc>
          <w:tcPr>
            <w:tcW w:w="740" w:type="dxa"/>
            <w:tcBorders>
              <w:bottom w:val="single" w:sz="8" w:space="0" w:color="5B5975"/>
            </w:tcBorders>
            <w:shd w:fill="F3F6EA" w:val="clear"/>
            <w:vAlign w:val="center"/>
          </w:tcPr>
          <w:p>
            <w:pPr>
              <w:pStyle w:val="TableContents"/>
              <w:spacing w:before="0" w:after="283"/>
              <w:jc w:val="right"/>
              <w:rPr/>
            </w:pPr>
            <w:r>
              <w:rPr/>
              <w:t>—</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695"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w:t>
            </w:r>
          </w:p>
        </w:tc>
        <w:tc>
          <w:tcPr>
            <w:tcW w:w="515"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12,200</w:t>
            </w:r>
          </w:p>
        </w:tc>
        <w:tc>
          <w:tcPr>
            <w:tcW w:w="120" w:type="dxa"/>
            <w:tcBorders/>
            <w:shd w:fill="F3F6EA"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F3F6EA" w:val="clear"/>
            <w:vAlign w:val="center"/>
          </w:tcPr>
          <w:p>
            <w:pPr>
              <w:pStyle w:val="TableContents"/>
              <w:spacing w:before="0" w:after="283"/>
              <w:jc w:val="left"/>
              <w:rPr>
                <w:rFonts w:ascii="Arial" w:hAnsi="Arial"/>
                <w:sz w:val="15"/>
              </w:rPr>
            </w:pPr>
            <w:r>
              <w:rPr>
                <w:rFonts w:ascii="Arial" w:hAnsi="Arial"/>
                <w:sz w:val="15"/>
              </w:rPr>
              <w:t>$</w:t>
            </w:r>
          </w:p>
        </w:tc>
        <w:tc>
          <w:tcPr>
            <w:tcW w:w="830" w:type="dxa"/>
            <w:tcBorders>
              <w:bottom w:val="single" w:sz="8" w:space="0" w:color="5B5975"/>
            </w:tcBorders>
            <w:shd w:fill="F3F6EA" w:val="clear"/>
            <w:vAlign w:val="center"/>
          </w:tcPr>
          <w:p>
            <w:pPr>
              <w:pStyle w:val="TableContents"/>
              <w:spacing w:before="0" w:after="283"/>
              <w:jc w:val="right"/>
              <w:rPr>
                <w:rFonts w:ascii="Arial" w:hAnsi="Arial"/>
                <w:sz w:val="15"/>
              </w:rPr>
            </w:pPr>
            <w:r>
              <w:rPr>
                <w:rFonts w:ascii="Arial" w:hAnsi="Arial"/>
                <w:sz w:val="15"/>
              </w:rPr>
              <w:t>4,528,042</w:t>
            </w:r>
          </w:p>
        </w:tc>
      </w:tr>
      <w:tr>
        <w:trPr/>
        <w:tc>
          <w:tcPr>
            <w:tcW w:w="1595" w:type="dxa"/>
            <w:vMerge w:val="continue"/>
            <w:tcBorders>
              <w:bottom w:val="single" w:sz="12" w:space="0" w:color="1A2343"/>
            </w:tcBorders>
            <w:shd w:fill="auto" w:val="clear"/>
            <w:vAlign w:val="center"/>
          </w:tcPr>
          <w:p>
            <w:pPr>
              <w:pStyle w:val="Normal"/>
              <w:rPr/>
            </w:pPr>
            <w:r>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2021</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3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580,000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5B5975"/>
            </w:tcBorders>
            <w:shd w:fill="auto" w:val="clear"/>
            <w:vAlign w:val="center"/>
          </w:tcPr>
          <w:p>
            <w:pPr>
              <w:pStyle w:val="TableContents"/>
              <w:spacing w:before="0" w:after="283"/>
              <w:jc w:val="right"/>
              <w:rPr/>
            </w:pPr>
            <w:r>
              <w:rPr/>
              <w:t>—</w:t>
            </w:r>
          </w:p>
        </w:tc>
        <w:tc>
          <w:tcPr>
            <w:tcW w:w="200" w:type="dxa"/>
            <w:tcBorders/>
            <w:shd w:fill="auto" w:val="clear"/>
            <w:tcMar>
              <w:bottom w:w="0" w:type="dxa"/>
            </w:tcMar>
            <w:vAlign w:val="center"/>
          </w:tcPr>
          <w:p>
            <w:pPr>
              <w:pStyle w:val="TableContents"/>
              <w:spacing w:before="0" w:after="283"/>
              <w:rPr>
                <w:sz w:val="4"/>
                <w:szCs w:val="4"/>
              </w:rPr>
            </w:pPr>
            <w:r>
              <w:rPr>
                <w:sz w:val="4"/>
                <w:szCs w:val="4"/>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3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984"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2,783,700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80" w:type="dxa"/>
            <w:tcBorders>
              <w:bottom w:val="single" w:sz="8" w:space="0" w:color="5B5975"/>
            </w:tcBorders>
            <w:shd w:fill="auto" w:val="clear"/>
            <w:vAlign w:val="center"/>
          </w:tcPr>
          <w:p>
            <w:pPr>
              <w:pStyle w:val="TableContents"/>
              <w:spacing w:before="0" w:after="283"/>
              <w:jc w:val="left"/>
              <w:rPr/>
            </w:pPr>
            <w:r>
              <w:rPr/>
              <w:t>—</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5B5975"/>
            </w:tcBorders>
            <w:shd w:fill="auto" w:val="cle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9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515"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11,600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830" w:type="dxa"/>
            <w:tcBorders>
              <w:bottom w:val="single" w:sz="8" w:space="0" w:color="5B5975"/>
            </w:tcBorders>
            <w:shd w:fill="auto" w:val="clear"/>
            <w:vAlign w:val="center"/>
          </w:tcPr>
          <w:p>
            <w:pPr>
              <w:pStyle w:val="TableContents"/>
              <w:spacing w:before="0" w:after="283"/>
              <w:jc w:val="right"/>
              <w:rPr>
                <w:rFonts w:ascii="Arial" w:hAnsi="Arial"/>
                <w:sz w:val="15"/>
              </w:rPr>
            </w:pPr>
            <w:r>
              <w:rPr>
                <w:rFonts w:ascii="Arial" w:hAnsi="Arial"/>
                <w:sz w:val="15"/>
              </w:rPr>
              <w:t>3,375,300</w:t>
            </w:r>
          </w:p>
        </w:tc>
      </w:tr>
      <w:tr>
        <w:trPr/>
        <w:tc>
          <w:tcPr>
            <w:tcW w:w="1595" w:type="dxa"/>
            <w:vMerge w:val="continue"/>
            <w:tcBorders>
              <w:bottom w:val="single" w:sz="12" w:space="0" w:color="1A2343"/>
            </w:tcBorders>
            <w:shd w:fill="auto" w:val="clear"/>
            <w:vAlign w:val="center"/>
          </w:tcPr>
          <w:p>
            <w:pPr>
              <w:pStyle w:val="Normal"/>
              <w:rPr/>
            </w:pPr>
            <w:r>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12" w:space="0" w:color="1A2343"/>
            </w:tcBorders>
            <w:shd w:fill="auto" w:val="clear"/>
            <w:vAlign w:val="center"/>
          </w:tcPr>
          <w:p>
            <w:pPr>
              <w:pStyle w:val="TableContents"/>
              <w:spacing w:before="0" w:after="283"/>
              <w:jc w:val="right"/>
              <w:rPr>
                <w:rFonts w:ascii="Arial" w:hAnsi="Arial"/>
                <w:sz w:val="15"/>
              </w:rPr>
            </w:pPr>
            <w:r>
              <w:rPr>
                <w:rFonts w:ascii="Arial" w:hAnsi="Arial"/>
                <w:sz w:val="15"/>
              </w:rPr>
              <w:t>2020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35" w:type="dxa"/>
            <w:tcBorders>
              <w:bottom w:val="single" w:sz="12" w:space="0" w:color="1A2343"/>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12" w:space="0" w:color="1A2343"/>
            </w:tcBorders>
            <w:shd w:fill="auto" w:val="clear"/>
            <w:vAlign w:val="center"/>
          </w:tcPr>
          <w:p>
            <w:pPr>
              <w:pStyle w:val="TableContents"/>
              <w:spacing w:before="0" w:after="283"/>
              <w:jc w:val="right"/>
              <w:rPr>
                <w:rFonts w:ascii="Arial" w:hAnsi="Arial"/>
                <w:sz w:val="15"/>
              </w:rPr>
            </w:pPr>
            <w:r>
              <w:rPr>
                <w:rFonts w:ascii="Arial" w:hAnsi="Arial"/>
                <w:sz w:val="15"/>
              </w:rPr>
              <w:t>580,000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bottom w:val="single" w:sz="12" w:space="0" w:color="1A2343"/>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12" w:space="0" w:color="1A2343"/>
            </w:tcBorders>
            <w:shd w:fill="auto" w:val="clear"/>
            <w:vAlign w:val="center"/>
          </w:tcPr>
          <w:p>
            <w:pPr>
              <w:pStyle w:val="TableContents"/>
              <w:spacing w:before="0" w:after="283"/>
              <w:jc w:val="right"/>
              <w:rPr>
                <w:rFonts w:ascii="Arial" w:hAnsi="Arial"/>
                <w:sz w:val="15"/>
              </w:rPr>
            </w:pPr>
            <w:r>
              <w:rPr>
                <w:rFonts w:ascii="Arial" w:hAnsi="Arial"/>
                <w:sz w:val="15"/>
              </w:rPr>
              <w:t>1,000,000</w:t>
            </w:r>
          </w:p>
        </w:tc>
        <w:tc>
          <w:tcPr>
            <w:tcW w:w="200" w:type="dxa"/>
            <w:tcBorders/>
            <w:shd w:fill="auto" w:val="clear"/>
            <w:tcMar>
              <w:bottom w:w="0" w:type="dxa"/>
            </w:tcMar>
            <w:vAlign w:val="center"/>
          </w:tcPr>
          <w:p>
            <w:pPr>
              <w:pStyle w:val="TableContents"/>
              <w:spacing w:before="0" w:after="283"/>
              <w:jc w:val="left"/>
              <w:rPr>
                <w:rFonts w:ascii="Arial" w:hAnsi="Arial"/>
                <w:position w:val="5"/>
                <w:sz w:val="12"/>
                <w:sz w:val="15"/>
              </w:rPr>
            </w:pPr>
            <w:r>
              <w:rPr>
                <w:rFonts w:ascii="Arial" w:hAnsi="Arial"/>
                <w:position w:val="5"/>
                <w:sz w:val="12"/>
                <w:sz w:val="15"/>
              </w:rPr>
              <w:t xml:space="preserve">(3) </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30" w:type="dxa"/>
            <w:tcBorders>
              <w:bottom w:val="single" w:sz="12" w:space="0" w:color="1A2343"/>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984" w:type="dxa"/>
            <w:tcBorders>
              <w:bottom w:val="single" w:sz="12" w:space="0" w:color="1A2343"/>
            </w:tcBorders>
            <w:shd w:fill="auto" w:val="clear"/>
            <w:vAlign w:val="center"/>
          </w:tcPr>
          <w:p>
            <w:pPr>
              <w:pStyle w:val="TableContents"/>
              <w:spacing w:before="0" w:after="283"/>
              <w:jc w:val="right"/>
              <w:rPr>
                <w:rFonts w:ascii="Arial" w:hAnsi="Arial"/>
                <w:sz w:val="15"/>
              </w:rPr>
            </w:pPr>
            <w:r>
              <w:rPr>
                <w:rFonts w:ascii="Arial" w:hAnsi="Arial"/>
                <w:sz w:val="15"/>
              </w:rPr>
              <w:t>2,701,565</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80" w:type="dxa"/>
            <w:tcBorders>
              <w:bottom w:val="single" w:sz="12" w:space="0" w:color="1A2343"/>
            </w:tcBorders>
            <w:shd w:fill="auto" w:val="clear"/>
            <w:vAlign w:val="center"/>
          </w:tcPr>
          <w:p>
            <w:pPr>
              <w:pStyle w:val="TableContents"/>
              <w:spacing w:before="0" w:after="283"/>
              <w:jc w:val="left"/>
              <w:rPr/>
            </w:pPr>
            <w:r>
              <w:rPr/>
              <w:t>—</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380"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740" w:type="dxa"/>
            <w:tcBorders>
              <w:bottom w:val="single" w:sz="12" w:space="0" w:color="1A2343"/>
            </w:tcBorders>
            <w:shd w:fill="auto" w:val="cle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95" w:type="dxa"/>
            <w:tcBorders>
              <w:bottom w:val="single" w:sz="12" w:space="0" w:color="1A2343"/>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515" w:type="dxa"/>
            <w:tcBorders>
              <w:bottom w:val="single" w:sz="12" w:space="0" w:color="1A2343"/>
            </w:tcBorders>
            <w:shd w:fill="auto" w:val="clear"/>
            <w:vAlign w:val="center"/>
          </w:tcPr>
          <w:p>
            <w:pPr>
              <w:pStyle w:val="TableContents"/>
              <w:spacing w:before="0" w:after="283"/>
              <w:jc w:val="right"/>
              <w:rPr>
                <w:rFonts w:ascii="Arial" w:hAnsi="Arial"/>
                <w:sz w:val="15"/>
              </w:rPr>
            </w:pPr>
            <w:r>
              <w:rPr>
                <w:rFonts w:ascii="Arial" w:hAnsi="Arial"/>
                <w:sz w:val="15"/>
              </w:rPr>
              <w:t>11,400</w:t>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bottom w:val="single" w:sz="12" w:space="0" w:color="1A2343"/>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830" w:type="dxa"/>
            <w:tcBorders>
              <w:bottom w:val="single" w:sz="12" w:space="0" w:color="1A2343"/>
            </w:tcBorders>
            <w:shd w:fill="auto" w:val="clear"/>
            <w:vAlign w:val="center"/>
          </w:tcPr>
          <w:p>
            <w:pPr>
              <w:pStyle w:val="TableContents"/>
              <w:spacing w:before="0" w:after="283"/>
              <w:jc w:val="right"/>
              <w:rPr>
                <w:rFonts w:ascii="Arial" w:hAnsi="Arial"/>
                <w:sz w:val="15"/>
              </w:rPr>
            </w:pPr>
            <w:r>
              <w:rPr>
                <w:rFonts w:ascii="Arial" w:hAnsi="Arial"/>
                <w:sz w:val="15"/>
              </w:rPr>
              <w:t>4,292,965</w:t>
            </w:r>
          </w:p>
        </w:tc>
      </w:tr>
    </w:tbl>
    <w:tbl>
      <w:tblPr>
        <w:tblW w:w="10205" w:type="dxa"/>
        <w:jc w:val="left"/>
        <w:tblInd w:w="0" w:type="dxa"/>
        <w:tblCellMar>
          <w:top w:w="0" w:type="dxa"/>
          <w:left w:w="0" w:type="dxa"/>
          <w:bottom w:w="0" w:type="dxa"/>
          <w:right w:w="0" w:type="dxa"/>
        </w:tblCellMar>
      </w:tblPr>
      <w:tblGrid>
        <w:gridCol w:w="160"/>
        <w:gridCol w:w="10045"/>
      </w:tblGrid>
      <w:tr>
        <w:trPr/>
        <w:tc>
          <w:tcPr>
            <w:tcW w:w="160"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10045" w:type="dxa"/>
            <w:tcBorders/>
            <w:shd w:fill="auto" w:val="clear"/>
            <w:vAlign w:val="center"/>
          </w:tcPr>
          <w:p>
            <w:pPr>
              <w:pStyle w:val="TableContents"/>
              <w:spacing w:before="0" w:after="0"/>
              <w:jc w:val="left"/>
              <w:rPr>
                <w:rFonts w:ascii="Arial" w:hAnsi="Arial"/>
                <w:sz w:val="15"/>
              </w:rPr>
            </w:pPr>
            <w:r>
              <w:rPr>
                <w:rFonts w:ascii="Arial" w:hAnsi="Arial"/>
                <w:sz w:val="15"/>
              </w:rPr>
              <w:t>Amounts shown do not reflect compensation actually received by the named executive officer. Instead, the amounts shown are the full grant date fair value of stock awards and option awards issued to the executives in 2022, 2021 and 2020, respectively. In accordance with SEC disclosure requirements, the amounts for 2022 include the full grant date fair value of our 2022 annual performance-based equity awards, which were as follows: Mr. Holliday—$9,339,258; Mr. Mathias—$7,471,401; Mr. DiLiberto—$732,507; and Mr. Levine—$732,507, respectively. The grant date fair value of such awards is computed in accordance with ASC 718, “Compensation-Stock Compensation,” or “ASC 718,” by the use of Monte Carlo simulation models that consider the probable outcomes of the market-based performance conditions governing such awards. The Monte Carlo simulation model for the awards granted during 2022 used an assumed stock price volatility level of 51.0% on our common stock and a risk-free interest rate of 1.3%.</w:t>
            </w:r>
          </w:p>
          <w:p>
            <w:pPr>
              <w:pStyle w:val="TableContents"/>
              <w:spacing w:before="0" w:after="0"/>
              <w:jc w:val="left"/>
              <w:rPr>
                <w:rFonts w:ascii="Arial" w:hAnsi="Arial"/>
                <w:sz w:val="15"/>
              </w:rPr>
            </w:pPr>
            <w:r>
              <w:rPr>
                <w:rFonts w:ascii="Arial" w:hAnsi="Arial"/>
                <w:sz w:val="15"/>
              </w:rPr>
              <w:t>Assuming that maximum performance is achieved under our 2022 annual performance-based equity awards, the value at the grant date of the awards would each have been as follows: Mr. Holliday—$17,809,209; Mr. Mathias—$14,247,367; Mr. DiLiberto—$1,319,209; and Mr. Levine—$1,319,209, respectively. See “—Compensation Discussion and Analysis—Our 2022 Executive Compensation Program” for a description of the terms of these performance-based awards.</w:t>
            </w:r>
          </w:p>
        </w:tc>
      </w:tr>
      <w:tr>
        <w:trPr/>
        <w:tc>
          <w:tcPr>
            <w:tcW w:w="160" w:type="dxa"/>
            <w:tcBorders/>
            <w:shd w:fill="auto" w:val="clear"/>
            <w:vAlign w:val="center"/>
          </w:tcPr>
          <w:p>
            <w:pPr>
              <w:pStyle w:val="TableContents"/>
              <w:spacing w:before="0" w:after="283"/>
              <w:jc w:val="left"/>
              <w:rPr>
                <w:rFonts w:ascii="Arial" w:hAnsi="Arial"/>
                <w:sz w:val="15"/>
              </w:rPr>
            </w:pPr>
            <w:r>
              <w:rPr>
                <w:rFonts w:ascii="Arial" w:hAnsi="Arial"/>
                <w:sz w:val="15"/>
              </w:rPr>
              <w:t>(2)</w:t>
            </w:r>
          </w:p>
        </w:tc>
        <w:tc>
          <w:tcPr>
            <w:tcW w:w="10045" w:type="dxa"/>
            <w:tcBorders/>
            <w:shd w:fill="auto" w:val="clear"/>
            <w:vAlign w:val="center"/>
          </w:tcPr>
          <w:p>
            <w:pPr>
              <w:pStyle w:val="TableContents"/>
              <w:spacing w:before="0" w:after="283"/>
              <w:jc w:val="left"/>
              <w:rPr>
                <w:rFonts w:ascii="Arial" w:hAnsi="Arial"/>
                <w:sz w:val="15"/>
              </w:rPr>
            </w:pPr>
            <w:r>
              <w:rPr>
                <w:rFonts w:ascii="Arial" w:hAnsi="Arial"/>
                <w:sz w:val="15"/>
              </w:rPr>
              <w:t>The table and footnotes below show the components of this column for 2022, which include certain perquisites such as Company 401(k) matching contributions.</w:t>
            </w:r>
          </w:p>
        </w:tc>
      </w:tr>
    </w:tbl>
    <w:p>
      <w:pPr>
        <w:pStyle w:val="TextBody"/>
        <w:spacing w:before="0" w:after="0"/>
        <w:rPr>
          <w:rFonts w:ascii="Arial" w:hAnsi="Arial"/>
          <w:sz w:val="32"/>
        </w:rPr>
      </w:pPr>
      <w:r>
        <w:rPr>
          <w:rFonts w:ascii="Arial" w:hAnsi="Arial"/>
          <w:sz w:val="32"/>
        </w:rPr>
      </w:r>
    </w:p>
    <w:tbl>
      <w:tblPr>
        <w:tblW w:w="3480" w:type="dxa"/>
        <w:jc w:val="left"/>
        <w:tblInd w:w="0" w:type="dxa"/>
        <w:tblCellMar>
          <w:top w:w="0" w:type="dxa"/>
          <w:left w:w="0" w:type="dxa"/>
          <w:bottom w:w="0" w:type="dxa"/>
          <w:right w:w="0" w:type="dxa"/>
        </w:tblCellMar>
      </w:tblPr>
      <w:tblGrid>
        <w:gridCol w:w="360"/>
        <w:gridCol w:w="1505"/>
        <w:gridCol w:w="300"/>
        <w:gridCol w:w="650"/>
        <w:gridCol w:w="665"/>
      </w:tblGrid>
      <w:tr>
        <w:trPr/>
        <w:tc>
          <w:tcPr>
            <w:tcW w:w="360" w:type="dxa"/>
            <w:tcBorders/>
            <w:shd w:fill="auto" w:val="clear"/>
            <w:vAlign w:val="center"/>
          </w:tcPr>
          <w:p>
            <w:pPr>
              <w:pStyle w:val="TableContents"/>
              <w:spacing w:before="0" w:after="283"/>
              <w:jc w:val="left"/>
              <w:rPr/>
            </w:pPr>
            <w:r>
              <w:rPr/>
              <w:t>      </w:t>
            </w:r>
          </w:p>
        </w:tc>
        <w:tc>
          <w:tcPr>
            <w:tcW w:w="1505" w:type="dxa"/>
            <w:tcBorders>
              <w:bottom w:val="single" w:sz="12" w:space="0" w:color="1A2343"/>
            </w:tcBorders>
            <w:shd w:fill="auto" w:val="clear"/>
            <w:tcMar>
              <w:bottom w:w="40" w:type="dxa"/>
            </w:tcMar>
            <w:vAlign w:val="center"/>
          </w:tcPr>
          <w:p>
            <w:pPr>
              <w:pStyle w:val="TableContents"/>
              <w:spacing w:before="0" w:after="283"/>
              <w:jc w:val="left"/>
              <w:rPr>
                <w:rFonts w:ascii="Arial" w:hAnsi="Arial"/>
                <w:color w:val="1A2343"/>
                <w:sz w:val="15"/>
              </w:rPr>
            </w:pPr>
            <w:r>
              <w:rPr>
                <w:rFonts w:ascii="Arial" w:hAnsi="Arial"/>
                <w:color w:val="1A2343"/>
                <w:sz w:val="15"/>
              </w:rPr>
              <w:t>Name</w:t>
            </w:r>
          </w:p>
        </w:tc>
        <w:tc>
          <w:tcPr>
            <w:tcW w:w="300" w:type="dxa"/>
            <w:tcBorders>
              <w:bottom w:val="single" w:sz="12" w:space="0" w:color="1A2343"/>
            </w:tcBorders>
            <w:shd w:fill="auto" w:val="clear"/>
            <w:tcMar>
              <w:bottom w:w="40" w:type="dxa"/>
            </w:tcMar>
            <w:vAlign w:val="center"/>
          </w:tcPr>
          <w:p>
            <w:pPr>
              <w:pStyle w:val="TableContents"/>
              <w:spacing w:before="0" w:after="283"/>
              <w:jc w:val="right"/>
              <w:rPr/>
            </w:pPr>
            <w:r>
              <w:rPr/>
              <w:t>     </w:t>
            </w:r>
          </w:p>
        </w:tc>
        <w:tc>
          <w:tcPr>
            <w:tcW w:w="1315" w:type="dxa"/>
            <w:gridSpan w:val="2"/>
            <w:tcBorders>
              <w:bottom w:val="single" w:sz="12" w:space="0" w:color="1A2343"/>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All Other</w:t>
              <w:br/>
              <w:t>Compensation ($)</w:t>
            </w:r>
          </w:p>
        </w:tc>
      </w:tr>
      <w:tr>
        <w:trPr/>
        <w:tc>
          <w:tcPr>
            <w:tcW w:w="360" w:type="dxa"/>
            <w:tcBorders/>
            <w:shd w:fill="auto" w:val="clear"/>
            <w:vAlign w:val="center"/>
          </w:tcPr>
          <w:p>
            <w:pPr>
              <w:pStyle w:val="TableContents"/>
              <w:spacing w:before="0" w:after="283"/>
              <w:rPr>
                <w:sz w:val="4"/>
                <w:szCs w:val="4"/>
              </w:rPr>
            </w:pPr>
            <w:r>
              <w:rPr>
                <w:sz w:val="4"/>
                <w:szCs w:val="4"/>
              </w:rPr>
            </w:r>
          </w:p>
        </w:tc>
        <w:tc>
          <w:tcPr>
            <w:tcW w:w="150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15"/>
              </w:rPr>
            </w:pPr>
            <w:r>
              <w:rPr>
                <w:rFonts w:ascii="Arial" w:hAnsi="Arial"/>
                <w:b/>
                <w:color w:val="1A2343"/>
                <w:sz w:val="15"/>
              </w:rPr>
              <w:t>Marc Holliday</w:t>
            </w:r>
          </w:p>
        </w:tc>
        <w:tc>
          <w:tcPr>
            <w:tcW w:w="300"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65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            </w:t>
            </w:r>
          </w:p>
        </w:tc>
        <w:tc>
          <w:tcPr>
            <w:tcW w:w="66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75,060</w:t>
            </w:r>
            <w:r>
              <w:rPr>
                <w:rFonts w:ascii="Arial" w:hAnsi="Arial"/>
                <w:position w:val="5"/>
                <w:sz w:val="12"/>
                <w:sz w:val="15"/>
              </w:rPr>
              <w:t>(a)</w:t>
            </w:r>
          </w:p>
        </w:tc>
      </w:tr>
      <w:tr>
        <w:trPr/>
        <w:tc>
          <w:tcPr>
            <w:tcW w:w="360" w:type="dxa"/>
            <w:tcBorders/>
            <w:shd w:fill="auto" w:val="clear"/>
            <w:vAlign w:val="center"/>
          </w:tcPr>
          <w:p>
            <w:pPr>
              <w:pStyle w:val="TableContents"/>
              <w:spacing w:before="0" w:after="283"/>
              <w:rPr>
                <w:sz w:val="4"/>
                <w:szCs w:val="4"/>
              </w:rPr>
            </w:pPr>
            <w:r>
              <w:rPr>
                <w:sz w:val="4"/>
                <w:szCs w:val="4"/>
              </w:rPr>
            </w:r>
          </w:p>
        </w:tc>
        <w:tc>
          <w:tcPr>
            <w:tcW w:w="150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15"/>
              </w:rPr>
            </w:pPr>
            <w:r>
              <w:rPr>
                <w:rFonts w:ascii="Arial" w:hAnsi="Arial"/>
                <w:b/>
                <w:color w:val="1A2343"/>
                <w:sz w:val="15"/>
              </w:rPr>
              <w:t>Andrew Mathias</w:t>
            </w:r>
          </w:p>
        </w:tc>
        <w:tc>
          <w:tcPr>
            <w:tcW w:w="300"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65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c>
          <w:tcPr>
            <w:tcW w:w="66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55,570</w:t>
            </w:r>
            <w:r>
              <w:rPr>
                <w:rFonts w:ascii="Arial" w:hAnsi="Arial"/>
                <w:position w:val="5"/>
                <w:sz w:val="12"/>
                <w:sz w:val="15"/>
              </w:rPr>
              <w:t>(b)</w:t>
            </w:r>
          </w:p>
        </w:tc>
      </w:tr>
      <w:tr>
        <w:trPr/>
        <w:tc>
          <w:tcPr>
            <w:tcW w:w="360" w:type="dxa"/>
            <w:tcBorders/>
            <w:shd w:fill="auto" w:val="clear"/>
            <w:vAlign w:val="center"/>
          </w:tcPr>
          <w:p>
            <w:pPr>
              <w:pStyle w:val="TableContents"/>
              <w:spacing w:before="0" w:after="283"/>
              <w:rPr>
                <w:sz w:val="4"/>
                <w:szCs w:val="4"/>
              </w:rPr>
            </w:pPr>
            <w:r>
              <w:rPr>
                <w:sz w:val="4"/>
                <w:szCs w:val="4"/>
              </w:rPr>
            </w:r>
          </w:p>
        </w:tc>
        <w:tc>
          <w:tcPr>
            <w:tcW w:w="150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15"/>
              </w:rPr>
            </w:pPr>
            <w:r>
              <w:rPr>
                <w:rFonts w:ascii="Arial" w:hAnsi="Arial"/>
                <w:b/>
                <w:color w:val="1A2343"/>
                <w:sz w:val="15"/>
              </w:rPr>
              <w:t>Matthew J. DiLiberto</w:t>
            </w:r>
          </w:p>
        </w:tc>
        <w:tc>
          <w:tcPr>
            <w:tcW w:w="300"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65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c>
          <w:tcPr>
            <w:tcW w:w="66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12,200</w:t>
            </w:r>
            <w:r>
              <w:rPr>
                <w:rFonts w:ascii="Arial" w:hAnsi="Arial"/>
                <w:position w:val="5"/>
                <w:sz w:val="12"/>
                <w:sz w:val="15"/>
              </w:rPr>
              <w:t>(c)</w:t>
            </w:r>
          </w:p>
        </w:tc>
      </w:tr>
      <w:tr>
        <w:trPr/>
        <w:tc>
          <w:tcPr>
            <w:tcW w:w="360" w:type="dxa"/>
            <w:tcBorders/>
            <w:shd w:fill="auto" w:val="clear"/>
            <w:vAlign w:val="center"/>
          </w:tcPr>
          <w:p>
            <w:pPr>
              <w:pStyle w:val="TableContents"/>
              <w:spacing w:before="0" w:after="283"/>
              <w:rPr>
                <w:sz w:val="4"/>
                <w:szCs w:val="4"/>
              </w:rPr>
            </w:pPr>
            <w:r>
              <w:rPr>
                <w:sz w:val="4"/>
                <w:szCs w:val="4"/>
              </w:rPr>
            </w:r>
          </w:p>
        </w:tc>
        <w:tc>
          <w:tcPr>
            <w:tcW w:w="1505" w:type="dxa"/>
            <w:tcBorders>
              <w:bottom w:val="single" w:sz="12" w:space="0" w:color="1A2343"/>
            </w:tcBorders>
            <w:shd w:fill="auto" w:val="clear"/>
            <w:tcMar>
              <w:bottom w:w="28" w:type="dxa"/>
            </w:tcMar>
            <w:vAlign w:val="center"/>
          </w:tcPr>
          <w:p>
            <w:pPr>
              <w:pStyle w:val="TableContents"/>
              <w:spacing w:before="0" w:after="283"/>
              <w:jc w:val="left"/>
              <w:rPr>
                <w:rFonts w:ascii="Arial" w:hAnsi="Arial"/>
                <w:b/>
                <w:color w:val="1A2343"/>
                <w:sz w:val="15"/>
              </w:rPr>
            </w:pPr>
            <w:r>
              <w:rPr>
                <w:rFonts w:ascii="Arial" w:hAnsi="Arial"/>
                <w:b/>
                <w:color w:val="1A2343"/>
                <w:sz w:val="15"/>
              </w:rPr>
              <w:t>Andrew S. Levine</w:t>
            </w:r>
          </w:p>
        </w:tc>
        <w:tc>
          <w:tcPr>
            <w:tcW w:w="300"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c>
          <w:tcPr>
            <w:tcW w:w="650" w:type="dxa"/>
            <w:tcBorders>
              <w:bottom w:val="single" w:sz="12" w:space="0" w:color="1A2343"/>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c>
          <w:tcPr>
            <w:tcW w:w="66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12,200</w:t>
            </w:r>
            <w:r>
              <w:rPr>
                <w:rFonts w:ascii="Arial" w:hAnsi="Arial"/>
                <w:position w:val="5"/>
                <w:sz w:val="12"/>
                <w:sz w:val="15"/>
              </w:rPr>
              <w:t>(c)</w:t>
            </w:r>
          </w:p>
        </w:tc>
      </w:tr>
    </w:tbl>
    <w:tbl>
      <w:tblPr>
        <w:tblW w:w="10205" w:type="dxa"/>
        <w:jc w:val="left"/>
        <w:tblInd w:w="0" w:type="dxa"/>
        <w:tblCellMar>
          <w:top w:w="0" w:type="dxa"/>
          <w:left w:w="0" w:type="dxa"/>
          <w:bottom w:w="0" w:type="dxa"/>
          <w:right w:w="0" w:type="dxa"/>
        </w:tblCellMar>
      </w:tblPr>
      <w:tblGrid>
        <w:gridCol w:w="360"/>
        <w:gridCol w:w="167"/>
        <w:gridCol w:w="9678"/>
      </w:tblGrid>
      <w:tr>
        <w:trPr/>
        <w:tc>
          <w:tcPr>
            <w:tcW w:w="3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rFonts w:ascii="Arial" w:hAnsi="Arial"/>
                <w:sz w:val="15"/>
              </w:rPr>
            </w:pPr>
            <w:r>
              <w:rPr>
                <w:rFonts w:ascii="Arial" w:hAnsi="Arial"/>
                <w:sz w:val="15"/>
              </w:rPr>
              <w:t>(a)</w:t>
            </w:r>
          </w:p>
        </w:tc>
        <w:tc>
          <w:tcPr>
            <w:tcW w:w="9678" w:type="dxa"/>
            <w:tcBorders/>
            <w:shd w:fill="auto" w:val="clear"/>
            <w:vAlign w:val="center"/>
          </w:tcPr>
          <w:p>
            <w:pPr>
              <w:pStyle w:val="TableContents"/>
              <w:spacing w:before="0" w:after="283"/>
              <w:jc w:val="left"/>
              <w:rPr>
                <w:rFonts w:ascii="Arial" w:hAnsi="Arial"/>
                <w:sz w:val="15"/>
              </w:rPr>
            </w:pPr>
            <w:r>
              <w:rPr>
                <w:rFonts w:ascii="Arial" w:hAnsi="Arial"/>
                <w:sz w:val="15"/>
              </w:rPr>
              <w:t>Represents (i) the Company’s matching contributions with respect to amounts earned by the named executive officer under our 401(k) plan ($12,200), (ii) car benefits, constituting the depreciation expensed recognized on a company-owned car plus insurance premiums ($41,643) and (iii) life insurance premiums ($21,217). The Company’s 401(k) matching contributions are credited in the year subsequent to which employees make their contributions.</w:t>
            </w:r>
          </w:p>
        </w:tc>
      </w:tr>
      <w:tr>
        <w:trPr/>
        <w:tc>
          <w:tcPr>
            <w:tcW w:w="3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rFonts w:ascii="Arial" w:hAnsi="Arial"/>
                <w:sz w:val="15"/>
              </w:rPr>
            </w:pPr>
            <w:r>
              <w:rPr>
                <w:rFonts w:ascii="Arial" w:hAnsi="Arial"/>
                <w:sz w:val="15"/>
              </w:rPr>
              <w:t>(b)</w:t>
            </w:r>
          </w:p>
        </w:tc>
        <w:tc>
          <w:tcPr>
            <w:tcW w:w="9678" w:type="dxa"/>
            <w:tcBorders/>
            <w:shd w:fill="auto" w:val="clear"/>
            <w:vAlign w:val="center"/>
          </w:tcPr>
          <w:p>
            <w:pPr>
              <w:pStyle w:val="TableContents"/>
              <w:spacing w:before="0" w:after="283"/>
              <w:jc w:val="left"/>
              <w:rPr>
                <w:rFonts w:ascii="Arial" w:hAnsi="Arial"/>
                <w:sz w:val="15"/>
              </w:rPr>
            </w:pPr>
            <w:r>
              <w:rPr>
                <w:rFonts w:ascii="Arial" w:hAnsi="Arial"/>
                <w:sz w:val="15"/>
              </w:rPr>
              <w:t>Represents (i) the Company’s matching contributions with respect to amounts earned by the named executive officer under our 401(k) plan ($12,200) and (ii) car benefits, constituting the depreciation expense recognized on a company-owned car, plus insurance premiums ($43,370). The Company’s 401(k) matching contributions are credited in the year subsequent to which employees make their contributions.</w:t>
            </w:r>
          </w:p>
        </w:tc>
      </w:tr>
      <w:tr>
        <w:trPr/>
        <w:tc>
          <w:tcPr>
            <w:tcW w:w="3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rFonts w:ascii="Arial" w:hAnsi="Arial"/>
                <w:sz w:val="15"/>
              </w:rPr>
            </w:pPr>
            <w:r>
              <w:rPr>
                <w:rFonts w:ascii="Arial" w:hAnsi="Arial"/>
                <w:sz w:val="15"/>
              </w:rPr>
              <w:t>(c)</w:t>
            </w:r>
          </w:p>
        </w:tc>
        <w:tc>
          <w:tcPr>
            <w:tcW w:w="9678" w:type="dxa"/>
            <w:tcBorders/>
            <w:shd w:fill="auto" w:val="clear"/>
            <w:vAlign w:val="center"/>
          </w:tcPr>
          <w:p>
            <w:pPr>
              <w:pStyle w:val="TableContents"/>
              <w:spacing w:before="0" w:after="283"/>
              <w:jc w:val="left"/>
              <w:rPr>
                <w:rFonts w:ascii="Arial" w:hAnsi="Arial"/>
                <w:sz w:val="15"/>
              </w:rPr>
            </w:pPr>
            <w:r>
              <w:rPr>
                <w:rFonts w:ascii="Arial" w:hAnsi="Arial"/>
                <w:sz w:val="15"/>
              </w:rPr>
              <w:t>Represents the Company’s matching contributions with respect to amounts earned by the named executive officer under our 401(k) plan ($12,200). The Company’s 401(k) matching contributions are credited in the year subsequent to which employees make their contributions.</w:t>
            </w:r>
          </w:p>
        </w:tc>
      </w:tr>
    </w:tbl>
    <w:p>
      <w:pPr>
        <w:pStyle w:val="HorizontalLine"/>
        <w:rPr/>
      </w:pPr>
      <w:r>
        <w:rPr/>
      </w:r>
    </w:p>
    <w:p>
      <w:pPr>
        <w:pStyle w:val="TextBody"/>
        <w:jc w:val="left"/>
        <w:rPr/>
      </w:pPr>
      <w:hyperlink w:anchor="toc">
        <w:r>
          <w:rPr>
            <w:rStyle w:val="InternetLink"/>
            <w:rFonts w:ascii="Arial" w:hAnsi="Arial"/>
            <w:b/>
            <w:sz w:val="20"/>
          </w:rPr>
          <w:t>Table of Contents</w:t>
        </w:r>
      </w:hyperlink>
    </w:p>
    <w:tbl>
      <w:tblPr>
        <w:tblW w:w="2455" w:type="dxa"/>
        <w:jc w:val="left"/>
        <w:tblInd w:w="0" w:type="dxa"/>
        <w:tblCellMar>
          <w:top w:w="0" w:type="dxa"/>
          <w:left w:w="0" w:type="dxa"/>
          <w:bottom w:w="0" w:type="dxa"/>
          <w:right w:w="0" w:type="dxa"/>
        </w:tblCellMar>
      </w:tblPr>
      <w:tblGrid>
        <w:gridCol w:w="2165"/>
        <w:gridCol w:w="290"/>
      </w:tblGrid>
      <w:tr>
        <w:trPr/>
        <w:tc>
          <w:tcPr>
            <w:tcW w:w="2165" w:type="dxa"/>
            <w:tcBorders/>
            <w:shd w:fill="auto" w:val="clear"/>
            <w:vAlign w:val="center"/>
          </w:tcPr>
          <w:p>
            <w:pPr>
              <w:pStyle w:val="TableContents"/>
              <w:spacing w:before="0" w:after="283"/>
              <w:jc w:val="left"/>
              <w:rPr>
                <w:rFonts w:ascii="Arial" w:hAnsi="Arial"/>
                <w:b/>
                <w:sz w:val="15"/>
              </w:rPr>
            </w:pPr>
            <w:r>
              <w:rPr>
                <w:rFonts w:ascii="Arial" w:hAnsi="Arial"/>
                <w:b/>
                <w:sz w:val="15"/>
              </w:rPr>
              <w:t>EXECUTIVE COMPENSATION</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67</w:t>
            </w:r>
          </w:p>
        </w:tc>
      </w:tr>
    </w:tbl>
    <w:p>
      <w:pPr>
        <w:pStyle w:val="TextBody"/>
        <w:spacing w:before="240" w:after="283"/>
        <w:jc w:val="left"/>
        <w:rPr>
          <w:rFonts w:ascii="Arial" w:hAnsi="Arial"/>
          <w:b/>
          <w:color w:val="1A2343"/>
          <w:sz w:val="26"/>
        </w:rPr>
      </w:pPr>
      <w:r>
        <w:rPr>
          <w:rFonts w:ascii="Arial" w:hAnsi="Arial"/>
          <w:b/>
          <w:color w:val="1A2343"/>
          <w:sz w:val="26"/>
        </w:rPr>
        <w:t>2022 Grants of Plan-Based Awards</w:t>
      </w:r>
    </w:p>
    <w:p>
      <w:pPr>
        <w:pStyle w:val="TextBody"/>
        <w:jc w:val="left"/>
        <w:rPr>
          <w:rFonts w:ascii="Arial" w:hAnsi="Arial"/>
          <w:sz w:val="20"/>
        </w:rPr>
      </w:pPr>
      <w:r>
        <w:rPr>
          <w:rFonts w:ascii="Arial" w:hAnsi="Arial"/>
          <w:sz w:val="20"/>
        </w:rPr>
        <w:t>The following table sets forth certain information with respect to each grant of an award made to a named executive officer in the fiscal year ended December 31, 2022.</w:t>
      </w:r>
    </w:p>
    <w:tbl>
      <w:tblPr>
        <w:tblW w:w="10205" w:type="dxa"/>
        <w:jc w:val="left"/>
        <w:tblInd w:w="0" w:type="dxa"/>
        <w:tblCellMar>
          <w:top w:w="0" w:type="dxa"/>
          <w:left w:w="0" w:type="dxa"/>
          <w:bottom w:w="0" w:type="dxa"/>
          <w:right w:w="0" w:type="dxa"/>
        </w:tblCellMar>
      </w:tblPr>
      <w:tblGrid>
        <w:gridCol w:w="865"/>
        <w:gridCol w:w="120"/>
        <w:gridCol w:w="533"/>
        <w:gridCol w:w="120"/>
        <w:gridCol w:w="692"/>
        <w:gridCol w:w="120"/>
        <w:gridCol w:w="710"/>
        <w:gridCol w:w="151"/>
        <w:gridCol w:w="120"/>
        <w:gridCol w:w="830"/>
        <w:gridCol w:w="151"/>
        <w:gridCol w:w="120"/>
        <w:gridCol w:w="830"/>
        <w:gridCol w:w="151"/>
        <w:gridCol w:w="120"/>
        <w:gridCol w:w="710"/>
        <w:gridCol w:w="151"/>
        <w:gridCol w:w="120"/>
        <w:gridCol w:w="605"/>
        <w:gridCol w:w="151"/>
        <w:gridCol w:w="120"/>
        <w:gridCol w:w="665"/>
        <w:gridCol w:w="151"/>
        <w:gridCol w:w="120"/>
        <w:gridCol w:w="610"/>
        <w:gridCol w:w="170"/>
        <w:gridCol w:w="120"/>
        <w:gridCol w:w="110"/>
        <w:gridCol w:w="740"/>
        <w:gridCol w:w="29"/>
      </w:tblGrid>
      <w:tr>
        <w:trPr/>
        <w:tc>
          <w:tcPr>
            <w:tcW w:w="8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12" w:type="dxa"/>
            <w:gridSpan w:val="7"/>
            <w:tcBorders>
              <w:bottom w:val="single" w:sz="12" w:space="0" w:color="1A2343"/>
            </w:tcBorders>
            <w:shd w:fill="auto" w:val="clear"/>
            <w:tcMar>
              <w:bottom w:w="40" w:type="dxa"/>
            </w:tcMar>
            <w:vAlign w:val="center"/>
          </w:tcPr>
          <w:p>
            <w:pPr>
              <w:pStyle w:val="TableContents"/>
              <w:spacing w:before="0" w:after="283"/>
              <w:jc w:val="center"/>
              <w:rPr>
                <w:rFonts w:ascii="Arial" w:hAnsi="Arial"/>
                <w:color w:val="1A2343"/>
                <w:sz w:val="15"/>
              </w:rPr>
            </w:pPr>
            <w:r>
              <w:rPr>
                <w:rFonts w:ascii="Arial" w:hAnsi="Arial"/>
                <w:color w:val="1A2343"/>
                <w:sz w:val="15"/>
              </w:rPr>
              <w:br/>
              <w:br/>
              <w:br/>
              <w:br/>
              <w:t>Estimated Possible Payouts Under</w:t>
              <w:br/>
              <w:t>Non-Equity Incentive Plan Awards</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22" w:type="dxa"/>
            <w:gridSpan w:val="7"/>
            <w:tcBorders>
              <w:bottom w:val="single" w:sz="12" w:space="0" w:color="1A2343"/>
            </w:tcBorders>
            <w:shd w:fill="auto" w:val="clear"/>
            <w:tcMar>
              <w:bottom w:w="40" w:type="dxa"/>
            </w:tcMar>
            <w:vAlign w:val="center"/>
          </w:tcPr>
          <w:p>
            <w:pPr>
              <w:pStyle w:val="TableContents"/>
              <w:spacing w:before="0" w:after="283"/>
              <w:jc w:val="center"/>
              <w:rPr>
                <w:color w:val="1A2343"/>
              </w:rPr>
            </w:pPr>
            <w:r>
              <w:rPr>
                <w:color w:val="1A2343"/>
              </w:rPr>
              <w:t> </w:t>
            </w:r>
            <w:r>
              <w:rPr>
                <w:rFonts w:ascii="Arial" w:hAnsi="Arial"/>
                <w:color w:val="1A2343"/>
                <w:sz w:val="15"/>
              </w:rPr>
              <w:br/>
              <w:t>Estimated Future Payouts Under</w:t>
              <w:br/>
              <w:t>Equity Incentive Plan Awards</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left"/>
              <w:rPr/>
            </w:pPr>
            <w:r>
              <w:rPr/>
              <w:t>  </w:t>
            </w:r>
          </w:p>
        </w:tc>
        <w:tc>
          <w:tcPr>
            <w:tcW w:w="610" w:type="dxa"/>
            <w:vMerge w:val="restart"/>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11741"/>
                <w:sz w:val="15"/>
              </w:rPr>
            </w:pPr>
            <w:r>
              <w:rPr>
                <w:rFonts w:ascii="Arial" w:hAnsi="Arial"/>
                <w:color w:val="111741"/>
                <w:sz w:val="15"/>
              </w:rPr>
              <w:t>All Other</w:t>
              <w:br/>
              <w:t>Stock</w:t>
              <w:br/>
              <w:t>Awards:</w:t>
              <w:br/>
              <w:t>Number</w:t>
              <w:br/>
              <w:t>of Shares</w:t>
              <w:br/>
              <w:t>of Stock</w:t>
              <w:br/>
              <w:t>or Units</w:t>
              <w:br/>
              <w:t>(#)</w:t>
            </w:r>
          </w:p>
        </w:tc>
        <w:tc>
          <w:tcPr>
            <w:tcW w:w="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50" w:type="dxa"/>
            <w:gridSpan w:val="2"/>
            <w:vMerge w:val="restart"/>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11741"/>
                <w:sz w:val="15"/>
              </w:rPr>
            </w:pPr>
            <w:r>
              <w:rPr>
                <w:rFonts w:ascii="Arial" w:hAnsi="Arial"/>
                <w:color w:val="111741"/>
                <w:sz w:val="15"/>
              </w:rPr>
              <w:t>Grant</w:t>
              <w:br/>
              <w:t>Date Fair</w:t>
              <w:br/>
              <w:t>Value of</w:t>
              <w:br/>
              <w:t>Stock and</w:t>
              <w:br/>
              <w:t>Option</w:t>
              <w:br/>
              <w:t>Awards</w:t>
              <w:br/>
              <w:t>($)</w:t>
            </w:r>
          </w:p>
        </w:tc>
        <w:tc>
          <w:tcPr>
            <w:tcW w:w="29" w:type="dxa"/>
            <w:tcBorders/>
            <w:shd w:fill="auto" w:val="clear"/>
          </w:tcPr>
          <w:p>
            <w:pPr>
              <w:pStyle w:val="TableContents"/>
              <w:spacing w:before="0" w:after="283"/>
              <w:rPr>
                <w:sz w:val="4"/>
                <w:szCs w:val="4"/>
              </w:rPr>
            </w:pPr>
            <w:r>
              <w:rPr>
                <w:sz w:val="4"/>
                <w:szCs w:val="4"/>
              </w:rPr>
            </w:r>
          </w:p>
        </w:tc>
      </w:tr>
      <w:tr>
        <w:trPr/>
        <w:tc>
          <w:tcPr>
            <w:tcW w:w="865" w:type="dxa"/>
            <w:tcBorders>
              <w:bottom w:val="single" w:sz="12" w:space="0" w:color="1A2343"/>
            </w:tcBorders>
            <w:shd w:fill="auto" w:val="clear"/>
            <w:tcMar>
              <w:bottom w:w="40" w:type="dxa"/>
            </w:tcMar>
            <w:vAlign w:val="center"/>
          </w:tcPr>
          <w:p>
            <w:pPr>
              <w:pStyle w:val="TableContents"/>
              <w:spacing w:before="0" w:after="283"/>
              <w:jc w:val="left"/>
              <w:rPr>
                <w:rFonts w:ascii="Arial" w:hAnsi="Arial"/>
                <w:color w:val="1A2343"/>
                <w:sz w:val="15"/>
              </w:rPr>
            </w:pPr>
            <w:r>
              <w:rPr>
                <w:rFonts w:ascii="Arial" w:hAnsi="Arial"/>
                <w:color w:val="1A2343"/>
                <w:sz w:val="15"/>
              </w:rPr>
              <w:t>Name</w:t>
            </w:r>
          </w:p>
        </w:tc>
        <w:tc>
          <w:tcPr>
            <w:tcW w:w="120" w:type="dxa"/>
            <w:tcBorders/>
            <w:shd w:fill="auto" w:val="clear"/>
            <w:vAlign w:val="center"/>
          </w:tcPr>
          <w:p>
            <w:pPr>
              <w:pStyle w:val="TableContents"/>
              <w:spacing w:before="0" w:after="283"/>
              <w:jc w:val="right"/>
              <w:rPr/>
            </w:pPr>
            <w:r>
              <w:rPr/>
              <w:t>  </w:t>
            </w:r>
          </w:p>
        </w:tc>
        <w:tc>
          <w:tcPr>
            <w:tcW w:w="533"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Grant Date</w:t>
            </w:r>
          </w:p>
        </w:tc>
        <w:tc>
          <w:tcPr>
            <w:tcW w:w="120" w:type="dxa"/>
            <w:tcBorders/>
            <w:shd w:fill="auto" w:val="clear"/>
            <w:vAlign w:val="center"/>
          </w:tcPr>
          <w:p>
            <w:pPr>
              <w:pStyle w:val="TableContents"/>
              <w:spacing w:before="0" w:after="283"/>
              <w:jc w:val="right"/>
              <w:rPr/>
            </w:pPr>
            <w:r>
              <w:rPr/>
              <w:t>  </w:t>
            </w:r>
          </w:p>
        </w:tc>
        <w:tc>
          <w:tcPr>
            <w:tcW w:w="692"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Approval</w:t>
              <w:br/>
              <w:t>Date</w:t>
            </w:r>
          </w:p>
        </w:tc>
        <w:tc>
          <w:tcPr>
            <w:tcW w:w="120" w:type="dxa"/>
            <w:tcBorders/>
            <w:shd w:fill="auto" w:val="clear"/>
            <w:vAlign w:val="center"/>
          </w:tcPr>
          <w:p>
            <w:pPr>
              <w:pStyle w:val="TableContents"/>
              <w:spacing w:before="0" w:after="283"/>
              <w:jc w:val="right"/>
              <w:rPr/>
            </w:pPr>
            <w:r>
              <w:rPr/>
              <w:t>  </w:t>
            </w:r>
          </w:p>
        </w:tc>
        <w:tc>
          <w:tcPr>
            <w:tcW w:w="71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Threshold</w:t>
              <w:b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right"/>
              <w:rPr/>
            </w:pPr>
            <w:r>
              <w:rPr/>
              <w:t>  </w:t>
            </w:r>
          </w:p>
        </w:tc>
        <w:tc>
          <w:tcPr>
            <w:tcW w:w="83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Target</w:t>
              <w:b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right"/>
              <w:rPr/>
            </w:pPr>
            <w:r>
              <w:rPr/>
              <w:t>  </w:t>
            </w:r>
          </w:p>
        </w:tc>
        <w:tc>
          <w:tcPr>
            <w:tcW w:w="83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Maximum</w:t>
              <w:b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right"/>
              <w:rPr/>
            </w:pPr>
            <w:r>
              <w:rPr/>
              <w:t>  </w:t>
            </w:r>
          </w:p>
        </w:tc>
        <w:tc>
          <w:tcPr>
            <w:tcW w:w="71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Threshold</w:t>
              <w:b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left"/>
              <w:rPr/>
            </w:pPr>
            <w:r>
              <w:rPr/>
              <w:t>  </w:t>
            </w:r>
          </w:p>
        </w:tc>
        <w:tc>
          <w:tcPr>
            <w:tcW w:w="605"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Target</w:t>
              <w:b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left"/>
              <w:rPr/>
            </w:pPr>
            <w:r>
              <w:rPr/>
              <w:t>  </w:t>
            </w:r>
          </w:p>
        </w:tc>
        <w:tc>
          <w:tcPr>
            <w:tcW w:w="665"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Maximum</w:t>
              <w:b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0" w:type="dxa"/>
            <w:vMerge w:val="continue"/>
            <w:tcBorders>
              <w:bottom w:val="single" w:sz="12" w:space="0" w:color="1A2343"/>
            </w:tcBorders>
            <w:shd w:fill="auto" w:val="clear"/>
            <w:tcMar>
              <w:bottom w:w="40" w:type="dxa"/>
            </w:tcMar>
            <w:vAlign w:val="center"/>
          </w:tcPr>
          <w:p>
            <w:pPr>
              <w:pStyle w:val="Normal"/>
              <w:rPr/>
            </w:pPr>
            <w:r>
              <w:rPr/>
            </w:r>
          </w:p>
        </w:tc>
        <w:tc>
          <w:tcPr>
            <w:tcW w:w="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left"/>
              <w:rPr/>
            </w:pPr>
            <w:r>
              <w:rPr/>
              <w:t>  </w:t>
            </w:r>
          </w:p>
        </w:tc>
        <w:tc>
          <w:tcPr>
            <w:tcW w:w="850" w:type="dxa"/>
            <w:gridSpan w:val="2"/>
            <w:vMerge w:val="continue"/>
            <w:tcBorders>
              <w:bottom w:val="single" w:sz="12" w:space="0" w:color="1A2343"/>
            </w:tcBorders>
            <w:shd w:fill="auto" w:val="clear"/>
            <w:tcMar>
              <w:bottom w:w="40" w:type="dxa"/>
            </w:tcMar>
            <w:vAlign w:val="center"/>
          </w:tcPr>
          <w:p>
            <w:pPr>
              <w:pStyle w:val="Normal"/>
              <w:rPr/>
            </w:pPr>
            <w:r>
              <w:rPr/>
            </w:r>
          </w:p>
        </w:tc>
        <w:tc>
          <w:tcPr>
            <w:tcW w:w="29" w:type="dxa"/>
            <w:tcBorders/>
            <w:shd w:fill="auto" w:val="clear"/>
            <w:vAlign w:val="center"/>
          </w:tcPr>
          <w:p>
            <w:pPr>
              <w:pStyle w:val="TableContents"/>
              <w:spacing w:before="0" w:after="283"/>
              <w:rPr>
                <w:sz w:val="4"/>
                <w:szCs w:val="4"/>
              </w:rPr>
            </w:pPr>
            <w:r>
              <w:rPr>
                <w:sz w:val="4"/>
                <w:szCs w:val="4"/>
              </w:rPr>
            </w:r>
          </w:p>
        </w:tc>
      </w:tr>
      <w:tr>
        <w:trPr/>
        <w:tc>
          <w:tcPr>
            <w:tcW w:w="865" w:type="dxa"/>
            <w:vMerge w:val="restart"/>
            <w:tcBorders>
              <w:bottom w:val="single" w:sz="8" w:space="0" w:color="5B5975"/>
            </w:tcBorders>
            <w:shd w:fill="auto" w:val="clear"/>
            <w:tcMar>
              <w:bottom w:w="40" w:type="dxa"/>
            </w:tcMar>
            <w:vAlign w:val="center"/>
          </w:tcPr>
          <w:p>
            <w:pPr>
              <w:pStyle w:val="TableContents"/>
              <w:spacing w:before="0" w:after="283"/>
              <w:jc w:val="left"/>
              <w:rPr>
                <w:rFonts w:ascii="Arial" w:hAnsi="Arial"/>
                <w:b/>
                <w:color w:val="1A2343"/>
                <w:sz w:val="15"/>
              </w:rPr>
            </w:pPr>
            <w:r>
              <w:rPr>
                <w:rFonts w:ascii="Arial" w:hAnsi="Arial"/>
                <w:b/>
                <w:color w:val="1A2343"/>
                <w:sz w:val="15"/>
              </w:rPr>
              <w:t>Marc Holliday</w:t>
            </w:r>
          </w:p>
        </w:tc>
        <w:tc>
          <w:tcPr>
            <w:tcW w:w="120" w:type="dxa"/>
            <w:tcBorders/>
            <w:shd w:fill="auto" w:val="clear"/>
            <w:vAlign w:val="center"/>
          </w:tcPr>
          <w:p>
            <w:pPr>
              <w:pStyle w:val="TableContents"/>
              <w:spacing w:before="0" w:after="283"/>
              <w:rPr>
                <w:sz w:val="4"/>
                <w:szCs w:val="4"/>
              </w:rPr>
            </w:pPr>
            <w:r>
              <w:rPr>
                <w:sz w:val="4"/>
                <w:szCs w:val="4"/>
              </w:rPr>
            </w:r>
          </w:p>
        </w:tc>
        <w:tc>
          <w:tcPr>
            <w:tcW w:w="533" w:type="dxa"/>
            <w:tcBorders>
              <w:bottom w:val="single" w:sz="8" w:space="0" w:color="5B5975"/>
            </w:tcBorders>
            <w:shd w:fill="F3F6EA"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F3F6EA" w:val="clear"/>
            <w:vAlign w:val="center"/>
          </w:tcPr>
          <w:p>
            <w:pPr>
              <w:pStyle w:val="TableContents"/>
              <w:spacing w:before="0" w:after="283"/>
              <w:rPr>
                <w:sz w:val="4"/>
                <w:szCs w:val="4"/>
              </w:rPr>
            </w:pPr>
            <w:r>
              <w:rPr>
                <w:sz w:val="4"/>
                <w:szCs w:val="4"/>
              </w:rPr>
            </w:r>
          </w:p>
        </w:tc>
        <w:tc>
          <w:tcPr>
            <w:tcW w:w="692" w:type="dxa"/>
            <w:tcBorders>
              <w:bottom w:val="single" w:sz="8" w:space="0" w:color="5B5975"/>
            </w:tcBorders>
            <w:shd w:fill="F3F6EA"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F3F6EA"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605"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665" w:type="dxa"/>
            <w:tcBorders>
              <w:bottom w:val="single" w:sz="8" w:space="0" w:color="5B5975"/>
            </w:tcBorders>
            <w:shd w:fill="F3F6EA" w:val="clear"/>
            <w:tcMar>
              <w:bottom w:w="40" w:type="dxa"/>
            </w:tcMar>
            <w:vAlign w:val="center"/>
          </w:tcPr>
          <w:p>
            <w:pPr>
              <w:pStyle w:val="TableContents"/>
              <w:spacing w:before="0" w:after="283"/>
              <w:jc w:val="right"/>
              <w:rPr>
                <w:color w:val="1A2343"/>
              </w:rPr>
            </w:pPr>
            <w:r>
              <w:rPr>
                <w:color w:val="1A2343"/>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610" w:type="dxa"/>
            <w:tcBorders>
              <w:bottom w:val="single" w:sz="8" w:space="0" w:color="5B5975"/>
            </w:tcBorders>
            <w:shd w:fill="F3F6EA"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61,246</w:t>
            </w:r>
          </w:p>
        </w:tc>
        <w:tc>
          <w:tcPr>
            <w:tcW w:w="170" w:type="dxa"/>
            <w:tcBorders/>
            <w:shd w:fill="F3F6EA" w:val="clear"/>
            <w:vAlign w:val="center"/>
          </w:tcPr>
          <w:p>
            <w:pPr>
              <w:pStyle w:val="TableContents"/>
              <w:spacing w:before="0" w:after="283"/>
              <w:jc w:val="left"/>
              <w:rPr>
                <w:rFonts w:ascii="Arial" w:hAnsi="Arial"/>
                <w:sz w:val="15"/>
              </w:rPr>
            </w:pPr>
            <w:r>
              <w:rPr>
                <w:rFonts w:ascii="Arial" w:hAnsi="Arial"/>
                <w:position w:val="5"/>
                <w:sz w:val="12"/>
                <w:sz w:val="15"/>
              </w:rPr>
              <w:t xml:space="preserve">(1) </w:t>
            </w:r>
            <w:r>
              <w:rPr>
                <w:rFonts w:ascii="Arial" w:hAnsi="Arial"/>
                <w:sz w:val="15"/>
              </w:rPr>
              <w:t> </w:t>
            </w:r>
          </w:p>
        </w:tc>
        <w:tc>
          <w:tcPr>
            <w:tcW w:w="120" w:type="dxa"/>
            <w:tcBorders/>
            <w:shd w:fill="F3F6EA" w:val="clear"/>
            <w:vAlign w:val="center"/>
          </w:tcPr>
          <w:p>
            <w:pPr>
              <w:pStyle w:val="TableContents"/>
              <w:spacing w:before="0" w:after="283"/>
              <w:jc w:val="left"/>
              <w:rPr/>
            </w:pPr>
            <w:r>
              <w:rPr/>
              <w:t> </w:t>
            </w:r>
          </w:p>
        </w:tc>
        <w:tc>
          <w:tcPr>
            <w:tcW w:w="110" w:type="dxa"/>
            <w:tcBorders>
              <w:bottom w:val="single" w:sz="8" w:space="0" w:color="5B5975"/>
            </w:tcBorders>
            <w:shd w:fill="F3F6EA"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F3F6EA" w:val="clear"/>
            <w:tcMar>
              <w:bottom w:w="40" w:type="dxa"/>
            </w:tcMar>
            <w:vAlign w:val="center"/>
          </w:tcPr>
          <w:p>
            <w:pPr>
              <w:pStyle w:val="TableContents"/>
              <w:spacing w:before="0" w:after="283"/>
              <w:jc w:val="right"/>
              <w:rPr>
                <w:rFonts w:ascii="Arial" w:hAnsi="Arial"/>
                <w:sz w:val="15"/>
              </w:rPr>
            </w:pPr>
            <w:r>
              <w:rPr>
                <w:rFonts w:ascii="Arial" w:hAnsi="Arial"/>
                <w:sz w:val="15"/>
              </w:rPr>
              <w:t>4,262,109</w:t>
            </w:r>
          </w:p>
        </w:tc>
        <w:tc>
          <w:tcPr>
            <w:tcW w:w="29" w:type="dxa"/>
            <w:tcBorders/>
            <w:shd w:fill="auto" w:val="clear"/>
          </w:tcPr>
          <w:p>
            <w:pPr>
              <w:pStyle w:val="TableContents"/>
              <w:spacing w:before="0" w:after="283"/>
              <w:rPr>
                <w:sz w:val="4"/>
                <w:szCs w:val="4"/>
              </w:rPr>
            </w:pPr>
            <w:r>
              <w:rPr>
                <w:sz w:val="4"/>
                <w:szCs w:val="4"/>
              </w:rPr>
            </w:r>
          </w:p>
        </w:tc>
      </w:tr>
      <w:tr>
        <w:trPr/>
        <w:tc>
          <w:tcPr>
            <w:tcW w:w="865" w:type="dxa"/>
            <w:vMerge w:val="continue"/>
            <w:tcBorders>
              <w:bottom w:val="single" w:sz="8" w:space="0" w:color="5B5975"/>
            </w:tcBorders>
            <w:shd w:fill="auto" w:val="clear"/>
            <w:tcMar>
              <w:bottom w:w="40" w:type="dxa"/>
            </w:tcM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533"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auto" w:val="clear"/>
            <w:vAlign w:val="center"/>
          </w:tcPr>
          <w:p>
            <w:pPr>
              <w:pStyle w:val="TableContents"/>
              <w:spacing w:before="0" w:after="283"/>
              <w:rPr>
                <w:sz w:val="4"/>
                <w:szCs w:val="4"/>
              </w:rPr>
            </w:pPr>
            <w:r>
              <w:rPr>
                <w:sz w:val="4"/>
                <w:szCs w:val="4"/>
              </w:rPr>
            </w:r>
          </w:p>
        </w:tc>
        <w:tc>
          <w:tcPr>
            <w:tcW w:w="692"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47,640</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(2)</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60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101,632</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(2)</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665" w:type="dxa"/>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228,675</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(2)</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610"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left"/>
              <w:rPr/>
            </w:pPr>
            <w:r>
              <w:rPr/>
              <w:t> </w:t>
            </w:r>
          </w:p>
        </w:tc>
        <w:tc>
          <w:tcPr>
            <w:tcW w:w="11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9,339,258</w:t>
            </w:r>
          </w:p>
        </w:tc>
        <w:tc>
          <w:tcPr>
            <w:tcW w:w="29" w:type="dxa"/>
            <w:tcBorders/>
            <w:shd w:fill="auto" w:val="clear"/>
          </w:tcPr>
          <w:p>
            <w:pPr>
              <w:pStyle w:val="TableContents"/>
              <w:spacing w:before="0" w:after="283"/>
              <w:rPr>
                <w:sz w:val="4"/>
                <w:szCs w:val="4"/>
              </w:rPr>
            </w:pPr>
            <w:r>
              <w:rPr>
                <w:sz w:val="4"/>
                <w:szCs w:val="4"/>
              </w:rPr>
            </w:r>
          </w:p>
        </w:tc>
      </w:tr>
      <w:tr>
        <w:trPr/>
        <w:tc>
          <w:tcPr>
            <w:tcW w:w="865" w:type="dxa"/>
            <w:vMerge w:val="continue"/>
            <w:tcBorders>
              <w:bottom w:val="single" w:sz="8" w:space="0" w:color="5B5975"/>
            </w:tcBorders>
            <w:shd w:fill="auto" w:val="clear"/>
            <w:tcMar>
              <w:bottom w:w="40" w:type="dxa"/>
            </w:tcM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533"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12/12/2022</w:t>
            </w:r>
          </w:p>
        </w:tc>
        <w:tc>
          <w:tcPr>
            <w:tcW w:w="120" w:type="dxa"/>
            <w:tcBorders/>
            <w:shd w:fill="auto" w:val="clear"/>
            <w:vAlign w:val="center"/>
          </w:tcPr>
          <w:p>
            <w:pPr>
              <w:pStyle w:val="TableContents"/>
              <w:spacing w:before="0" w:after="283"/>
              <w:rPr>
                <w:sz w:val="4"/>
                <w:szCs w:val="4"/>
              </w:rPr>
            </w:pPr>
            <w:r>
              <w:rPr>
                <w:sz w:val="4"/>
                <w:szCs w:val="4"/>
              </w:rPr>
            </w:r>
          </w:p>
        </w:tc>
        <w:tc>
          <w:tcPr>
            <w:tcW w:w="692" w:type="dxa"/>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12/12/2022</w:t>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5"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0" w:type="dxa"/>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24,292</w:t>
            </w:r>
          </w:p>
        </w:tc>
        <w:tc>
          <w:tcPr>
            <w:tcW w:w="170"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 xml:space="preserve">(3) </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11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683,334</w:t>
            </w:r>
          </w:p>
        </w:tc>
        <w:tc>
          <w:tcPr>
            <w:tcW w:w="29" w:type="dxa"/>
            <w:tcBorders/>
            <w:shd w:fill="auto" w:val="clear"/>
          </w:tcPr>
          <w:p>
            <w:pPr>
              <w:pStyle w:val="TableContents"/>
              <w:spacing w:before="0" w:after="283"/>
              <w:rPr>
                <w:sz w:val="4"/>
                <w:szCs w:val="4"/>
              </w:rPr>
            </w:pPr>
            <w:r>
              <w:rPr>
                <w:sz w:val="4"/>
                <w:szCs w:val="4"/>
              </w:rPr>
            </w:r>
          </w:p>
        </w:tc>
      </w:tr>
      <w:tr>
        <w:trPr/>
        <w:tc>
          <w:tcPr>
            <w:tcW w:w="865" w:type="dxa"/>
            <w:vMerge w:val="continue"/>
            <w:tcBorders>
              <w:bottom w:val="single" w:sz="8" w:space="0" w:color="5B5975"/>
            </w:tcBorders>
            <w:shd w:fill="auto" w:val="clear"/>
            <w:tcMar>
              <w:bottom w:w="40" w:type="dxa"/>
            </w:tcM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533"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N/A</w:t>
            </w:r>
          </w:p>
        </w:tc>
        <w:tc>
          <w:tcPr>
            <w:tcW w:w="120" w:type="dxa"/>
            <w:tcBorders/>
            <w:shd w:fill="auto" w:val="clear"/>
            <w:vAlign w:val="center"/>
          </w:tcPr>
          <w:p>
            <w:pPr>
              <w:pStyle w:val="TableContents"/>
              <w:spacing w:before="0" w:after="283"/>
              <w:rPr>
                <w:sz w:val="4"/>
                <w:szCs w:val="4"/>
              </w:rPr>
            </w:pPr>
            <w:r>
              <w:rPr>
                <w:sz w:val="4"/>
                <w:szCs w:val="4"/>
              </w:rPr>
            </w:r>
          </w:p>
        </w:tc>
        <w:tc>
          <w:tcPr>
            <w:tcW w:w="692"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N/A</w:t>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$625,000</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(4)</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$2,500,000</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(4)</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$3,750,000</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(4)</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71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5"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0"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left"/>
              <w:rPr/>
            </w:pPr>
            <w:r>
              <w:rPr/>
              <w:t> </w:t>
            </w:r>
          </w:p>
        </w:tc>
        <w:tc>
          <w:tcPr>
            <w:tcW w:w="11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4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29" w:type="dxa"/>
            <w:tcBorders/>
            <w:shd w:fill="auto" w:val="clear"/>
          </w:tcPr>
          <w:p>
            <w:pPr>
              <w:pStyle w:val="TableContents"/>
              <w:spacing w:before="0" w:after="283"/>
              <w:rPr>
                <w:sz w:val="4"/>
                <w:szCs w:val="4"/>
              </w:rPr>
            </w:pPr>
            <w:r>
              <w:rPr>
                <w:sz w:val="4"/>
                <w:szCs w:val="4"/>
              </w:rPr>
            </w:r>
          </w:p>
        </w:tc>
      </w:tr>
      <w:tr>
        <w:trPr/>
        <w:tc>
          <w:tcPr>
            <w:tcW w:w="865" w:type="dxa"/>
            <w:vMerge w:val="restart"/>
            <w:tcBorders>
              <w:bottom w:val="single" w:sz="8" w:space="0" w:color="5B5975"/>
            </w:tcBorders>
            <w:shd w:fill="auto" w:val="clear"/>
            <w:tcMar>
              <w:bottom w:w="40" w:type="dxa"/>
            </w:tcMar>
            <w:vAlign w:val="center"/>
          </w:tcPr>
          <w:p>
            <w:pPr>
              <w:pStyle w:val="TableContents"/>
              <w:spacing w:before="0" w:after="283"/>
              <w:jc w:val="left"/>
              <w:rPr>
                <w:rFonts w:ascii="Arial" w:hAnsi="Arial"/>
                <w:b/>
                <w:color w:val="1A2343"/>
                <w:sz w:val="15"/>
              </w:rPr>
            </w:pPr>
            <w:r>
              <w:rPr>
                <w:rFonts w:ascii="Arial" w:hAnsi="Arial"/>
                <w:b/>
                <w:color w:val="1A2343"/>
                <w:sz w:val="15"/>
              </w:rPr>
              <w:t>Andrew Mathias</w:t>
            </w:r>
          </w:p>
        </w:tc>
        <w:tc>
          <w:tcPr>
            <w:tcW w:w="120" w:type="dxa"/>
            <w:tcBorders/>
            <w:shd w:fill="auto" w:val="clear"/>
            <w:vAlign w:val="center"/>
          </w:tcPr>
          <w:p>
            <w:pPr>
              <w:pStyle w:val="TableContents"/>
              <w:spacing w:before="0" w:after="283"/>
              <w:rPr>
                <w:sz w:val="4"/>
                <w:szCs w:val="4"/>
              </w:rPr>
            </w:pPr>
            <w:r>
              <w:rPr>
                <w:sz w:val="4"/>
                <w:szCs w:val="4"/>
              </w:rPr>
            </w:r>
          </w:p>
        </w:tc>
        <w:tc>
          <w:tcPr>
            <w:tcW w:w="533" w:type="dxa"/>
            <w:tcBorders>
              <w:bottom w:val="single" w:sz="8" w:space="0" w:color="5B5975"/>
            </w:tcBorders>
            <w:shd w:fill="F3F6EA"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F3F6EA" w:val="clear"/>
            <w:vAlign w:val="center"/>
          </w:tcPr>
          <w:p>
            <w:pPr>
              <w:pStyle w:val="TableContents"/>
              <w:spacing w:before="0" w:after="283"/>
              <w:rPr>
                <w:sz w:val="4"/>
                <w:szCs w:val="4"/>
              </w:rPr>
            </w:pPr>
            <w:r>
              <w:rPr>
                <w:sz w:val="4"/>
                <w:szCs w:val="4"/>
              </w:rPr>
            </w:r>
          </w:p>
        </w:tc>
        <w:tc>
          <w:tcPr>
            <w:tcW w:w="692" w:type="dxa"/>
            <w:tcBorders>
              <w:bottom w:val="single" w:sz="8" w:space="0" w:color="5B5975"/>
            </w:tcBorders>
            <w:shd w:fill="F3F6EA"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F3F6EA"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605"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665" w:type="dxa"/>
            <w:tcBorders>
              <w:bottom w:val="single" w:sz="8" w:space="0" w:color="5B5975"/>
            </w:tcBorders>
            <w:shd w:fill="F3F6EA" w:val="clear"/>
            <w:tcMar>
              <w:bottom w:w="40" w:type="dxa"/>
            </w:tcMar>
            <w:vAlign w:val="center"/>
          </w:tcPr>
          <w:p>
            <w:pPr>
              <w:pStyle w:val="TableContents"/>
              <w:spacing w:before="0" w:after="283"/>
              <w:jc w:val="right"/>
              <w:rPr>
                <w:color w:val="1A2343"/>
              </w:rPr>
            </w:pPr>
            <w:r>
              <w:rPr>
                <w:color w:val="1A2343"/>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610" w:type="dxa"/>
            <w:tcBorders>
              <w:bottom w:val="single" w:sz="8" w:space="0" w:color="5B5975"/>
            </w:tcBorders>
            <w:shd w:fill="F3F6EA"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47,636</w:t>
            </w:r>
          </w:p>
        </w:tc>
        <w:tc>
          <w:tcPr>
            <w:tcW w:w="170" w:type="dxa"/>
            <w:tcBorders/>
            <w:shd w:fill="F3F6EA" w:val="clear"/>
            <w:vAlign w:val="center"/>
          </w:tcPr>
          <w:p>
            <w:pPr>
              <w:pStyle w:val="TableContents"/>
              <w:spacing w:before="0" w:after="283"/>
              <w:jc w:val="left"/>
              <w:rPr>
                <w:rFonts w:ascii="Arial" w:hAnsi="Arial"/>
                <w:sz w:val="15"/>
              </w:rPr>
            </w:pPr>
            <w:r>
              <w:rPr>
                <w:rFonts w:ascii="Arial" w:hAnsi="Arial"/>
                <w:position w:val="5"/>
                <w:sz w:val="12"/>
                <w:sz w:val="15"/>
              </w:rPr>
              <w:t xml:space="preserve">(1) </w:t>
            </w:r>
            <w:r>
              <w:rPr>
                <w:rFonts w:ascii="Arial" w:hAnsi="Arial"/>
                <w:sz w:val="15"/>
              </w:rPr>
              <w:t> </w:t>
            </w:r>
          </w:p>
        </w:tc>
        <w:tc>
          <w:tcPr>
            <w:tcW w:w="120" w:type="dxa"/>
            <w:tcBorders/>
            <w:shd w:fill="F3F6EA" w:val="clear"/>
            <w:vAlign w:val="center"/>
          </w:tcPr>
          <w:p>
            <w:pPr>
              <w:pStyle w:val="TableContents"/>
              <w:spacing w:before="0" w:after="283"/>
              <w:jc w:val="left"/>
              <w:rPr/>
            </w:pPr>
            <w:r>
              <w:rPr/>
              <w:t> </w:t>
            </w:r>
          </w:p>
        </w:tc>
        <w:tc>
          <w:tcPr>
            <w:tcW w:w="110" w:type="dxa"/>
            <w:tcBorders>
              <w:bottom w:val="single" w:sz="8" w:space="0" w:color="5B5975"/>
            </w:tcBorders>
            <w:shd w:fill="F3F6EA"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F3F6EA" w:val="clear"/>
            <w:tcMar>
              <w:bottom w:w="40" w:type="dxa"/>
            </w:tcMar>
            <w:vAlign w:val="center"/>
          </w:tcPr>
          <w:p>
            <w:pPr>
              <w:pStyle w:val="TableContents"/>
              <w:spacing w:before="0" w:after="283"/>
              <w:jc w:val="right"/>
              <w:rPr>
                <w:rFonts w:ascii="Arial" w:hAnsi="Arial"/>
                <w:sz w:val="15"/>
              </w:rPr>
            </w:pPr>
            <w:r>
              <w:rPr>
                <w:rFonts w:ascii="Arial" w:hAnsi="Arial"/>
                <w:sz w:val="15"/>
              </w:rPr>
              <w:t>3,314,989</w:t>
            </w:r>
          </w:p>
        </w:tc>
        <w:tc>
          <w:tcPr>
            <w:tcW w:w="29" w:type="dxa"/>
            <w:tcBorders/>
            <w:shd w:fill="auto" w:val="clear"/>
          </w:tcPr>
          <w:p>
            <w:pPr>
              <w:pStyle w:val="TableContents"/>
              <w:spacing w:before="0" w:after="283"/>
              <w:rPr>
                <w:sz w:val="4"/>
                <w:szCs w:val="4"/>
              </w:rPr>
            </w:pPr>
            <w:r>
              <w:rPr>
                <w:sz w:val="4"/>
                <w:szCs w:val="4"/>
              </w:rPr>
            </w:r>
          </w:p>
        </w:tc>
      </w:tr>
      <w:tr>
        <w:trPr/>
        <w:tc>
          <w:tcPr>
            <w:tcW w:w="865" w:type="dxa"/>
            <w:vMerge w:val="continue"/>
            <w:tcBorders>
              <w:bottom w:val="single" w:sz="8" w:space="0" w:color="5B5975"/>
            </w:tcBorders>
            <w:shd w:fill="auto" w:val="clear"/>
            <w:tcMar>
              <w:bottom w:w="40" w:type="dxa"/>
            </w:tcM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533"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auto" w:val="clear"/>
            <w:vAlign w:val="center"/>
          </w:tcPr>
          <w:p>
            <w:pPr>
              <w:pStyle w:val="TableContents"/>
              <w:spacing w:before="0" w:after="283"/>
              <w:rPr>
                <w:sz w:val="4"/>
                <w:szCs w:val="4"/>
              </w:rPr>
            </w:pPr>
            <w:r>
              <w:rPr>
                <w:sz w:val="4"/>
                <w:szCs w:val="4"/>
              </w:rPr>
            </w:r>
          </w:p>
        </w:tc>
        <w:tc>
          <w:tcPr>
            <w:tcW w:w="692"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38,114</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(2)</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60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81,307</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(2)</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665" w:type="dxa"/>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182,976</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(2)</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610"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left"/>
              <w:rPr/>
            </w:pPr>
            <w:r>
              <w:rPr/>
              <w:t> </w:t>
            </w:r>
          </w:p>
        </w:tc>
        <w:tc>
          <w:tcPr>
            <w:tcW w:w="11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7,471,401</w:t>
            </w:r>
          </w:p>
        </w:tc>
        <w:tc>
          <w:tcPr>
            <w:tcW w:w="29" w:type="dxa"/>
            <w:tcBorders/>
            <w:shd w:fill="auto" w:val="clear"/>
          </w:tcPr>
          <w:p>
            <w:pPr>
              <w:pStyle w:val="TableContents"/>
              <w:spacing w:before="0" w:after="283"/>
              <w:rPr>
                <w:sz w:val="4"/>
                <w:szCs w:val="4"/>
              </w:rPr>
            </w:pPr>
            <w:r>
              <w:rPr>
                <w:sz w:val="4"/>
                <w:szCs w:val="4"/>
              </w:rPr>
            </w:r>
          </w:p>
        </w:tc>
      </w:tr>
      <w:tr>
        <w:trPr/>
        <w:tc>
          <w:tcPr>
            <w:tcW w:w="865" w:type="dxa"/>
            <w:vMerge w:val="continue"/>
            <w:tcBorders>
              <w:bottom w:val="single" w:sz="8" w:space="0" w:color="5B5975"/>
            </w:tcBorders>
            <w:shd w:fill="auto" w:val="clear"/>
            <w:tcMar>
              <w:bottom w:w="40" w:type="dxa"/>
            </w:tcM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533"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12/12/2022</w:t>
            </w:r>
          </w:p>
        </w:tc>
        <w:tc>
          <w:tcPr>
            <w:tcW w:w="120" w:type="dxa"/>
            <w:tcBorders/>
            <w:shd w:fill="auto" w:val="clear"/>
            <w:vAlign w:val="center"/>
          </w:tcPr>
          <w:p>
            <w:pPr>
              <w:pStyle w:val="TableContents"/>
              <w:spacing w:before="0" w:after="283"/>
              <w:rPr>
                <w:sz w:val="4"/>
                <w:szCs w:val="4"/>
              </w:rPr>
            </w:pPr>
            <w:r>
              <w:rPr>
                <w:sz w:val="4"/>
                <w:szCs w:val="4"/>
              </w:rPr>
            </w:r>
          </w:p>
        </w:tc>
        <w:tc>
          <w:tcPr>
            <w:tcW w:w="692" w:type="dxa"/>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12/12/2022</w:t>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5"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0" w:type="dxa"/>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31,978</w:t>
            </w:r>
          </w:p>
        </w:tc>
        <w:tc>
          <w:tcPr>
            <w:tcW w:w="170"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(3)</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11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899,541</w:t>
            </w:r>
          </w:p>
        </w:tc>
        <w:tc>
          <w:tcPr>
            <w:tcW w:w="29" w:type="dxa"/>
            <w:tcBorders/>
            <w:shd w:fill="auto" w:val="clear"/>
          </w:tcPr>
          <w:p>
            <w:pPr>
              <w:pStyle w:val="TableContents"/>
              <w:spacing w:before="0" w:after="283"/>
              <w:rPr>
                <w:sz w:val="4"/>
                <w:szCs w:val="4"/>
              </w:rPr>
            </w:pPr>
            <w:r>
              <w:rPr>
                <w:sz w:val="4"/>
                <w:szCs w:val="4"/>
              </w:rPr>
            </w:r>
          </w:p>
        </w:tc>
      </w:tr>
      <w:tr>
        <w:trPr/>
        <w:tc>
          <w:tcPr>
            <w:tcW w:w="865" w:type="dxa"/>
            <w:vMerge w:val="continue"/>
            <w:tcBorders>
              <w:bottom w:val="single" w:sz="8" w:space="0" w:color="5B5975"/>
            </w:tcBorders>
            <w:shd w:fill="auto" w:val="clear"/>
            <w:tcMar>
              <w:bottom w:w="40" w:type="dxa"/>
            </w:tcM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533"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N/A</w:t>
            </w:r>
          </w:p>
        </w:tc>
        <w:tc>
          <w:tcPr>
            <w:tcW w:w="120" w:type="dxa"/>
            <w:tcBorders/>
            <w:shd w:fill="auto" w:val="clear"/>
            <w:vAlign w:val="center"/>
          </w:tcPr>
          <w:p>
            <w:pPr>
              <w:pStyle w:val="TableContents"/>
              <w:spacing w:before="0" w:after="283"/>
              <w:rPr>
                <w:sz w:val="4"/>
                <w:szCs w:val="4"/>
              </w:rPr>
            </w:pPr>
            <w:r>
              <w:rPr>
                <w:sz w:val="4"/>
                <w:szCs w:val="4"/>
              </w:rPr>
            </w:r>
          </w:p>
        </w:tc>
        <w:tc>
          <w:tcPr>
            <w:tcW w:w="692"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N/A</w:t>
            </w:r>
          </w:p>
        </w:tc>
        <w:tc>
          <w:tcPr>
            <w:tcW w:w="120" w:type="dxa"/>
            <w:tcBorders/>
            <w:shd w:fill="auto" w:val="clear"/>
            <w:vAlign w:val="center"/>
          </w:tcPr>
          <w:p>
            <w:pPr>
              <w:pStyle w:val="TableContents"/>
              <w:spacing w:before="0" w:after="283"/>
              <w:jc w:val="right"/>
              <w:rPr/>
            </w:pPr>
            <w:r>
              <w:rPr/>
              <w:t> </w:t>
            </w:r>
          </w:p>
        </w:tc>
        <w:tc>
          <w:tcPr>
            <w:tcW w:w="71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$475,000</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(4)</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$1,662,500</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(4)</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$2,375,000</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(4)</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71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5"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0"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left"/>
              <w:rPr/>
            </w:pPr>
            <w:r>
              <w:rPr/>
              <w:t> </w:t>
            </w:r>
          </w:p>
        </w:tc>
        <w:tc>
          <w:tcPr>
            <w:tcW w:w="11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4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29" w:type="dxa"/>
            <w:tcBorders/>
            <w:shd w:fill="auto" w:val="clear"/>
          </w:tcPr>
          <w:p>
            <w:pPr>
              <w:pStyle w:val="TableContents"/>
              <w:spacing w:before="0" w:after="283"/>
              <w:rPr>
                <w:sz w:val="4"/>
                <w:szCs w:val="4"/>
              </w:rPr>
            </w:pPr>
            <w:r>
              <w:rPr>
                <w:sz w:val="4"/>
                <w:szCs w:val="4"/>
              </w:rPr>
            </w:r>
          </w:p>
        </w:tc>
      </w:tr>
      <w:tr>
        <w:trPr/>
        <w:tc>
          <w:tcPr>
            <w:tcW w:w="865" w:type="dxa"/>
            <w:vMerge w:val="restart"/>
            <w:tcBorders>
              <w:bottom w:val="single" w:sz="8" w:space="0" w:color="5B5975"/>
            </w:tcBorders>
            <w:shd w:fill="auto" w:val="clear"/>
            <w:tcMar>
              <w:bottom w:w="40" w:type="dxa"/>
            </w:tcMar>
            <w:vAlign w:val="center"/>
          </w:tcPr>
          <w:p>
            <w:pPr>
              <w:pStyle w:val="TableContents"/>
              <w:spacing w:before="0" w:after="283"/>
              <w:jc w:val="left"/>
              <w:rPr>
                <w:rFonts w:ascii="Arial" w:hAnsi="Arial"/>
                <w:b/>
                <w:color w:val="1A2343"/>
                <w:sz w:val="15"/>
              </w:rPr>
            </w:pPr>
            <w:r>
              <w:rPr>
                <w:rFonts w:ascii="Arial" w:hAnsi="Arial"/>
                <w:b/>
                <w:color w:val="1A2343"/>
                <w:sz w:val="15"/>
              </w:rPr>
              <w:t>Matthew J.</w:t>
              <w:br/>
              <w:t>DiLiberto</w:t>
            </w:r>
          </w:p>
        </w:tc>
        <w:tc>
          <w:tcPr>
            <w:tcW w:w="120" w:type="dxa"/>
            <w:tcBorders/>
            <w:shd w:fill="auto" w:val="clear"/>
            <w:vAlign w:val="center"/>
          </w:tcPr>
          <w:p>
            <w:pPr>
              <w:pStyle w:val="TableContents"/>
              <w:spacing w:before="0" w:after="283"/>
              <w:rPr>
                <w:sz w:val="4"/>
                <w:szCs w:val="4"/>
              </w:rPr>
            </w:pPr>
            <w:r>
              <w:rPr>
                <w:sz w:val="4"/>
                <w:szCs w:val="4"/>
              </w:rPr>
            </w:r>
          </w:p>
        </w:tc>
        <w:tc>
          <w:tcPr>
            <w:tcW w:w="533" w:type="dxa"/>
            <w:tcBorders>
              <w:bottom w:val="single" w:sz="8" w:space="0" w:color="5B5975"/>
            </w:tcBorders>
            <w:shd w:fill="F3F6EA"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F3F6EA" w:val="clear"/>
            <w:vAlign w:val="center"/>
          </w:tcPr>
          <w:p>
            <w:pPr>
              <w:pStyle w:val="TableContents"/>
              <w:spacing w:before="0" w:after="283"/>
              <w:rPr>
                <w:sz w:val="4"/>
                <w:szCs w:val="4"/>
              </w:rPr>
            </w:pPr>
            <w:r>
              <w:rPr>
                <w:sz w:val="4"/>
                <w:szCs w:val="4"/>
              </w:rPr>
            </w:r>
          </w:p>
        </w:tc>
        <w:tc>
          <w:tcPr>
            <w:tcW w:w="692" w:type="dxa"/>
            <w:tcBorders>
              <w:bottom w:val="single" w:sz="8" w:space="0" w:color="5B5975"/>
            </w:tcBorders>
            <w:shd w:fill="F3F6EA"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F3F6EA"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605"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665" w:type="dxa"/>
            <w:tcBorders>
              <w:bottom w:val="single" w:sz="8" w:space="0" w:color="5B5975"/>
            </w:tcBorders>
            <w:shd w:fill="F3F6EA" w:val="clear"/>
            <w:tcMar>
              <w:bottom w:w="40" w:type="dxa"/>
            </w:tcMar>
            <w:vAlign w:val="center"/>
          </w:tcPr>
          <w:p>
            <w:pPr>
              <w:pStyle w:val="TableContents"/>
              <w:spacing w:before="0" w:after="283"/>
              <w:jc w:val="right"/>
              <w:rPr>
                <w:color w:val="1A2343"/>
              </w:rPr>
            </w:pPr>
            <w:r>
              <w:rPr>
                <w:color w:val="1A2343"/>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610" w:type="dxa"/>
            <w:tcBorders>
              <w:bottom w:val="single" w:sz="8" w:space="0" w:color="5B5975"/>
            </w:tcBorders>
            <w:shd w:fill="F3F6EA"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12,710</w:t>
            </w:r>
          </w:p>
        </w:tc>
        <w:tc>
          <w:tcPr>
            <w:tcW w:w="170" w:type="dxa"/>
            <w:tcBorders/>
            <w:shd w:fill="F3F6EA" w:val="clear"/>
            <w:vAlign w:val="center"/>
          </w:tcPr>
          <w:p>
            <w:pPr>
              <w:pStyle w:val="TableContents"/>
              <w:spacing w:before="0" w:after="283"/>
              <w:jc w:val="left"/>
              <w:rPr>
                <w:rFonts w:ascii="Arial" w:hAnsi="Arial"/>
                <w:sz w:val="15"/>
              </w:rPr>
            </w:pPr>
            <w:r>
              <w:rPr>
                <w:rFonts w:ascii="Arial" w:hAnsi="Arial"/>
                <w:position w:val="5"/>
                <w:sz w:val="12"/>
                <w:sz w:val="15"/>
              </w:rPr>
              <w:t>(3)</w:t>
            </w:r>
            <w:r>
              <w:rPr>
                <w:rFonts w:ascii="Arial" w:hAnsi="Arial"/>
                <w:sz w:val="15"/>
              </w:rPr>
              <w:t> </w:t>
            </w:r>
          </w:p>
        </w:tc>
        <w:tc>
          <w:tcPr>
            <w:tcW w:w="120" w:type="dxa"/>
            <w:tcBorders/>
            <w:shd w:fill="F3F6EA" w:val="clear"/>
            <w:vAlign w:val="center"/>
          </w:tcPr>
          <w:p>
            <w:pPr>
              <w:pStyle w:val="TableContents"/>
              <w:spacing w:before="0" w:after="283"/>
              <w:jc w:val="left"/>
              <w:rPr/>
            </w:pPr>
            <w:r>
              <w:rPr/>
              <w:t> </w:t>
            </w:r>
          </w:p>
        </w:tc>
        <w:tc>
          <w:tcPr>
            <w:tcW w:w="110" w:type="dxa"/>
            <w:tcBorders>
              <w:bottom w:val="single" w:sz="8" w:space="0" w:color="5B5975"/>
            </w:tcBorders>
            <w:shd w:fill="F3F6EA"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F3F6EA" w:val="clear"/>
            <w:tcMar>
              <w:bottom w:w="40" w:type="dxa"/>
            </w:tcMar>
            <w:vAlign w:val="center"/>
          </w:tcPr>
          <w:p>
            <w:pPr>
              <w:pStyle w:val="TableContents"/>
              <w:spacing w:before="0" w:after="283"/>
              <w:jc w:val="right"/>
              <w:rPr>
                <w:rFonts w:ascii="Arial" w:hAnsi="Arial"/>
                <w:sz w:val="15"/>
              </w:rPr>
            </w:pPr>
            <w:r>
              <w:rPr>
                <w:rFonts w:ascii="Arial" w:hAnsi="Arial"/>
                <w:sz w:val="15"/>
              </w:rPr>
              <w:t>799,713</w:t>
            </w:r>
          </w:p>
        </w:tc>
        <w:tc>
          <w:tcPr>
            <w:tcW w:w="29" w:type="dxa"/>
            <w:tcBorders/>
            <w:shd w:fill="auto" w:val="clear"/>
          </w:tcPr>
          <w:p>
            <w:pPr>
              <w:pStyle w:val="TableContents"/>
              <w:spacing w:before="0" w:after="283"/>
              <w:rPr>
                <w:sz w:val="4"/>
                <w:szCs w:val="4"/>
              </w:rPr>
            </w:pPr>
            <w:r>
              <w:rPr>
                <w:sz w:val="4"/>
                <w:szCs w:val="4"/>
              </w:rPr>
            </w:r>
          </w:p>
        </w:tc>
      </w:tr>
      <w:tr>
        <w:trPr/>
        <w:tc>
          <w:tcPr>
            <w:tcW w:w="865" w:type="dxa"/>
            <w:vMerge w:val="continue"/>
            <w:tcBorders>
              <w:bottom w:val="single" w:sz="8" w:space="0" w:color="5B5975"/>
            </w:tcBorders>
            <w:shd w:fill="auto" w:val="clear"/>
            <w:tcMar>
              <w:bottom w:w="40" w:type="dxa"/>
            </w:tcM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533"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auto" w:val="clear"/>
            <w:vAlign w:val="center"/>
          </w:tcPr>
          <w:p>
            <w:pPr>
              <w:pStyle w:val="TableContents"/>
              <w:spacing w:before="0" w:after="283"/>
              <w:rPr>
                <w:sz w:val="4"/>
                <w:szCs w:val="4"/>
              </w:rPr>
            </w:pPr>
            <w:r>
              <w:rPr>
                <w:sz w:val="4"/>
                <w:szCs w:val="4"/>
              </w:rPr>
            </w:r>
          </w:p>
        </w:tc>
        <w:tc>
          <w:tcPr>
            <w:tcW w:w="692"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13,740</w:t>
            </w:r>
          </w:p>
        </w:tc>
        <w:tc>
          <w:tcPr>
            <w:tcW w:w="170"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(5)</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11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956,167</w:t>
            </w:r>
          </w:p>
        </w:tc>
        <w:tc>
          <w:tcPr>
            <w:tcW w:w="29" w:type="dxa"/>
            <w:tcBorders/>
            <w:shd w:fill="auto" w:val="clear"/>
          </w:tcPr>
          <w:p>
            <w:pPr>
              <w:pStyle w:val="TableContents"/>
              <w:spacing w:before="0" w:after="283"/>
              <w:rPr>
                <w:sz w:val="4"/>
                <w:szCs w:val="4"/>
              </w:rPr>
            </w:pPr>
            <w:r>
              <w:rPr>
                <w:sz w:val="4"/>
                <w:szCs w:val="4"/>
              </w:rPr>
            </w:r>
          </w:p>
        </w:tc>
      </w:tr>
      <w:tr>
        <w:trPr/>
        <w:tc>
          <w:tcPr>
            <w:tcW w:w="865" w:type="dxa"/>
            <w:vMerge w:val="continue"/>
            <w:tcBorders>
              <w:bottom w:val="single" w:sz="8" w:space="0" w:color="5B5975"/>
            </w:tcBorders>
            <w:shd w:fill="auto" w:val="clear"/>
            <w:tcMar>
              <w:bottom w:w="40" w:type="dxa"/>
            </w:tcM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533"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auto" w:val="clear"/>
            <w:vAlign w:val="center"/>
          </w:tcPr>
          <w:p>
            <w:pPr>
              <w:pStyle w:val="TableContents"/>
              <w:spacing w:before="0" w:after="283"/>
              <w:rPr>
                <w:sz w:val="4"/>
                <w:szCs w:val="4"/>
              </w:rPr>
            </w:pPr>
            <w:r>
              <w:rPr>
                <w:sz w:val="4"/>
                <w:szCs w:val="4"/>
              </w:rPr>
            </w:r>
          </w:p>
        </w:tc>
        <w:tc>
          <w:tcPr>
            <w:tcW w:w="692"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3,529</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(2)</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60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7,528</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(2)</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665" w:type="dxa"/>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16,939</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(2)</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610"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left"/>
              <w:rPr/>
            </w:pPr>
            <w:r>
              <w:rPr/>
              <w:t> </w:t>
            </w:r>
          </w:p>
        </w:tc>
        <w:tc>
          <w:tcPr>
            <w:tcW w:w="11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732,507</w:t>
            </w:r>
          </w:p>
        </w:tc>
        <w:tc>
          <w:tcPr>
            <w:tcW w:w="29" w:type="dxa"/>
            <w:tcBorders/>
            <w:shd w:fill="auto" w:val="clear"/>
          </w:tcPr>
          <w:p>
            <w:pPr>
              <w:pStyle w:val="TableContents"/>
              <w:spacing w:before="0" w:after="283"/>
              <w:rPr>
                <w:sz w:val="4"/>
                <w:szCs w:val="4"/>
              </w:rPr>
            </w:pPr>
            <w:r>
              <w:rPr>
                <w:sz w:val="4"/>
                <w:szCs w:val="4"/>
              </w:rPr>
            </w:r>
          </w:p>
        </w:tc>
      </w:tr>
      <w:tr>
        <w:trPr/>
        <w:tc>
          <w:tcPr>
            <w:tcW w:w="865" w:type="dxa"/>
            <w:vMerge w:val="restart"/>
            <w:tcBorders>
              <w:bottom w:val="single" w:sz="12" w:space="0" w:color="1A2343"/>
            </w:tcBorders>
            <w:shd w:fill="auto" w:val="clear"/>
            <w:tcMar>
              <w:bottom w:w="40" w:type="dxa"/>
            </w:tcMar>
            <w:vAlign w:val="center"/>
          </w:tcPr>
          <w:p>
            <w:pPr>
              <w:pStyle w:val="TableContents"/>
              <w:spacing w:before="0" w:after="283"/>
              <w:jc w:val="left"/>
              <w:rPr>
                <w:rFonts w:ascii="Arial" w:hAnsi="Arial"/>
                <w:b/>
                <w:color w:val="1A2343"/>
                <w:sz w:val="15"/>
              </w:rPr>
            </w:pPr>
            <w:r>
              <w:rPr>
                <w:rFonts w:ascii="Arial" w:hAnsi="Arial"/>
                <w:b/>
                <w:color w:val="1A2343"/>
                <w:sz w:val="15"/>
              </w:rPr>
              <w:t>Andrew S. Levine</w:t>
            </w:r>
          </w:p>
        </w:tc>
        <w:tc>
          <w:tcPr>
            <w:tcW w:w="120" w:type="dxa"/>
            <w:tcBorders/>
            <w:shd w:fill="auto" w:val="clear"/>
            <w:vAlign w:val="center"/>
          </w:tcPr>
          <w:p>
            <w:pPr>
              <w:pStyle w:val="TableContents"/>
              <w:spacing w:before="0" w:after="283"/>
              <w:rPr>
                <w:sz w:val="4"/>
                <w:szCs w:val="4"/>
              </w:rPr>
            </w:pPr>
            <w:r>
              <w:rPr>
                <w:sz w:val="4"/>
                <w:szCs w:val="4"/>
              </w:rPr>
            </w:r>
          </w:p>
        </w:tc>
        <w:tc>
          <w:tcPr>
            <w:tcW w:w="533" w:type="dxa"/>
            <w:tcBorders>
              <w:bottom w:val="single" w:sz="8" w:space="0" w:color="5B5975"/>
            </w:tcBorders>
            <w:shd w:fill="F3F6EA"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F3F6EA" w:val="clear"/>
            <w:vAlign w:val="center"/>
          </w:tcPr>
          <w:p>
            <w:pPr>
              <w:pStyle w:val="TableContents"/>
              <w:spacing w:before="0" w:after="283"/>
              <w:rPr>
                <w:sz w:val="4"/>
                <w:szCs w:val="4"/>
              </w:rPr>
            </w:pPr>
            <w:r>
              <w:rPr>
                <w:sz w:val="4"/>
                <w:szCs w:val="4"/>
              </w:rPr>
            </w:r>
          </w:p>
        </w:tc>
        <w:tc>
          <w:tcPr>
            <w:tcW w:w="692" w:type="dxa"/>
            <w:tcBorders>
              <w:bottom w:val="single" w:sz="8" w:space="0" w:color="5B5975"/>
            </w:tcBorders>
            <w:shd w:fill="F3F6EA"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F3F6EA"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605" w:type="dxa"/>
            <w:tcBorders>
              <w:bottom w:val="single" w:sz="8" w:space="0" w:color="5B5975"/>
            </w:tcBorders>
            <w:shd w:fill="F3F6EA" w:val="clear"/>
            <w:tcMar>
              <w:bottom w:w="40" w:type="dxa"/>
            </w:tcMar>
            <w:vAlign w:val="center"/>
          </w:tcPr>
          <w:p>
            <w:pPr>
              <w:pStyle w:val="TableContents"/>
              <w:spacing w:before="0" w:after="283"/>
              <w:jc w:val="right"/>
              <w:rPr/>
            </w:pPr>
            <w:r>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665" w:type="dxa"/>
            <w:tcBorders>
              <w:bottom w:val="single" w:sz="8" w:space="0" w:color="5B5975"/>
            </w:tcBorders>
            <w:shd w:fill="F3F6EA" w:val="clear"/>
            <w:tcMar>
              <w:bottom w:w="40" w:type="dxa"/>
            </w:tcMar>
            <w:vAlign w:val="center"/>
          </w:tcPr>
          <w:p>
            <w:pPr>
              <w:pStyle w:val="TableContents"/>
              <w:spacing w:before="0" w:after="283"/>
              <w:jc w:val="right"/>
              <w:rPr>
                <w:color w:val="1A2343"/>
              </w:rPr>
            </w:pPr>
            <w:r>
              <w:rPr>
                <w:color w:val="1A2343"/>
              </w:rPr>
              <w:t>—</w:t>
            </w:r>
          </w:p>
        </w:tc>
        <w:tc>
          <w:tcPr>
            <w:tcW w:w="151"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610" w:type="dxa"/>
            <w:tcBorders>
              <w:bottom w:val="single" w:sz="8" w:space="0" w:color="5B5975"/>
            </w:tcBorders>
            <w:shd w:fill="F3F6EA"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16,145</w:t>
            </w:r>
          </w:p>
        </w:tc>
        <w:tc>
          <w:tcPr>
            <w:tcW w:w="170" w:type="dxa"/>
            <w:tcBorders/>
            <w:shd w:fill="F3F6EA" w:val="clear"/>
            <w:vAlign w:val="center"/>
          </w:tcPr>
          <w:p>
            <w:pPr>
              <w:pStyle w:val="TableContents"/>
              <w:spacing w:before="0" w:after="283"/>
              <w:jc w:val="left"/>
              <w:rPr>
                <w:rFonts w:ascii="Arial" w:hAnsi="Arial"/>
                <w:sz w:val="15"/>
              </w:rPr>
            </w:pPr>
            <w:r>
              <w:rPr>
                <w:rFonts w:ascii="Arial" w:hAnsi="Arial"/>
                <w:position w:val="5"/>
                <w:sz w:val="12"/>
                <w:sz w:val="15"/>
              </w:rPr>
              <w:t>(3)</w:t>
            </w:r>
            <w:r>
              <w:rPr>
                <w:rFonts w:ascii="Arial" w:hAnsi="Arial"/>
                <w:sz w:val="15"/>
              </w:rPr>
              <w:t> </w:t>
            </w:r>
          </w:p>
        </w:tc>
        <w:tc>
          <w:tcPr>
            <w:tcW w:w="120" w:type="dxa"/>
            <w:tcBorders/>
            <w:shd w:fill="F3F6EA" w:val="clear"/>
            <w:vAlign w:val="center"/>
          </w:tcPr>
          <w:p>
            <w:pPr>
              <w:pStyle w:val="TableContents"/>
              <w:spacing w:before="0" w:after="283"/>
              <w:jc w:val="left"/>
              <w:rPr/>
            </w:pPr>
            <w:r>
              <w:rPr/>
              <w:t> </w:t>
            </w:r>
          </w:p>
        </w:tc>
        <w:tc>
          <w:tcPr>
            <w:tcW w:w="110" w:type="dxa"/>
            <w:tcBorders>
              <w:bottom w:val="single" w:sz="8" w:space="0" w:color="5B5975"/>
            </w:tcBorders>
            <w:shd w:fill="F3F6EA"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F3F6EA" w:val="clear"/>
            <w:tcMar>
              <w:bottom w:w="40" w:type="dxa"/>
            </w:tcMar>
            <w:vAlign w:val="center"/>
          </w:tcPr>
          <w:p>
            <w:pPr>
              <w:pStyle w:val="TableContents"/>
              <w:spacing w:before="0" w:after="283"/>
              <w:jc w:val="right"/>
              <w:rPr>
                <w:rFonts w:ascii="Arial" w:hAnsi="Arial"/>
                <w:sz w:val="15"/>
              </w:rPr>
            </w:pPr>
            <w:r>
              <w:rPr>
                <w:rFonts w:ascii="Arial" w:hAnsi="Arial"/>
                <w:sz w:val="15"/>
              </w:rPr>
              <w:t>1,015,843</w:t>
            </w:r>
          </w:p>
        </w:tc>
        <w:tc>
          <w:tcPr>
            <w:tcW w:w="29" w:type="dxa"/>
            <w:tcBorders/>
            <w:shd w:fill="auto" w:val="clear"/>
          </w:tcPr>
          <w:p>
            <w:pPr>
              <w:pStyle w:val="TableContents"/>
              <w:spacing w:before="0" w:after="283"/>
              <w:rPr>
                <w:sz w:val="4"/>
                <w:szCs w:val="4"/>
              </w:rPr>
            </w:pPr>
            <w:r>
              <w:rPr>
                <w:sz w:val="4"/>
                <w:szCs w:val="4"/>
              </w:rPr>
            </w:r>
          </w:p>
        </w:tc>
      </w:tr>
      <w:tr>
        <w:trPr/>
        <w:tc>
          <w:tcPr>
            <w:tcW w:w="865" w:type="dxa"/>
            <w:vMerge w:val="continue"/>
            <w:tcBorders>
              <w:bottom w:val="single" w:sz="12" w:space="0" w:color="1A2343"/>
            </w:tcBorders>
            <w:shd w:fill="auto" w:val="clear"/>
            <w:tcMar>
              <w:bottom w:w="40" w:type="dxa"/>
            </w:tcM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533"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auto" w:val="clear"/>
            <w:vAlign w:val="center"/>
          </w:tcPr>
          <w:p>
            <w:pPr>
              <w:pStyle w:val="TableContents"/>
              <w:spacing w:before="0" w:after="283"/>
              <w:rPr>
                <w:sz w:val="4"/>
                <w:szCs w:val="4"/>
              </w:rPr>
            </w:pPr>
            <w:r>
              <w:rPr>
                <w:sz w:val="4"/>
                <w:szCs w:val="4"/>
              </w:rPr>
            </w:r>
          </w:p>
        </w:tc>
        <w:tc>
          <w:tcPr>
            <w:tcW w:w="692"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5" w:type="dxa"/>
            <w:tcBorders>
              <w:bottom w:val="single" w:sz="8" w:space="0" w:color="5B5975"/>
            </w:tcBorders>
            <w:shd w:fill="auto" w:val="clear"/>
            <w:tcMar>
              <w:bottom w:w="40" w:type="dxa"/>
            </w:tcMar>
            <w:vAlign w:val="center"/>
          </w:tcPr>
          <w:p>
            <w:pPr>
              <w:pStyle w:val="TableContents"/>
              <w:spacing w:before="0" w:after="283"/>
              <w:jc w:val="right"/>
              <w:rPr>
                <w:color w:val="1A2343"/>
              </w:rPr>
            </w:pPr>
            <w:r>
              <w:rPr>
                <w:color w:val="1A2343"/>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0" w:type="dxa"/>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13,740</w:t>
            </w:r>
          </w:p>
        </w:tc>
        <w:tc>
          <w:tcPr>
            <w:tcW w:w="170"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(5)</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11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956,167</w:t>
            </w:r>
          </w:p>
        </w:tc>
        <w:tc>
          <w:tcPr>
            <w:tcW w:w="29" w:type="dxa"/>
            <w:tcBorders/>
            <w:shd w:fill="auto" w:val="clear"/>
          </w:tcPr>
          <w:p>
            <w:pPr>
              <w:pStyle w:val="TableContents"/>
              <w:spacing w:before="0" w:after="283"/>
              <w:rPr>
                <w:sz w:val="4"/>
                <w:szCs w:val="4"/>
              </w:rPr>
            </w:pPr>
            <w:r>
              <w:rPr>
                <w:sz w:val="4"/>
                <w:szCs w:val="4"/>
              </w:rPr>
            </w:r>
          </w:p>
        </w:tc>
      </w:tr>
      <w:tr>
        <w:trPr/>
        <w:tc>
          <w:tcPr>
            <w:tcW w:w="865" w:type="dxa"/>
            <w:vMerge w:val="continue"/>
            <w:tcBorders>
              <w:bottom w:val="single" w:sz="12" w:space="0" w:color="1A2343"/>
            </w:tcBorders>
            <w:shd w:fill="auto" w:val="clear"/>
            <w:tcMar>
              <w:bottom w:w="40" w:type="dxa"/>
            </w:tcM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533"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auto" w:val="clear"/>
            <w:vAlign w:val="center"/>
          </w:tcPr>
          <w:p>
            <w:pPr>
              <w:pStyle w:val="TableContents"/>
              <w:spacing w:before="0" w:after="283"/>
              <w:rPr>
                <w:sz w:val="4"/>
                <w:szCs w:val="4"/>
              </w:rPr>
            </w:pPr>
            <w:r>
              <w:rPr>
                <w:sz w:val="4"/>
                <w:szCs w:val="4"/>
              </w:rPr>
            </w:r>
          </w:p>
        </w:tc>
        <w:tc>
          <w:tcPr>
            <w:tcW w:w="692"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jc w:val="left"/>
              <w:rPr/>
            </w:pPr>
            <w:r>
              <w:rPr/>
              <w:t> </w:t>
            </w:r>
          </w:p>
        </w:tc>
        <w:tc>
          <w:tcPr>
            <w:tcW w:w="120" w:type="dxa"/>
            <w:tcBorders/>
            <w:shd w:fill="auto" w:val="clear"/>
            <w:vAlign w:val="center"/>
          </w:tcPr>
          <w:p>
            <w:pPr>
              <w:pStyle w:val="TableContents"/>
              <w:spacing w:before="0" w:after="283"/>
              <w:jc w:val="left"/>
              <w:rPr/>
            </w:pPr>
            <w:r>
              <w:rPr/>
              <w:t> </w:t>
            </w:r>
          </w:p>
        </w:tc>
        <w:tc>
          <w:tcPr>
            <w:tcW w:w="60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jc w:val="left"/>
              <w:rPr/>
            </w:pPr>
            <w:r>
              <w:rPr/>
              <w:t> </w:t>
            </w:r>
          </w:p>
        </w:tc>
        <w:tc>
          <w:tcPr>
            <w:tcW w:w="120" w:type="dxa"/>
            <w:tcBorders/>
            <w:shd w:fill="auto" w:val="clear"/>
            <w:vAlign w:val="center"/>
          </w:tcPr>
          <w:p>
            <w:pPr>
              <w:pStyle w:val="TableContents"/>
              <w:spacing w:before="0" w:after="283"/>
              <w:jc w:val="left"/>
              <w:rPr/>
            </w:pPr>
            <w:r>
              <w:rPr/>
              <w:t> </w:t>
            </w:r>
          </w:p>
        </w:tc>
        <w:tc>
          <w:tcPr>
            <w:tcW w:w="66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jc w:val="left"/>
              <w:rPr/>
            </w:pPr>
            <w:r>
              <w:rPr/>
              <w:t> </w:t>
            </w:r>
          </w:p>
        </w:tc>
        <w:tc>
          <w:tcPr>
            <w:tcW w:w="120" w:type="dxa"/>
            <w:tcBorders/>
            <w:shd w:fill="auto" w:val="clear"/>
            <w:vAlign w:val="center"/>
          </w:tcPr>
          <w:p>
            <w:pPr>
              <w:pStyle w:val="TableContents"/>
              <w:spacing w:before="0" w:after="283"/>
              <w:jc w:val="left"/>
              <w:rPr/>
            </w:pPr>
            <w:r>
              <w:rPr/>
              <w:t> </w:t>
            </w:r>
          </w:p>
        </w:tc>
        <w:tc>
          <w:tcPr>
            <w:tcW w:w="61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17,694</w:t>
            </w:r>
          </w:p>
        </w:tc>
        <w:tc>
          <w:tcPr>
            <w:tcW w:w="170"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(1)</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11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1,231,325</w:t>
            </w:r>
          </w:p>
        </w:tc>
        <w:tc>
          <w:tcPr>
            <w:tcW w:w="29" w:type="dxa"/>
            <w:tcBorders/>
            <w:shd w:fill="auto" w:val="clear"/>
          </w:tcPr>
          <w:p>
            <w:pPr>
              <w:pStyle w:val="TableContents"/>
              <w:spacing w:before="0" w:after="283"/>
              <w:rPr>
                <w:sz w:val="4"/>
                <w:szCs w:val="4"/>
              </w:rPr>
            </w:pPr>
            <w:r>
              <w:rPr>
                <w:sz w:val="4"/>
                <w:szCs w:val="4"/>
              </w:rPr>
            </w:r>
          </w:p>
        </w:tc>
      </w:tr>
      <w:tr>
        <w:trPr/>
        <w:tc>
          <w:tcPr>
            <w:tcW w:w="865" w:type="dxa"/>
            <w:vMerge w:val="continue"/>
            <w:tcBorders>
              <w:bottom w:val="single" w:sz="12" w:space="0" w:color="1A2343"/>
            </w:tcBorders>
            <w:shd w:fill="auto" w:val="clear"/>
            <w:tcMar>
              <w:bottom w:w="40" w:type="dxa"/>
            </w:tcM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533"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auto" w:val="clear"/>
            <w:vAlign w:val="center"/>
          </w:tcPr>
          <w:p>
            <w:pPr>
              <w:pStyle w:val="TableContents"/>
              <w:spacing w:before="0" w:after="283"/>
              <w:rPr>
                <w:sz w:val="4"/>
                <w:szCs w:val="4"/>
              </w:rPr>
            </w:pPr>
            <w:r>
              <w:rPr>
                <w:sz w:val="4"/>
                <w:szCs w:val="4"/>
              </w:rPr>
            </w:r>
          </w:p>
        </w:tc>
        <w:tc>
          <w:tcPr>
            <w:tcW w:w="692"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01/19/2022</w:t>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12" w:space="0" w:color="1A2343"/>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12" w:space="0" w:color="1A2343"/>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bottom w:val="single" w:sz="12" w:space="0" w:color="1A2343"/>
            </w:tcBorders>
            <w:shd w:fill="auto" w:val="clear"/>
            <w:tcMar>
              <w:bottom w:w="40" w:type="dxa"/>
            </w:tcMar>
            <w:vAlign w:val="center"/>
          </w:tcPr>
          <w:p>
            <w:pPr>
              <w:pStyle w:val="TableContents"/>
              <w:spacing w:before="0" w:after="283"/>
              <w:jc w:val="right"/>
              <w:rPr/>
            </w:pPr>
            <w:r>
              <w:rPr/>
              <w:t>—</w:t>
            </w:r>
          </w:p>
        </w:tc>
        <w:tc>
          <w:tcPr>
            <w:tcW w:w="1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3,529</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(2)</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605"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7,528</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(2)</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665"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16,939</w:t>
            </w:r>
          </w:p>
        </w:tc>
        <w:tc>
          <w:tcPr>
            <w:tcW w:w="151"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(2)</w:t>
            </w:r>
            <w:r>
              <w:rPr>
                <w:rFonts w:ascii="Arial" w:hAnsi="Arial"/>
                <w:sz w:val="15"/>
              </w:rPr>
              <w:t> </w:t>
            </w:r>
          </w:p>
        </w:tc>
        <w:tc>
          <w:tcPr>
            <w:tcW w:w="120" w:type="dxa"/>
            <w:tcBorders/>
            <w:shd w:fill="auto" w:val="clear"/>
            <w:vAlign w:val="center"/>
          </w:tcPr>
          <w:p>
            <w:pPr>
              <w:pStyle w:val="TableContents"/>
              <w:spacing w:before="0" w:after="283"/>
              <w:jc w:val="left"/>
              <w:rPr/>
            </w:pPr>
            <w:r>
              <w:rPr/>
              <w:t> </w:t>
            </w:r>
          </w:p>
        </w:tc>
        <w:tc>
          <w:tcPr>
            <w:tcW w:w="610" w:type="dxa"/>
            <w:tcBorders>
              <w:bottom w:val="single" w:sz="12" w:space="0" w:color="1A2343"/>
            </w:tcBorders>
            <w:shd w:fill="auto" w:val="clear"/>
            <w:tcMar>
              <w:bottom w:w="40" w:type="dxa"/>
            </w:tcMar>
            <w:vAlign w:val="center"/>
          </w:tcPr>
          <w:p>
            <w:pPr>
              <w:pStyle w:val="TableContents"/>
              <w:spacing w:before="0" w:after="283"/>
              <w:jc w:val="right"/>
              <w:rPr>
                <w:color w:val="1A2343"/>
              </w:rPr>
            </w:pPr>
            <w:r>
              <w:rPr>
                <w:color w:val="1A2343"/>
              </w:rPr>
              <w:t>—</w:t>
            </w:r>
          </w:p>
        </w:tc>
        <w:tc>
          <w:tcPr>
            <w:tcW w:w="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left"/>
              <w:rPr/>
            </w:pPr>
            <w:r>
              <w:rPr/>
              <w:t> </w:t>
            </w:r>
          </w:p>
        </w:tc>
        <w:tc>
          <w:tcPr>
            <w:tcW w:w="110" w:type="dxa"/>
            <w:tcBorders>
              <w:bottom w:val="single" w:sz="12" w:space="0" w:color="1A2343"/>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740"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732,507</w:t>
            </w:r>
          </w:p>
        </w:tc>
        <w:tc>
          <w:tcPr>
            <w:tcW w:w="29"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10044" w:type="dxa"/>
            <w:tcBorders/>
            <w:shd w:fill="auto" w:val="clear"/>
            <w:vAlign w:val="center"/>
          </w:tcPr>
          <w:p>
            <w:pPr>
              <w:pStyle w:val="TableContents"/>
              <w:spacing w:before="0" w:after="283"/>
              <w:jc w:val="left"/>
              <w:rPr>
                <w:rFonts w:ascii="Arial" w:hAnsi="Arial"/>
                <w:sz w:val="15"/>
              </w:rPr>
            </w:pPr>
            <w:r>
              <w:rPr>
                <w:rFonts w:ascii="Arial" w:hAnsi="Arial"/>
                <w:sz w:val="15"/>
              </w:rPr>
              <w:t>Represents grants of LTIP units awarded in connection with our respective employment agreements with Messrs. Holliday, Mathias and Levine, with equal installments vesting on each of January 1, 2023, January 1, 2024 and January 1, 2025, subject to continued employment.</w:t>
            </w:r>
          </w:p>
        </w:tc>
      </w:tr>
      <w:tr>
        <w:trPr/>
        <w:tc>
          <w:tcPr>
            <w:tcW w:w="161" w:type="dxa"/>
            <w:tcBorders/>
            <w:shd w:fill="auto" w:val="clear"/>
            <w:vAlign w:val="center"/>
          </w:tcPr>
          <w:p>
            <w:pPr>
              <w:pStyle w:val="TableContents"/>
              <w:spacing w:before="0" w:after="283"/>
              <w:jc w:val="left"/>
              <w:rPr>
                <w:rFonts w:ascii="Arial" w:hAnsi="Arial"/>
                <w:sz w:val="15"/>
              </w:rPr>
            </w:pPr>
            <w:r>
              <w:rPr>
                <w:rFonts w:ascii="Arial" w:hAnsi="Arial"/>
                <w:sz w:val="15"/>
              </w:rPr>
              <w:t>(2)</w:t>
            </w:r>
          </w:p>
        </w:tc>
        <w:tc>
          <w:tcPr>
            <w:tcW w:w="10044" w:type="dxa"/>
            <w:tcBorders/>
            <w:shd w:fill="auto" w:val="clear"/>
            <w:vAlign w:val="center"/>
          </w:tcPr>
          <w:p>
            <w:pPr>
              <w:pStyle w:val="TableContents"/>
              <w:spacing w:before="0" w:after="283"/>
              <w:jc w:val="left"/>
              <w:rPr>
                <w:rFonts w:ascii="Arial" w:hAnsi="Arial"/>
                <w:sz w:val="15"/>
              </w:rPr>
            </w:pPr>
            <w:r>
              <w:rPr>
                <w:rFonts w:ascii="Arial" w:hAnsi="Arial"/>
                <w:sz w:val="15"/>
              </w:rPr>
              <w:t>Represents LTIP units granted as 2022 annual performance-based equity awards that were subject to performance-based vesting hurdles. The amount shown in the “Threshold” column of the table reflects the total number of LTIP units that would be earned at threshold performance with respect to both the operating performance metrics and the relative TSR metric, after giving effect to the maximum downward modifier. The amount shown in the “Maximum” column reflects the total number of LTIP units that would be earned at maximum performance with respect to both the operating performance metrics and the relative TSR metric, after giving effect to the maximum upward modifier. See “—Compensation Discussion and Analysis—Our 2022 Executive Compensation Program” for a description of the terms of these performance-based awards and the Company’s estimated performance as of December 31, 2022.</w:t>
            </w:r>
          </w:p>
        </w:tc>
      </w:tr>
      <w:tr>
        <w:trPr/>
        <w:tc>
          <w:tcPr>
            <w:tcW w:w="161" w:type="dxa"/>
            <w:tcBorders/>
            <w:shd w:fill="auto" w:val="clear"/>
            <w:vAlign w:val="center"/>
          </w:tcPr>
          <w:p>
            <w:pPr>
              <w:pStyle w:val="TableContents"/>
              <w:spacing w:before="0" w:after="283"/>
              <w:jc w:val="left"/>
              <w:rPr>
                <w:rFonts w:ascii="Arial" w:hAnsi="Arial"/>
                <w:sz w:val="15"/>
              </w:rPr>
            </w:pPr>
            <w:r>
              <w:rPr>
                <w:rFonts w:ascii="Arial" w:hAnsi="Arial"/>
                <w:sz w:val="15"/>
              </w:rPr>
              <w:t>(3)</w:t>
            </w:r>
          </w:p>
        </w:tc>
        <w:tc>
          <w:tcPr>
            <w:tcW w:w="10044" w:type="dxa"/>
            <w:tcBorders/>
            <w:shd w:fill="auto" w:val="clear"/>
            <w:vAlign w:val="center"/>
          </w:tcPr>
          <w:p>
            <w:pPr>
              <w:pStyle w:val="TableContents"/>
              <w:spacing w:before="0" w:after="283"/>
              <w:jc w:val="left"/>
              <w:rPr>
                <w:rFonts w:ascii="Arial" w:hAnsi="Arial"/>
                <w:sz w:val="15"/>
              </w:rPr>
            </w:pPr>
            <w:r>
              <w:rPr>
                <w:rFonts w:ascii="Arial" w:hAnsi="Arial"/>
                <w:sz w:val="15"/>
              </w:rPr>
              <w:t>This grant of LTIP units vested immediately upon grant, but remains subject to a three-year restriction on transfer from the date of grant.</w:t>
            </w:r>
          </w:p>
        </w:tc>
      </w:tr>
      <w:tr>
        <w:trPr/>
        <w:tc>
          <w:tcPr>
            <w:tcW w:w="161" w:type="dxa"/>
            <w:tcBorders/>
            <w:shd w:fill="auto" w:val="clear"/>
            <w:vAlign w:val="center"/>
          </w:tcPr>
          <w:p>
            <w:pPr>
              <w:pStyle w:val="TableContents"/>
              <w:spacing w:before="0" w:after="283"/>
              <w:jc w:val="left"/>
              <w:rPr>
                <w:rFonts w:ascii="Arial" w:hAnsi="Arial"/>
                <w:sz w:val="15"/>
              </w:rPr>
            </w:pPr>
            <w:r>
              <w:rPr>
                <w:rFonts w:ascii="Arial" w:hAnsi="Arial"/>
                <w:sz w:val="15"/>
              </w:rPr>
              <w:t>(4)</w:t>
            </w:r>
          </w:p>
        </w:tc>
        <w:tc>
          <w:tcPr>
            <w:tcW w:w="10044" w:type="dxa"/>
            <w:tcBorders/>
            <w:shd w:fill="auto" w:val="clear"/>
            <w:vAlign w:val="center"/>
          </w:tcPr>
          <w:p>
            <w:pPr>
              <w:pStyle w:val="TableContents"/>
              <w:spacing w:before="0" w:after="283"/>
              <w:jc w:val="left"/>
              <w:rPr>
                <w:rFonts w:ascii="Arial" w:hAnsi="Arial"/>
                <w:sz w:val="15"/>
              </w:rPr>
            </w:pPr>
            <w:r>
              <w:rPr>
                <w:rFonts w:ascii="Arial" w:hAnsi="Arial"/>
                <w:sz w:val="15"/>
              </w:rPr>
              <w:t>Represents cash payouts that were possible pursuant to the formulaic component of our annual cash bonus program for 2022. See “Compensation Discussion and Analysis—Our 2022 Executive Compensation Program” for a description of these awards.</w:t>
            </w:r>
          </w:p>
        </w:tc>
      </w:tr>
      <w:tr>
        <w:trPr/>
        <w:tc>
          <w:tcPr>
            <w:tcW w:w="161" w:type="dxa"/>
            <w:tcBorders/>
            <w:shd w:fill="auto" w:val="clear"/>
            <w:vAlign w:val="center"/>
          </w:tcPr>
          <w:p>
            <w:pPr>
              <w:pStyle w:val="TableContents"/>
              <w:spacing w:before="0" w:after="283"/>
              <w:jc w:val="left"/>
              <w:rPr>
                <w:rFonts w:ascii="Arial" w:hAnsi="Arial"/>
                <w:sz w:val="15"/>
              </w:rPr>
            </w:pPr>
            <w:r>
              <w:rPr>
                <w:rFonts w:ascii="Arial" w:hAnsi="Arial"/>
                <w:sz w:val="15"/>
              </w:rPr>
              <w:t>(5)</w:t>
            </w:r>
          </w:p>
        </w:tc>
        <w:tc>
          <w:tcPr>
            <w:tcW w:w="10044" w:type="dxa"/>
            <w:tcBorders/>
            <w:shd w:fill="auto" w:val="clear"/>
            <w:vAlign w:val="center"/>
          </w:tcPr>
          <w:p>
            <w:pPr>
              <w:pStyle w:val="TableContents"/>
              <w:spacing w:before="0" w:after="283"/>
              <w:jc w:val="left"/>
              <w:rPr>
                <w:rFonts w:ascii="Arial" w:hAnsi="Arial"/>
                <w:sz w:val="15"/>
              </w:rPr>
            </w:pPr>
            <w:r>
              <w:rPr>
                <w:rFonts w:ascii="Arial" w:hAnsi="Arial"/>
                <w:sz w:val="15"/>
              </w:rPr>
              <w:t>Represents LTIP units granted as one-time, long-term incentives in connection with our One Madison development project, with equal installments vesting on each of December 31, 2022, December 31, 2023 and December 31, 2024, subject to continued employment.</w:t>
            </w:r>
          </w:p>
        </w:tc>
      </w:tr>
    </w:tbl>
    <w:p>
      <w:pPr>
        <w:pStyle w:val="TextBody"/>
        <w:spacing w:before="240" w:after="283"/>
        <w:jc w:val="left"/>
        <w:rPr>
          <w:rFonts w:ascii="Arial" w:hAnsi="Arial"/>
          <w:sz w:val="20"/>
        </w:rPr>
      </w:pPr>
      <w:r>
        <w:rPr>
          <w:rFonts w:ascii="Arial" w:hAnsi="Arial"/>
          <w:sz w:val="20"/>
        </w:rPr>
        <w:t>Grants of all equity awards were made pursuant to the Fifth Amended and Restated 2005 Stock Option and Incentive Plan. LTIP units that are only subject to time-based vesting based on continued employment through a specified date (and have not been forfeited) generally entitle executives to receive cash dividends, dividend equivalents or distributions whether or not then vested. LTIP units that are subject to performance-based vesting hurdles do not entitle the holder to receive distributions prior to the achievement of these hurdles. If and when performance-based vesting occurs, the holders are entitled to receive a combination of cash payments and distributions with respect to all LTIP units that are earned equal to the amounts that would have been received if the earned LTIP units had been entitled to receive full distributions from the beginning of the applicable performance period.</w:t>
      </w:r>
    </w:p>
    <w:p>
      <w:pPr>
        <w:pStyle w:val="TextBody"/>
        <w:jc w:val="left"/>
        <w:rPr>
          <w:rFonts w:ascii="Arial" w:hAnsi="Arial"/>
          <w:sz w:val="20"/>
        </w:rPr>
      </w:pPr>
      <w:r>
        <w:rPr>
          <w:rFonts w:ascii="Arial" w:hAnsi="Arial"/>
          <w:sz w:val="20"/>
        </w:rPr>
        <w:t>See “Potential Payments Upon Termination or Change in Control” below, for a discussion regarding potential acceleration of the equity awards and a description of the material terms of each named executive officer’s employment agreement.</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68</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b/>
          <w:color w:val="1A2343"/>
          <w:sz w:val="26"/>
        </w:rPr>
      </w:pPr>
      <w:r>
        <w:rPr>
          <w:rFonts w:ascii="Arial" w:hAnsi="Arial"/>
          <w:b/>
          <w:color w:val="1A2343"/>
          <w:sz w:val="26"/>
        </w:rPr>
        <w:t>Outstanding Equity Awards at Fiscal Year-End 2022</w:t>
      </w:r>
    </w:p>
    <w:p>
      <w:pPr>
        <w:pStyle w:val="TextBody"/>
        <w:jc w:val="left"/>
        <w:rPr>
          <w:rFonts w:ascii="Arial" w:hAnsi="Arial"/>
          <w:sz w:val="20"/>
        </w:rPr>
      </w:pPr>
      <w:r>
        <w:rPr>
          <w:rFonts w:ascii="Arial" w:hAnsi="Arial"/>
          <w:sz w:val="20"/>
        </w:rPr>
        <w:t>The following table sets forth certain information with respect to outstanding equity awards held by each named executive officer at the fiscal year ended December 31, 2022.</w:t>
      </w:r>
    </w:p>
    <w:tbl>
      <w:tblPr>
        <w:tblW w:w="10205" w:type="dxa"/>
        <w:jc w:val="left"/>
        <w:tblInd w:w="0" w:type="dxa"/>
        <w:tblCellMar>
          <w:top w:w="0" w:type="dxa"/>
          <w:left w:w="0" w:type="dxa"/>
          <w:bottom w:w="0" w:type="dxa"/>
          <w:right w:w="0" w:type="dxa"/>
        </w:tblCellMar>
      </w:tblPr>
      <w:tblGrid>
        <w:gridCol w:w="1471"/>
        <w:gridCol w:w="120"/>
        <w:gridCol w:w="875"/>
        <w:gridCol w:w="204"/>
        <w:gridCol w:w="120"/>
        <w:gridCol w:w="995"/>
        <w:gridCol w:w="120"/>
        <w:gridCol w:w="125"/>
        <w:gridCol w:w="605"/>
        <w:gridCol w:w="120"/>
        <w:gridCol w:w="863"/>
        <w:gridCol w:w="120"/>
        <w:gridCol w:w="786"/>
        <w:gridCol w:w="120"/>
        <w:gridCol w:w="125"/>
        <w:gridCol w:w="980"/>
        <w:gridCol w:w="120"/>
        <w:gridCol w:w="914"/>
        <w:gridCol w:w="120"/>
        <w:gridCol w:w="425"/>
        <w:gridCol w:w="877"/>
      </w:tblGrid>
      <w:tr>
        <w:trPr/>
        <w:tc>
          <w:tcPr>
            <w:tcW w:w="14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27" w:type="dxa"/>
            <w:gridSpan w:val="9"/>
            <w:tcBorders>
              <w:bottom w:val="single" w:sz="12" w:space="0" w:color="1A2343"/>
            </w:tcBorders>
            <w:shd w:fill="auto" w:val="clear"/>
            <w:tcMar>
              <w:bottom w:w="28" w:type="dxa"/>
            </w:tcMar>
            <w:vAlign w:val="center"/>
          </w:tcPr>
          <w:p>
            <w:pPr>
              <w:pStyle w:val="TableContents"/>
              <w:spacing w:before="0" w:after="283"/>
              <w:jc w:val="center"/>
              <w:rPr>
                <w:rFonts w:ascii="Arial" w:hAnsi="Arial"/>
                <w:color w:val="1A2343"/>
                <w:sz w:val="15"/>
              </w:rPr>
            </w:pPr>
            <w:r>
              <w:rPr>
                <w:rFonts w:ascii="Arial" w:hAnsi="Arial"/>
                <w:color w:val="1A2343"/>
                <w:sz w:val="15"/>
              </w:rPr>
              <w:t>Option Awards</w:t>
            </w:r>
          </w:p>
        </w:tc>
        <w:tc>
          <w:tcPr>
            <w:tcW w:w="120" w:type="dxa"/>
            <w:tcBorders/>
            <w:shd w:fill="auto" w:val="clear"/>
            <w:vAlign w:val="center"/>
          </w:tcPr>
          <w:p>
            <w:pPr>
              <w:pStyle w:val="TableContents"/>
              <w:spacing w:before="0" w:after="283"/>
              <w:rPr>
                <w:sz w:val="4"/>
                <w:szCs w:val="4"/>
              </w:rPr>
            </w:pPr>
            <w:r>
              <w:rPr>
                <w:sz w:val="4"/>
                <w:szCs w:val="4"/>
              </w:rPr>
            </w:r>
          </w:p>
        </w:tc>
        <w:tc>
          <w:tcPr>
            <w:tcW w:w="4467" w:type="dxa"/>
            <w:gridSpan w:val="9"/>
            <w:tcBorders>
              <w:bottom w:val="single" w:sz="12" w:space="0" w:color="1A2343"/>
            </w:tcBorders>
            <w:shd w:fill="auto" w:val="clear"/>
            <w:tcMar>
              <w:bottom w:w="28" w:type="dxa"/>
            </w:tcMar>
            <w:vAlign w:val="center"/>
          </w:tcPr>
          <w:p>
            <w:pPr>
              <w:pStyle w:val="TableContents"/>
              <w:spacing w:before="0" w:after="283"/>
              <w:jc w:val="center"/>
              <w:rPr>
                <w:rFonts w:ascii="Arial" w:hAnsi="Arial"/>
                <w:color w:val="1A2343"/>
                <w:sz w:val="15"/>
              </w:rPr>
            </w:pPr>
            <w:r>
              <w:rPr>
                <w:rFonts w:ascii="Arial" w:hAnsi="Arial"/>
                <w:color w:val="1A2343"/>
                <w:sz w:val="15"/>
              </w:rPr>
              <w:t>Stock Awards</w:t>
            </w:r>
          </w:p>
        </w:tc>
      </w:tr>
      <w:tr>
        <w:trPr/>
        <w:tc>
          <w:tcPr>
            <w:tcW w:w="1471" w:type="dxa"/>
            <w:tcBorders>
              <w:bottom w:val="single" w:sz="12" w:space="0" w:color="1A2343"/>
            </w:tcBorders>
            <w:shd w:fill="auto" w:val="clear"/>
            <w:tcMar>
              <w:bottom w:w="40" w:type="dxa"/>
            </w:tcMar>
            <w:vAlign w:val="center"/>
          </w:tcPr>
          <w:p>
            <w:pPr>
              <w:pStyle w:val="TableContents"/>
              <w:spacing w:before="0" w:after="283"/>
              <w:jc w:val="left"/>
              <w:rPr>
                <w:rFonts w:ascii="Arial" w:hAnsi="Arial"/>
                <w:color w:val="1A2343"/>
                <w:sz w:val="15"/>
              </w:rPr>
            </w:pPr>
            <w:r>
              <w:rPr>
                <w:rFonts w:ascii="Arial" w:hAnsi="Arial"/>
                <w:color w:val="1A2343"/>
                <w:sz w:val="15"/>
              </w:rPr>
              <w:t>Name</w:t>
            </w:r>
          </w:p>
        </w:tc>
        <w:tc>
          <w:tcPr>
            <w:tcW w:w="120" w:type="dxa"/>
            <w:tcBorders/>
            <w:shd w:fill="auto" w:val="clear"/>
            <w:vAlign w:val="center"/>
          </w:tcPr>
          <w:p>
            <w:pPr>
              <w:pStyle w:val="TableContents"/>
              <w:spacing w:before="0" w:after="283"/>
              <w:jc w:val="right"/>
              <w:rPr>
                <w:color w:val="1A2343"/>
              </w:rPr>
            </w:pPr>
            <w:r>
              <w:rPr>
                <w:color w:val="1A2343"/>
              </w:rPr>
              <w:t>  </w:t>
            </w:r>
          </w:p>
        </w:tc>
        <w:tc>
          <w:tcPr>
            <w:tcW w:w="875"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Number of</w:t>
              <w:br/>
              <w:t>Securities</w:t>
              <w:br/>
              <w:t>Underlying</w:t>
              <w:br/>
              <w:t>Unexercised</w:t>
              <w:br/>
              <w:t>Options (#)</w:t>
              <w:br/>
              <w:t>Exercisable</w:t>
            </w:r>
          </w:p>
        </w:tc>
        <w:tc>
          <w:tcPr>
            <w:tcW w:w="2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right"/>
              <w:rPr/>
            </w:pPr>
            <w:r>
              <w:rPr/>
              <w:t>  </w:t>
            </w:r>
          </w:p>
        </w:tc>
        <w:tc>
          <w:tcPr>
            <w:tcW w:w="995"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Number of</w:t>
              <w:br/>
              <w:t>Securities</w:t>
              <w:br/>
              <w:t>Underlying</w:t>
              <w:br/>
              <w:t>Unexercised</w:t>
              <w:br/>
              <w:t>Options (#)</w:t>
              <w:br/>
              <w:t>Unexercisable</w:t>
            </w:r>
          </w:p>
        </w:tc>
        <w:tc>
          <w:tcPr>
            <w:tcW w:w="120" w:type="dxa"/>
            <w:tcBorders/>
            <w:shd w:fill="auto" w:val="clear"/>
            <w:vAlign w:val="center"/>
          </w:tcPr>
          <w:p>
            <w:pPr>
              <w:pStyle w:val="TableContents"/>
              <w:spacing w:before="0" w:after="283"/>
              <w:jc w:val="right"/>
              <w:rPr/>
            </w:pPr>
            <w:r>
              <w:rPr/>
              <w:t>  </w:t>
            </w:r>
          </w:p>
        </w:tc>
        <w:tc>
          <w:tcPr>
            <w:tcW w:w="730" w:type="dxa"/>
            <w:gridSpan w:val="2"/>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Option</w:t>
              <w:br/>
              <w:t>Exercise</w:t>
              <w:br/>
              <w:t>Price</w:t>
              <w:br/>
              <w:t>($)</w:t>
            </w:r>
          </w:p>
        </w:tc>
        <w:tc>
          <w:tcPr>
            <w:tcW w:w="120" w:type="dxa"/>
            <w:tcBorders/>
            <w:shd w:fill="auto" w:val="clear"/>
            <w:vAlign w:val="center"/>
          </w:tcPr>
          <w:p>
            <w:pPr>
              <w:pStyle w:val="TableContents"/>
              <w:spacing w:before="0" w:after="283"/>
              <w:jc w:val="right"/>
              <w:rPr/>
            </w:pPr>
            <w:r>
              <w:rPr/>
              <w:t>  </w:t>
            </w:r>
          </w:p>
        </w:tc>
        <w:tc>
          <w:tcPr>
            <w:tcW w:w="863"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Option</w:t>
              <w:br/>
              <w:t>Expiration</w:t>
              <w:br/>
              <w:t>Date</w:t>
            </w:r>
          </w:p>
        </w:tc>
        <w:tc>
          <w:tcPr>
            <w:tcW w:w="120" w:type="dxa"/>
            <w:tcBorders/>
            <w:shd w:fill="auto" w:val="clear"/>
            <w:vAlign w:val="center"/>
          </w:tcPr>
          <w:p>
            <w:pPr>
              <w:pStyle w:val="TableContents"/>
              <w:spacing w:before="0" w:after="283"/>
              <w:jc w:val="right"/>
              <w:rPr/>
            </w:pPr>
            <w:r>
              <w:rPr/>
              <w:t>  </w:t>
            </w:r>
          </w:p>
        </w:tc>
        <w:tc>
          <w:tcPr>
            <w:tcW w:w="786"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Number</w:t>
              <w:br/>
              <w:t>of Shares</w:t>
              <w:br/>
              <w:t>or Units of</w:t>
              <w:br/>
              <w:t>Stock That</w:t>
              <w:br/>
              <w:t>Have Not</w:t>
              <w:br/>
              <w:t>Vested(#)</w:t>
            </w:r>
            <w:r>
              <w:rPr>
                <w:rFonts w:ascii="Arial" w:hAnsi="Arial"/>
                <w:color w:val="1A2343"/>
                <w:position w:val="5"/>
                <w:sz w:val="12"/>
                <w:sz w:val="15"/>
              </w:rPr>
              <w:t>(1)</w:t>
            </w:r>
          </w:p>
        </w:tc>
        <w:tc>
          <w:tcPr>
            <w:tcW w:w="120" w:type="dxa"/>
            <w:tcBorders/>
            <w:shd w:fill="auto" w:val="clear"/>
            <w:vAlign w:val="center"/>
          </w:tcPr>
          <w:p>
            <w:pPr>
              <w:pStyle w:val="TableContents"/>
              <w:spacing w:before="0" w:after="283"/>
              <w:jc w:val="right"/>
              <w:rPr>
                <w:color w:val="1A2343"/>
              </w:rPr>
            </w:pPr>
            <w:r>
              <w:rPr>
                <w:color w:val="1A2343"/>
              </w:rPr>
              <w:t>  </w:t>
            </w:r>
          </w:p>
        </w:tc>
        <w:tc>
          <w:tcPr>
            <w:tcW w:w="1105" w:type="dxa"/>
            <w:gridSpan w:val="2"/>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Market Value</w:t>
              <w:br/>
              <w:t>of Shares or</w:t>
              <w:br/>
              <w:t>Units of Stock</w:t>
              <w:br/>
              <w:t>That Have Not</w:t>
              <w:br/>
              <w:t>Vested</w:t>
            </w:r>
            <w:r>
              <w:rPr>
                <w:rFonts w:ascii="Arial" w:hAnsi="Arial"/>
                <w:color w:val="1A2343"/>
                <w:position w:val="5"/>
                <w:sz w:val="12"/>
                <w:sz w:val="15"/>
              </w:rPr>
              <w:t>(2)</w:t>
            </w:r>
          </w:p>
        </w:tc>
        <w:tc>
          <w:tcPr>
            <w:tcW w:w="120" w:type="dxa"/>
            <w:tcBorders/>
            <w:shd w:fill="auto" w:val="clear"/>
            <w:vAlign w:val="center"/>
          </w:tcPr>
          <w:p>
            <w:pPr>
              <w:pStyle w:val="TableContents"/>
              <w:spacing w:before="0" w:after="283"/>
              <w:jc w:val="left"/>
              <w:rPr/>
            </w:pPr>
            <w:r>
              <w:rPr/>
              <w:t>  </w:t>
            </w:r>
          </w:p>
        </w:tc>
        <w:tc>
          <w:tcPr>
            <w:tcW w:w="914"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Equity</w:t>
              <w:br/>
              <w:t>Incentive</w:t>
              <w:br/>
              <w:t>Plan Awards:</w:t>
              <w:br/>
              <w:t>Number of</w:t>
              <w:br/>
              <w:t>Unearned</w:t>
              <w:br/>
              <w:t>Shares, Units</w:t>
              <w:br/>
              <w:t>or Other Rights</w:t>
              <w:br/>
              <w:t>That Have Not</w:t>
              <w:br/>
              <w:t>Vested (#)</w:t>
            </w:r>
            <w:r>
              <w:rPr>
                <w:rFonts w:ascii="Arial" w:hAnsi="Arial"/>
                <w:color w:val="1A2343"/>
                <w:position w:val="5"/>
                <w:sz w:val="12"/>
                <w:sz w:val="15"/>
              </w:rPr>
              <w:t>(3)</w:t>
            </w:r>
          </w:p>
        </w:tc>
        <w:tc>
          <w:tcPr>
            <w:tcW w:w="120" w:type="dxa"/>
            <w:tcBorders/>
            <w:shd w:fill="auto" w:val="clear"/>
            <w:vAlign w:val="center"/>
          </w:tcPr>
          <w:p>
            <w:pPr>
              <w:pStyle w:val="TableContents"/>
              <w:spacing w:before="0" w:after="283"/>
              <w:jc w:val="left"/>
              <w:rPr/>
            </w:pPr>
            <w:r>
              <w:rPr/>
              <w:t>  </w:t>
            </w:r>
          </w:p>
        </w:tc>
        <w:tc>
          <w:tcPr>
            <w:tcW w:w="1302" w:type="dxa"/>
            <w:gridSpan w:val="2"/>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Equity</w:t>
              <w:br/>
              <w:t>Incentive Plan</w:t>
              <w:br/>
              <w:t>Awards: Market</w:t>
              <w:br/>
              <w:t>or Payout Value</w:t>
              <w:br/>
              <w:t>of Unearned</w:t>
              <w:br/>
              <w:t>Shares or Units</w:t>
              <w:br/>
              <w:t>or Other Rights</w:t>
              <w:br/>
              <w:t>that Have Not</w:t>
              <w:br/>
              <w:t>Vested</w:t>
            </w:r>
            <w:r>
              <w:rPr>
                <w:rFonts w:ascii="Arial" w:hAnsi="Arial"/>
                <w:color w:val="1A2343"/>
                <w:position w:val="5"/>
                <w:sz w:val="12"/>
                <w:sz w:val="15"/>
              </w:rPr>
              <w:t>(2)</w:t>
            </w:r>
          </w:p>
        </w:tc>
      </w:tr>
      <w:tr>
        <w:trPr/>
        <w:tc>
          <w:tcPr>
            <w:tcW w:w="1471" w:type="dxa"/>
            <w:vMerge w:val="restart"/>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Marc Holliday</w:t>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100,000</w:t>
            </w:r>
          </w:p>
        </w:tc>
        <w:tc>
          <w:tcPr>
            <w:tcW w:w="204"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995" w:type="dxa"/>
            <w:tcBorders>
              <w:bottom w:val="single" w:sz="8" w:space="0" w:color="5B5975"/>
            </w:tcBorders>
            <w:shd w:fill="F3F6EA" w:val="clear"/>
            <w:tcMar>
              <w:bottom w:w="28" w:type="dxa"/>
            </w:tcM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605"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76.65</w:t>
            </w:r>
          </w:p>
        </w:tc>
        <w:tc>
          <w:tcPr>
            <w:tcW w:w="120" w:type="dxa"/>
            <w:tcBorders/>
            <w:shd w:fill="F3F6EA" w:val="clear"/>
            <w:vAlign w:val="center"/>
          </w:tcPr>
          <w:p>
            <w:pPr>
              <w:pStyle w:val="TableContents"/>
              <w:spacing w:before="0" w:after="283"/>
              <w:rPr>
                <w:sz w:val="4"/>
                <w:szCs w:val="4"/>
              </w:rPr>
            </w:pPr>
            <w:r>
              <w:rPr>
                <w:sz w:val="4"/>
                <w:szCs w:val="4"/>
              </w:rPr>
            </w:r>
          </w:p>
        </w:tc>
        <w:tc>
          <w:tcPr>
            <w:tcW w:w="863"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01/02/2023</w:t>
            </w:r>
          </w:p>
        </w:tc>
        <w:tc>
          <w:tcPr>
            <w:tcW w:w="120" w:type="dxa"/>
            <w:tcBorders/>
            <w:shd w:fill="F3F6EA" w:val="clear"/>
            <w:vAlign w:val="center"/>
          </w:tcPr>
          <w:p>
            <w:pPr>
              <w:pStyle w:val="TableContents"/>
              <w:spacing w:before="0" w:after="283"/>
              <w:rPr>
                <w:sz w:val="4"/>
                <w:szCs w:val="4"/>
              </w:rPr>
            </w:pPr>
            <w:r>
              <w:rPr>
                <w:sz w:val="4"/>
                <w:szCs w:val="4"/>
              </w:rPr>
            </w:r>
          </w:p>
        </w:tc>
        <w:tc>
          <w:tcPr>
            <w:tcW w:w="786"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345,648</w:t>
            </w:r>
          </w:p>
        </w:tc>
        <w:tc>
          <w:tcPr>
            <w:tcW w:w="120" w:type="dxa"/>
            <w:tcBorders/>
            <w:shd w:fill="F3F6EA"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F3F6EA" w:val="clear"/>
            <w:tcMar>
              <w:bottom w:w="28" w:type="dxa"/>
            </w:tcMar>
            <w:vAlign w:val="center"/>
          </w:tcPr>
          <w:p>
            <w:pPr>
              <w:pStyle w:val="TableContents"/>
              <w:spacing w:before="0" w:after="283"/>
              <w:jc w:val="left"/>
              <w:rPr>
                <w:rFonts w:ascii="Arial" w:hAnsi="Arial"/>
                <w:color w:val="1A2343"/>
                <w:sz w:val="20"/>
              </w:rPr>
            </w:pPr>
            <w:r>
              <w:rPr>
                <w:rFonts w:ascii="Arial" w:hAnsi="Arial"/>
                <w:color w:val="1A2343"/>
                <w:sz w:val="20"/>
              </w:rPr>
              <w:t>$</w:t>
            </w:r>
          </w:p>
        </w:tc>
        <w:tc>
          <w:tcPr>
            <w:tcW w:w="980"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11,655,251</w:t>
            </w:r>
          </w:p>
        </w:tc>
        <w:tc>
          <w:tcPr>
            <w:tcW w:w="120" w:type="dxa"/>
            <w:tcBorders/>
            <w:shd w:fill="F3F6EA" w:val="clear"/>
            <w:vAlign w:val="center"/>
          </w:tcPr>
          <w:p>
            <w:pPr>
              <w:pStyle w:val="TableContents"/>
              <w:spacing w:before="0" w:after="283"/>
              <w:rPr>
                <w:sz w:val="4"/>
                <w:szCs w:val="4"/>
              </w:rPr>
            </w:pPr>
            <w:r>
              <w:rPr>
                <w:sz w:val="4"/>
                <w:szCs w:val="4"/>
              </w:rPr>
            </w:r>
          </w:p>
        </w:tc>
        <w:tc>
          <w:tcPr>
            <w:tcW w:w="914" w:type="dxa"/>
            <w:tcBorders>
              <w:bottom w:val="single" w:sz="8" w:space="0" w:color="5B5975"/>
            </w:tcBorders>
            <w:shd w:fill="F3F6EA" w:val="clear"/>
            <w:tcMar>
              <w:bottom w:w="28" w:type="dxa"/>
            </w:tcMar>
            <w:vAlign w:val="center"/>
          </w:tcPr>
          <w:p>
            <w:pPr>
              <w:pStyle w:val="TableContents"/>
              <w:spacing w:before="0" w:after="283"/>
              <w:jc w:val="right"/>
              <w:rPr>
                <w:rFonts w:ascii="Arial" w:hAnsi="Arial"/>
                <w:color w:val="1A2343"/>
                <w:sz w:val="20"/>
              </w:rPr>
            </w:pPr>
            <w:r>
              <w:rPr>
                <w:rFonts w:ascii="Arial" w:hAnsi="Arial"/>
                <w:color w:val="1A2343"/>
                <w:sz w:val="20"/>
              </w:rPr>
              <w:t>56,977</w:t>
            </w:r>
          </w:p>
        </w:tc>
        <w:tc>
          <w:tcPr>
            <w:tcW w:w="120" w:type="dxa"/>
            <w:tcBorders/>
            <w:shd w:fill="F3F6EA"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F3F6EA" w:val="clear"/>
            <w:tcMar>
              <w:bottom w:w="28" w:type="dxa"/>
            </w:tcMar>
            <w:vAlign w:val="center"/>
          </w:tcPr>
          <w:p>
            <w:pPr>
              <w:pStyle w:val="TableContents"/>
              <w:spacing w:before="0" w:after="283"/>
              <w:jc w:val="left"/>
              <w:rPr>
                <w:rFonts w:ascii="Arial" w:hAnsi="Arial"/>
                <w:sz w:val="20"/>
              </w:rPr>
            </w:pPr>
            <w:r>
              <w:rPr>
                <w:rFonts w:ascii="Arial" w:hAnsi="Arial"/>
                <w:sz w:val="20"/>
              </w:rPr>
              <w:t>$     </w:t>
            </w:r>
          </w:p>
        </w:tc>
        <w:tc>
          <w:tcPr>
            <w:tcW w:w="877"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1,921,264</w:t>
            </w:r>
          </w:p>
        </w:tc>
      </w:tr>
      <w:tr>
        <w:trPr/>
        <w:tc>
          <w:tcPr>
            <w:tcW w:w="1471" w:type="dxa"/>
            <w:vMerge w:val="continue"/>
            <w:tcBorders>
              <w:bottom w:val="single" w:sz="8" w:space="0" w:color="5B5975"/>
            </w:tcBorders>
            <w:shd w:fill="auto" w:val="clear"/>
            <w:tcMar>
              <w:bottom w:w="28" w:type="dxa"/>
            </w:tcM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52,500</w:t>
            </w:r>
          </w:p>
        </w:tc>
        <w:tc>
          <w:tcPr>
            <w:tcW w:w="2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95"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60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99.86</w:t>
            </w:r>
          </w:p>
        </w:tc>
        <w:tc>
          <w:tcPr>
            <w:tcW w:w="120" w:type="dxa"/>
            <w:tcBorders/>
            <w:shd w:fill="auto" w:val="clear"/>
            <w:vAlign w:val="center"/>
          </w:tcPr>
          <w:p>
            <w:pPr>
              <w:pStyle w:val="TableContents"/>
              <w:spacing w:before="0" w:after="283"/>
              <w:rPr>
                <w:sz w:val="4"/>
                <w:szCs w:val="4"/>
              </w:rPr>
            </w:pPr>
            <w:r>
              <w:rPr>
                <w:sz w:val="4"/>
                <w:szCs w:val="4"/>
              </w:rPr>
            </w:r>
          </w:p>
        </w:tc>
        <w:tc>
          <w:tcPr>
            <w:tcW w:w="863"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06/17/2026</w:t>
            </w:r>
          </w:p>
        </w:tc>
        <w:tc>
          <w:tcPr>
            <w:tcW w:w="120" w:type="dxa"/>
            <w:tcBorders/>
            <w:shd w:fill="auto" w:val="clear"/>
            <w:vAlign w:val="center"/>
          </w:tcPr>
          <w:p>
            <w:pPr>
              <w:pStyle w:val="TableContents"/>
              <w:spacing w:before="0" w:after="283"/>
              <w:rPr>
                <w:sz w:val="4"/>
                <w:szCs w:val="4"/>
              </w:rPr>
            </w:pPr>
            <w:r>
              <w:rPr>
                <w:sz w:val="4"/>
                <w:szCs w:val="4"/>
              </w:rPr>
            </w:r>
          </w:p>
        </w:tc>
        <w:tc>
          <w:tcPr>
            <w:tcW w:w="786"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914"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877" w:type="dxa"/>
            <w:tcBorders>
              <w:bottom w:val="single" w:sz="8" w:space="0" w:color="5B5975"/>
            </w:tcBorders>
            <w:shd w:fill="auto" w:val="clear"/>
            <w:tcMar>
              <w:bottom w:w="28" w:type="dxa"/>
            </w:tcMar>
            <w:vAlign w:val="center"/>
          </w:tcPr>
          <w:p>
            <w:pPr>
              <w:pStyle w:val="TableContents"/>
              <w:spacing w:before="0" w:after="283"/>
              <w:jc w:val="right"/>
              <w:rPr/>
            </w:pPr>
            <w:r>
              <w:rPr/>
              <w:t>—</w:t>
            </w:r>
          </w:p>
        </w:tc>
      </w:tr>
      <w:tr>
        <w:trPr/>
        <w:tc>
          <w:tcPr>
            <w:tcW w:w="1471" w:type="dxa"/>
            <w:vMerge w:val="continue"/>
            <w:tcBorders>
              <w:bottom w:val="single" w:sz="8" w:space="0" w:color="5B5975"/>
            </w:tcBorders>
            <w:shd w:fill="auto" w:val="clear"/>
            <w:tcMar>
              <w:bottom w:w="28" w:type="dxa"/>
            </w:tcM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52,500</w:t>
            </w:r>
          </w:p>
        </w:tc>
        <w:tc>
          <w:tcPr>
            <w:tcW w:w="2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95"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60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105.73</w:t>
            </w:r>
          </w:p>
        </w:tc>
        <w:tc>
          <w:tcPr>
            <w:tcW w:w="120" w:type="dxa"/>
            <w:tcBorders/>
            <w:shd w:fill="auto" w:val="clear"/>
            <w:vAlign w:val="center"/>
          </w:tcPr>
          <w:p>
            <w:pPr>
              <w:pStyle w:val="TableContents"/>
              <w:spacing w:before="0" w:after="283"/>
              <w:rPr>
                <w:sz w:val="4"/>
                <w:szCs w:val="4"/>
              </w:rPr>
            </w:pPr>
            <w:r>
              <w:rPr>
                <w:sz w:val="4"/>
                <w:szCs w:val="4"/>
              </w:rPr>
            </w:r>
          </w:p>
        </w:tc>
        <w:tc>
          <w:tcPr>
            <w:tcW w:w="863"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06/17/2027</w:t>
            </w:r>
          </w:p>
        </w:tc>
        <w:tc>
          <w:tcPr>
            <w:tcW w:w="120" w:type="dxa"/>
            <w:tcBorders/>
            <w:shd w:fill="auto" w:val="clear"/>
            <w:vAlign w:val="center"/>
          </w:tcPr>
          <w:p>
            <w:pPr>
              <w:pStyle w:val="TableContents"/>
              <w:spacing w:before="0" w:after="283"/>
              <w:rPr>
                <w:sz w:val="4"/>
                <w:szCs w:val="4"/>
              </w:rPr>
            </w:pPr>
            <w:r>
              <w:rPr>
                <w:sz w:val="4"/>
                <w:szCs w:val="4"/>
              </w:rPr>
            </w:r>
          </w:p>
        </w:tc>
        <w:tc>
          <w:tcPr>
            <w:tcW w:w="786"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914"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877" w:type="dxa"/>
            <w:tcBorders>
              <w:bottom w:val="single" w:sz="8" w:space="0" w:color="5B5975"/>
            </w:tcBorders>
            <w:shd w:fill="auto" w:val="clear"/>
            <w:tcMar>
              <w:bottom w:w="28" w:type="dxa"/>
            </w:tcMar>
            <w:vAlign w:val="center"/>
          </w:tcPr>
          <w:p>
            <w:pPr>
              <w:pStyle w:val="TableContents"/>
              <w:spacing w:before="0" w:after="283"/>
              <w:jc w:val="right"/>
              <w:rPr>
                <w:color w:val="1A2343"/>
              </w:rPr>
            </w:pPr>
            <w:r>
              <w:rPr>
                <w:color w:val="1A2343"/>
              </w:rPr>
              <w:t>—</w:t>
            </w:r>
          </w:p>
        </w:tc>
      </w:tr>
      <w:tr>
        <w:trPr/>
        <w:tc>
          <w:tcPr>
            <w:tcW w:w="1471"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Andrew Mathias</w:t>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65,000</w:t>
            </w:r>
          </w:p>
        </w:tc>
        <w:tc>
          <w:tcPr>
            <w:tcW w:w="204"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995" w:type="dxa"/>
            <w:tcBorders>
              <w:bottom w:val="single" w:sz="8" w:space="0" w:color="5B5975"/>
            </w:tcBorders>
            <w:shd w:fill="F3F6EA" w:val="clear"/>
            <w:tcMar>
              <w:bottom w:w="28" w:type="dxa"/>
            </w:tcMar>
            <w:vAlign w:val="center"/>
          </w:tcPr>
          <w:p>
            <w:pPr>
              <w:pStyle w:val="TableContents"/>
              <w:spacing w:before="0" w:after="283"/>
              <w:jc w:val="right"/>
              <w:rPr/>
            </w:pPr>
            <w:r>
              <w:rPr/>
              <w:t>—</w:t>
            </w:r>
          </w:p>
        </w:tc>
        <w:tc>
          <w:tcPr>
            <w:tcW w:w="120" w:type="dxa"/>
            <w:tcBorders/>
            <w:shd w:fill="F3F6EA"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605"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91.43</w:t>
            </w:r>
          </w:p>
        </w:tc>
        <w:tc>
          <w:tcPr>
            <w:tcW w:w="120" w:type="dxa"/>
            <w:tcBorders/>
            <w:shd w:fill="F3F6EA" w:val="clear"/>
            <w:vAlign w:val="center"/>
          </w:tcPr>
          <w:p>
            <w:pPr>
              <w:pStyle w:val="TableContents"/>
              <w:spacing w:before="0" w:after="283"/>
              <w:rPr>
                <w:sz w:val="4"/>
                <w:szCs w:val="4"/>
              </w:rPr>
            </w:pPr>
            <w:r>
              <w:rPr>
                <w:sz w:val="4"/>
                <w:szCs w:val="4"/>
              </w:rPr>
            </w:r>
          </w:p>
        </w:tc>
        <w:tc>
          <w:tcPr>
            <w:tcW w:w="863"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11/08/2023</w:t>
            </w:r>
          </w:p>
        </w:tc>
        <w:tc>
          <w:tcPr>
            <w:tcW w:w="120" w:type="dxa"/>
            <w:tcBorders/>
            <w:shd w:fill="F3F6EA" w:val="clear"/>
            <w:vAlign w:val="center"/>
          </w:tcPr>
          <w:p>
            <w:pPr>
              <w:pStyle w:val="TableContents"/>
              <w:spacing w:before="0" w:after="283"/>
              <w:rPr>
                <w:sz w:val="4"/>
                <w:szCs w:val="4"/>
              </w:rPr>
            </w:pPr>
            <w:r>
              <w:rPr>
                <w:sz w:val="4"/>
                <w:szCs w:val="4"/>
              </w:rPr>
            </w:r>
          </w:p>
        </w:tc>
        <w:tc>
          <w:tcPr>
            <w:tcW w:w="786"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272,557</w:t>
            </w:r>
          </w:p>
        </w:tc>
        <w:tc>
          <w:tcPr>
            <w:tcW w:w="120" w:type="dxa"/>
            <w:tcBorders/>
            <w:shd w:fill="F3F6EA"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F3F6EA" w:val="clear"/>
            <w:tcMar>
              <w:bottom w:w="28" w:type="dxa"/>
            </w:tcMar>
            <w:vAlign w:val="center"/>
          </w:tcPr>
          <w:p>
            <w:pPr>
              <w:pStyle w:val="TableContents"/>
              <w:spacing w:before="0" w:after="283"/>
              <w:jc w:val="left"/>
              <w:rPr>
                <w:rFonts w:ascii="Arial" w:hAnsi="Arial"/>
                <w:color w:val="1A2343"/>
                <w:sz w:val="20"/>
              </w:rPr>
            </w:pPr>
            <w:r>
              <w:rPr>
                <w:rFonts w:ascii="Arial" w:hAnsi="Arial"/>
                <w:color w:val="1A2343"/>
                <w:sz w:val="20"/>
              </w:rPr>
              <w:t>$</w:t>
            </w:r>
          </w:p>
        </w:tc>
        <w:tc>
          <w:tcPr>
            <w:tcW w:w="980"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9,190,622</w:t>
            </w:r>
          </w:p>
        </w:tc>
        <w:tc>
          <w:tcPr>
            <w:tcW w:w="120" w:type="dxa"/>
            <w:tcBorders/>
            <w:shd w:fill="F3F6EA" w:val="clear"/>
            <w:vAlign w:val="center"/>
          </w:tcPr>
          <w:p>
            <w:pPr>
              <w:pStyle w:val="TableContents"/>
              <w:spacing w:before="0" w:after="283"/>
              <w:rPr>
                <w:sz w:val="4"/>
                <w:szCs w:val="4"/>
              </w:rPr>
            </w:pPr>
            <w:r>
              <w:rPr>
                <w:sz w:val="4"/>
                <w:szCs w:val="4"/>
              </w:rPr>
            </w:r>
          </w:p>
        </w:tc>
        <w:tc>
          <w:tcPr>
            <w:tcW w:w="914"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45,583</w:t>
            </w:r>
          </w:p>
        </w:tc>
        <w:tc>
          <w:tcPr>
            <w:tcW w:w="120" w:type="dxa"/>
            <w:tcBorders/>
            <w:shd w:fill="F3F6EA"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F3F6EA"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877"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1,537,059</w:t>
            </w:r>
          </w:p>
        </w:tc>
      </w:tr>
      <w:tr>
        <w:trPr/>
        <w:tc>
          <w:tcPr>
            <w:tcW w:w="1471"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Matthew J. DiLiberto</w:t>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15,000</w:t>
            </w:r>
          </w:p>
        </w:tc>
        <w:tc>
          <w:tcPr>
            <w:tcW w:w="204" w:type="dxa"/>
            <w:tcBorders/>
            <w:shd w:fill="F3F6EA" w:val="clear"/>
            <w:vAlign w:val="center"/>
          </w:tcPr>
          <w:p>
            <w:pPr>
              <w:pStyle w:val="TableContents"/>
              <w:spacing w:before="0" w:after="283"/>
              <w:jc w:val="left"/>
              <w:rPr>
                <w:rFonts w:ascii="Arial" w:hAnsi="Arial"/>
                <w:position w:val="7"/>
                <w:sz w:val="16"/>
                <w:sz w:val="20"/>
              </w:rPr>
            </w:pPr>
            <w:r>
              <w:rPr>
                <w:rFonts w:ascii="Arial" w:hAnsi="Arial"/>
                <w:position w:val="7"/>
                <w:sz w:val="16"/>
                <w:sz w:val="20"/>
              </w:rPr>
              <w:t>(4)</w:t>
            </w:r>
          </w:p>
        </w:tc>
        <w:tc>
          <w:tcPr>
            <w:tcW w:w="120" w:type="dxa"/>
            <w:tcBorders/>
            <w:shd w:fill="F3F6EA" w:val="clear"/>
            <w:vAlign w:val="center"/>
          </w:tcPr>
          <w:p>
            <w:pPr>
              <w:pStyle w:val="TableContents"/>
              <w:spacing w:before="0" w:after="283"/>
              <w:rPr>
                <w:sz w:val="4"/>
                <w:szCs w:val="4"/>
              </w:rPr>
            </w:pPr>
            <w:r>
              <w:rPr>
                <w:sz w:val="4"/>
                <w:szCs w:val="4"/>
              </w:rPr>
            </w:r>
          </w:p>
        </w:tc>
        <w:tc>
          <w:tcPr>
            <w:tcW w:w="995" w:type="dxa"/>
            <w:tcBorders>
              <w:bottom w:val="single" w:sz="8" w:space="0" w:color="5B5975"/>
            </w:tcBorders>
            <w:shd w:fill="F3F6EA" w:val="clear"/>
            <w:tcMar>
              <w:bottom w:w="28" w:type="dxa"/>
            </w:tcMar>
            <w:vAlign w:val="center"/>
          </w:tcPr>
          <w:p>
            <w:pPr>
              <w:pStyle w:val="TableContents"/>
              <w:spacing w:before="0" w:after="283"/>
              <w:jc w:val="right"/>
              <w:rPr/>
            </w:pPr>
            <w:r>
              <w:rPr/>
              <w:t>—</w:t>
            </w:r>
          </w:p>
        </w:tc>
        <w:tc>
          <w:tcPr>
            <w:tcW w:w="120" w:type="dxa"/>
            <w:tcBorders/>
            <w:shd w:fill="F3F6EA"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605"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106.05</w:t>
            </w:r>
          </w:p>
        </w:tc>
        <w:tc>
          <w:tcPr>
            <w:tcW w:w="120" w:type="dxa"/>
            <w:tcBorders/>
            <w:shd w:fill="F3F6EA" w:val="clear"/>
            <w:vAlign w:val="center"/>
          </w:tcPr>
          <w:p>
            <w:pPr>
              <w:pStyle w:val="TableContents"/>
              <w:spacing w:before="0" w:after="283"/>
              <w:rPr>
                <w:sz w:val="4"/>
                <w:szCs w:val="4"/>
              </w:rPr>
            </w:pPr>
            <w:r>
              <w:rPr>
                <w:sz w:val="4"/>
                <w:szCs w:val="4"/>
              </w:rPr>
            </w:r>
          </w:p>
        </w:tc>
        <w:tc>
          <w:tcPr>
            <w:tcW w:w="863"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01/11/2027</w:t>
            </w:r>
          </w:p>
        </w:tc>
        <w:tc>
          <w:tcPr>
            <w:tcW w:w="120" w:type="dxa"/>
            <w:tcBorders/>
            <w:shd w:fill="F3F6EA" w:val="clear"/>
            <w:vAlign w:val="center"/>
          </w:tcPr>
          <w:p>
            <w:pPr>
              <w:pStyle w:val="TableContents"/>
              <w:spacing w:before="0" w:after="283"/>
              <w:rPr>
                <w:sz w:val="4"/>
                <w:szCs w:val="4"/>
              </w:rPr>
            </w:pPr>
            <w:r>
              <w:rPr>
                <w:sz w:val="4"/>
                <w:szCs w:val="4"/>
              </w:rPr>
            </w:r>
          </w:p>
        </w:tc>
        <w:tc>
          <w:tcPr>
            <w:tcW w:w="786"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39,045</w:t>
            </w:r>
          </w:p>
        </w:tc>
        <w:tc>
          <w:tcPr>
            <w:tcW w:w="120" w:type="dxa"/>
            <w:tcBorders/>
            <w:shd w:fill="F3F6EA"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F3F6EA" w:val="clear"/>
            <w:tcMar>
              <w:bottom w:w="28" w:type="dxa"/>
            </w:tcMar>
            <w:vAlign w:val="center"/>
          </w:tcPr>
          <w:p>
            <w:pPr>
              <w:pStyle w:val="TableContents"/>
              <w:spacing w:before="0" w:after="283"/>
              <w:jc w:val="left"/>
              <w:rPr>
                <w:rFonts w:ascii="Arial" w:hAnsi="Arial"/>
                <w:color w:val="1A2343"/>
                <w:sz w:val="20"/>
              </w:rPr>
            </w:pPr>
            <w:r>
              <w:rPr>
                <w:rFonts w:ascii="Arial" w:hAnsi="Arial"/>
                <w:color w:val="1A2343"/>
                <w:sz w:val="20"/>
              </w:rPr>
              <w:t>$</w:t>
            </w:r>
          </w:p>
        </w:tc>
        <w:tc>
          <w:tcPr>
            <w:tcW w:w="980"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1,316,597</w:t>
            </w:r>
          </w:p>
        </w:tc>
        <w:tc>
          <w:tcPr>
            <w:tcW w:w="120" w:type="dxa"/>
            <w:tcBorders/>
            <w:shd w:fill="F3F6EA" w:val="clear"/>
            <w:vAlign w:val="center"/>
          </w:tcPr>
          <w:p>
            <w:pPr>
              <w:pStyle w:val="TableContents"/>
              <w:spacing w:before="0" w:after="283"/>
              <w:rPr>
                <w:sz w:val="4"/>
                <w:szCs w:val="4"/>
              </w:rPr>
            </w:pPr>
            <w:r>
              <w:rPr>
                <w:sz w:val="4"/>
                <w:szCs w:val="4"/>
              </w:rPr>
            </w:r>
          </w:p>
        </w:tc>
        <w:tc>
          <w:tcPr>
            <w:tcW w:w="914"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4,221</w:t>
            </w:r>
          </w:p>
        </w:tc>
        <w:tc>
          <w:tcPr>
            <w:tcW w:w="120" w:type="dxa"/>
            <w:tcBorders/>
            <w:shd w:fill="F3F6EA"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F3F6EA" w:val="clear"/>
            <w:tcMar>
              <w:bottom w:w="28" w:type="dxa"/>
            </w:tcMar>
            <w:vAlign w:val="center"/>
          </w:tcPr>
          <w:p>
            <w:pPr>
              <w:pStyle w:val="TableContents"/>
              <w:spacing w:before="0" w:after="283"/>
              <w:jc w:val="left"/>
              <w:rPr>
                <w:rFonts w:ascii="Arial" w:hAnsi="Arial"/>
                <w:sz w:val="20"/>
              </w:rPr>
            </w:pPr>
            <w:r>
              <w:rPr>
                <w:rFonts w:ascii="Arial" w:hAnsi="Arial"/>
                <w:sz w:val="20"/>
              </w:rPr>
              <w:t>$</w:t>
            </w:r>
          </w:p>
        </w:tc>
        <w:tc>
          <w:tcPr>
            <w:tcW w:w="877" w:type="dxa"/>
            <w:tcBorders>
              <w:bottom w:val="single" w:sz="8" w:space="0" w:color="5B5975"/>
            </w:tcBorders>
            <w:shd w:fill="F3F6EA" w:val="clear"/>
            <w:tcMar>
              <w:bottom w:w="28" w:type="dxa"/>
            </w:tcMar>
            <w:vAlign w:val="center"/>
          </w:tcPr>
          <w:p>
            <w:pPr>
              <w:pStyle w:val="TableContents"/>
              <w:spacing w:before="0" w:after="283"/>
              <w:jc w:val="right"/>
              <w:rPr>
                <w:rFonts w:ascii="Arial" w:hAnsi="Arial"/>
                <w:sz w:val="20"/>
              </w:rPr>
            </w:pPr>
            <w:r>
              <w:rPr>
                <w:rFonts w:ascii="Arial" w:hAnsi="Arial"/>
                <w:sz w:val="20"/>
              </w:rPr>
              <w:t>142,332</w:t>
            </w:r>
          </w:p>
        </w:tc>
      </w:tr>
      <w:tr>
        <w:trPr/>
        <w:tc>
          <w:tcPr>
            <w:tcW w:w="1471" w:type="dxa"/>
            <w:vMerge w:val="restart"/>
            <w:tcBorders>
              <w:bottom w:val="single" w:sz="12" w:space="0" w:color="1A2343"/>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Andrew S. Levine</w:t>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shd w:fill="F3F6EA" w:val="clear"/>
            <w:vAlign w:val="center"/>
          </w:tcPr>
          <w:p>
            <w:pPr>
              <w:pStyle w:val="TableContents"/>
              <w:spacing w:before="0" w:after="283"/>
              <w:jc w:val="right"/>
              <w:rPr>
                <w:rFonts w:ascii="Arial" w:hAnsi="Arial"/>
                <w:sz w:val="20"/>
              </w:rPr>
            </w:pPr>
            <w:r>
              <w:rPr>
                <w:rFonts w:ascii="Arial" w:hAnsi="Arial"/>
                <w:sz w:val="20"/>
              </w:rPr>
              <w:t>12,500</w:t>
            </w:r>
          </w:p>
        </w:tc>
        <w:tc>
          <w:tcPr>
            <w:tcW w:w="204" w:type="dxa"/>
            <w:tcBorders/>
            <w:shd w:fill="F3F6EA" w:val="clear"/>
            <w:vAlign w:val="center"/>
          </w:tcPr>
          <w:p>
            <w:pPr>
              <w:pStyle w:val="TableContents"/>
              <w:spacing w:before="0" w:after="283"/>
              <w:rPr>
                <w:sz w:val="4"/>
                <w:szCs w:val="4"/>
              </w:rPr>
            </w:pPr>
            <w:r>
              <w:rPr>
                <w:sz w:val="4"/>
                <w:szCs w:val="4"/>
              </w:rPr>
            </w:r>
          </w:p>
        </w:tc>
        <w:tc>
          <w:tcPr>
            <w:tcW w:w="120" w:type="dxa"/>
            <w:tcBorders/>
            <w:shd w:fill="F3F6EA" w:val="clear"/>
            <w:vAlign w:val="center"/>
          </w:tcPr>
          <w:p>
            <w:pPr>
              <w:pStyle w:val="TableContents"/>
              <w:spacing w:before="0" w:after="283"/>
              <w:rPr>
                <w:sz w:val="4"/>
                <w:szCs w:val="4"/>
              </w:rPr>
            </w:pPr>
            <w:r>
              <w:rPr>
                <w:sz w:val="4"/>
                <w:szCs w:val="4"/>
              </w:rPr>
            </w:r>
          </w:p>
        </w:tc>
        <w:tc>
          <w:tcPr>
            <w:tcW w:w="995" w:type="dxa"/>
            <w:tcBorders/>
            <w:shd w:fill="F3F6EA" w:val="clear"/>
            <w:vAlign w:val="center"/>
          </w:tcPr>
          <w:p>
            <w:pPr>
              <w:pStyle w:val="TableContents"/>
              <w:spacing w:before="0" w:after="283"/>
              <w:jc w:val="right"/>
              <w:rPr/>
            </w:pPr>
            <w:r>
              <w:rPr/>
              <w:t>—</w:t>
            </w:r>
          </w:p>
        </w:tc>
        <w:tc>
          <w:tcPr>
            <w:tcW w:w="120" w:type="dxa"/>
            <w:tcBorders/>
            <w:shd w:fill="F3F6EA" w:val="clear"/>
            <w:vAlign w:val="center"/>
          </w:tcPr>
          <w:p>
            <w:pPr>
              <w:pStyle w:val="TableContents"/>
              <w:spacing w:before="0" w:after="283"/>
              <w:rPr>
                <w:sz w:val="4"/>
                <w:szCs w:val="4"/>
              </w:rPr>
            </w:pPr>
            <w:r>
              <w:rPr>
                <w:sz w:val="4"/>
                <w:szCs w:val="4"/>
              </w:rPr>
            </w:r>
          </w:p>
        </w:tc>
        <w:tc>
          <w:tcPr>
            <w:tcW w:w="125" w:type="dxa"/>
            <w:tcBorders/>
            <w:shd w:fill="F3F6EA" w:val="clear"/>
            <w:vAlign w:val="center"/>
          </w:tcPr>
          <w:p>
            <w:pPr>
              <w:pStyle w:val="TableContents"/>
              <w:spacing w:before="0" w:after="283"/>
              <w:jc w:val="right"/>
              <w:rPr>
                <w:rFonts w:ascii="Arial" w:hAnsi="Arial"/>
                <w:sz w:val="20"/>
              </w:rPr>
            </w:pPr>
            <w:r>
              <w:rPr>
                <w:rFonts w:ascii="Arial" w:hAnsi="Arial"/>
                <w:sz w:val="20"/>
              </w:rPr>
              <w:t>$</w:t>
            </w:r>
          </w:p>
        </w:tc>
        <w:tc>
          <w:tcPr>
            <w:tcW w:w="605" w:type="dxa"/>
            <w:tcBorders/>
            <w:shd w:fill="F3F6EA" w:val="clear"/>
            <w:vAlign w:val="center"/>
          </w:tcPr>
          <w:p>
            <w:pPr>
              <w:pStyle w:val="TableContents"/>
              <w:spacing w:before="0" w:after="283"/>
              <w:jc w:val="right"/>
              <w:rPr>
                <w:rFonts w:ascii="Arial" w:hAnsi="Arial"/>
                <w:sz w:val="20"/>
              </w:rPr>
            </w:pPr>
            <w:r>
              <w:rPr>
                <w:rFonts w:ascii="Arial" w:hAnsi="Arial"/>
                <w:sz w:val="20"/>
              </w:rPr>
              <w:t>90.15</w:t>
            </w:r>
          </w:p>
        </w:tc>
        <w:tc>
          <w:tcPr>
            <w:tcW w:w="120" w:type="dxa"/>
            <w:tcBorders/>
            <w:shd w:fill="F3F6EA" w:val="clear"/>
            <w:vAlign w:val="center"/>
          </w:tcPr>
          <w:p>
            <w:pPr>
              <w:pStyle w:val="TableContents"/>
              <w:spacing w:before="0" w:after="283"/>
              <w:rPr>
                <w:sz w:val="4"/>
                <w:szCs w:val="4"/>
              </w:rPr>
            </w:pPr>
            <w:r>
              <w:rPr>
                <w:sz w:val="4"/>
                <w:szCs w:val="4"/>
              </w:rPr>
            </w:r>
          </w:p>
        </w:tc>
        <w:tc>
          <w:tcPr>
            <w:tcW w:w="863" w:type="dxa"/>
            <w:tcBorders/>
            <w:shd w:fill="F3F6EA" w:val="clear"/>
            <w:vAlign w:val="center"/>
          </w:tcPr>
          <w:p>
            <w:pPr>
              <w:pStyle w:val="TableContents"/>
              <w:spacing w:before="0" w:after="283"/>
              <w:jc w:val="right"/>
              <w:rPr>
                <w:rFonts w:ascii="Arial" w:hAnsi="Arial"/>
                <w:sz w:val="20"/>
              </w:rPr>
            </w:pPr>
            <w:r>
              <w:rPr>
                <w:rFonts w:ascii="Arial" w:hAnsi="Arial"/>
                <w:sz w:val="20"/>
              </w:rPr>
              <w:t>12/12/2023</w:t>
            </w:r>
          </w:p>
        </w:tc>
        <w:tc>
          <w:tcPr>
            <w:tcW w:w="120" w:type="dxa"/>
            <w:tcBorders/>
            <w:shd w:fill="F3F6EA" w:val="clear"/>
            <w:vAlign w:val="center"/>
          </w:tcPr>
          <w:p>
            <w:pPr>
              <w:pStyle w:val="TableContents"/>
              <w:spacing w:before="0" w:after="283"/>
              <w:rPr>
                <w:sz w:val="4"/>
                <w:szCs w:val="4"/>
              </w:rPr>
            </w:pPr>
            <w:r>
              <w:rPr>
                <w:sz w:val="4"/>
                <w:szCs w:val="4"/>
              </w:rPr>
            </w:r>
          </w:p>
        </w:tc>
        <w:tc>
          <w:tcPr>
            <w:tcW w:w="786" w:type="dxa"/>
            <w:tcBorders/>
            <w:shd w:fill="F3F6EA" w:val="clear"/>
            <w:vAlign w:val="center"/>
          </w:tcPr>
          <w:p>
            <w:pPr>
              <w:pStyle w:val="TableContents"/>
              <w:spacing w:before="0" w:after="283"/>
              <w:jc w:val="right"/>
              <w:rPr>
                <w:rFonts w:ascii="Arial" w:hAnsi="Arial"/>
                <w:sz w:val="20"/>
              </w:rPr>
            </w:pPr>
            <w:r>
              <w:rPr>
                <w:rFonts w:ascii="Arial" w:hAnsi="Arial"/>
                <w:sz w:val="20"/>
              </w:rPr>
              <w:t>41,229</w:t>
            </w:r>
          </w:p>
        </w:tc>
        <w:tc>
          <w:tcPr>
            <w:tcW w:w="120" w:type="dxa"/>
            <w:tcBorders/>
            <w:shd w:fill="F3F6EA" w:val="clear"/>
            <w:vAlign w:val="center"/>
          </w:tcPr>
          <w:p>
            <w:pPr>
              <w:pStyle w:val="TableContents"/>
              <w:spacing w:before="0" w:after="283"/>
              <w:rPr>
                <w:sz w:val="4"/>
                <w:szCs w:val="4"/>
              </w:rPr>
            </w:pPr>
            <w:r>
              <w:rPr>
                <w:sz w:val="4"/>
                <w:szCs w:val="4"/>
              </w:rPr>
            </w:r>
          </w:p>
        </w:tc>
        <w:tc>
          <w:tcPr>
            <w:tcW w:w="125" w:type="dxa"/>
            <w:tcBorders/>
            <w:shd w:fill="F3F6EA" w:val="clear"/>
            <w:vAlign w:val="center"/>
          </w:tcPr>
          <w:p>
            <w:pPr>
              <w:pStyle w:val="TableContents"/>
              <w:spacing w:before="0" w:after="283"/>
              <w:jc w:val="left"/>
              <w:rPr>
                <w:rFonts w:ascii="Arial" w:hAnsi="Arial"/>
                <w:color w:val="1A2343"/>
                <w:sz w:val="20"/>
              </w:rPr>
            </w:pPr>
            <w:r>
              <w:rPr>
                <w:rFonts w:ascii="Arial" w:hAnsi="Arial"/>
                <w:color w:val="1A2343"/>
                <w:sz w:val="20"/>
              </w:rPr>
              <w:t>$</w:t>
            </w:r>
          </w:p>
        </w:tc>
        <w:tc>
          <w:tcPr>
            <w:tcW w:w="980" w:type="dxa"/>
            <w:tcBorders/>
            <w:shd w:fill="F3F6EA" w:val="clear"/>
            <w:vAlign w:val="center"/>
          </w:tcPr>
          <w:p>
            <w:pPr>
              <w:pStyle w:val="TableContents"/>
              <w:spacing w:before="0" w:after="283"/>
              <w:jc w:val="right"/>
              <w:rPr>
                <w:rFonts w:ascii="Arial" w:hAnsi="Arial"/>
                <w:sz w:val="20"/>
              </w:rPr>
            </w:pPr>
            <w:r>
              <w:rPr>
                <w:rFonts w:ascii="Arial" w:hAnsi="Arial"/>
                <w:sz w:val="20"/>
              </w:rPr>
              <w:t>1,390,242</w:t>
            </w:r>
          </w:p>
        </w:tc>
        <w:tc>
          <w:tcPr>
            <w:tcW w:w="120" w:type="dxa"/>
            <w:tcBorders/>
            <w:shd w:fill="F3F6EA" w:val="clear"/>
            <w:vAlign w:val="center"/>
          </w:tcPr>
          <w:p>
            <w:pPr>
              <w:pStyle w:val="TableContents"/>
              <w:spacing w:before="0" w:after="283"/>
              <w:rPr>
                <w:sz w:val="4"/>
                <w:szCs w:val="4"/>
              </w:rPr>
            </w:pPr>
            <w:r>
              <w:rPr>
                <w:sz w:val="4"/>
                <w:szCs w:val="4"/>
              </w:rPr>
            </w:r>
          </w:p>
        </w:tc>
        <w:tc>
          <w:tcPr>
            <w:tcW w:w="914" w:type="dxa"/>
            <w:tcBorders/>
            <w:shd w:fill="F3F6EA" w:val="clear"/>
            <w:vAlign w:val="center"/>
          </w:tcPr>
          <w:p>
            <w:pPr>
              <w:pStyle w:val="TableContents"/>
              <w:spacing w:before="0" w:after="283"/>
              <w:jc w:val="right"/>
              <w:rPr>
                <w:rFonts w:ascii="Arial" w:hAnsi="Arial"/>
                <w:sz w:val="20"/>
              </w:rPr>
            </w:pPr>
            <w:r>
              <w:rPr>
                <w:rFonts w:ascii="Arial" w:hAnsi="Arial"/>
                <w:sz w:val="20"/>
              </w:rPr>
              <w:t>4,221</w:t>
            </w:r>
          </w:p>
        </w:tc>
        <w:tc>
          <w:tcPr>
            <w:tcW w:w="120" w:type="dxa"/>
            <w:tcBorders/>
            <w:shd w:fill="F3F6EA" w:val="clear"/>
            <w:vAlign w:val="center"/>
          </w:tcPr>
          <w:p>
            <w:pPr>
              <w:pStyle w:val="TableContents"/>
              <w:spacing w:before="0" w:after="283"/>
              <w:rPr>
                <w:sz w:val="4"/>
                <w:szCs w:val="4"/>
              </w:rPr>
            </w:pPr>
            <w:r>
              <w:rPr>
                <w:sz w:val="4"/>
                <w:szCs w:val="4"/>
              </w:rPr>
            </w:r>
          </w:p>
        </w:tc>
        <w:tc>
          <w:tcPr>
            <w:tcW w:w="425" w:type="dxa"/>
            <w:tcBorders/>
            <w:shd w:fill="F3F6EA" w:val="clear"/>
            <w:vAlign w:val="center"/>
          </w:tcPr>
          <w:p>
            <w:pPr>
              <w:pStyle w:val="TableContents"/>
              <w:spacing w:before="0" w:after="283"/>
              <w:jc w:val="left"/>
              <w:rPr>
                <w:rFonts w:ascii="Arial" w:hAnsi="Arial"/>
                <w:sz w:val="20"/>
              </w:rPr>
            </w:pPr>
            <w:r>
              <w:rPr>
                <w:rFonts w:ascii="Arial" w:hAnsi="Arial"/>
                <w:sz w:val="20"/>
              </w:rPr>
              <w:t>$</w:t>
            </w:r>
          </w:p>
        </w:tc>
        <w:tc>
          <w:tcPr>
            <w:tcW w:w="877" w:type="dxa"/>
            <w:tcBorders/>
            <w:shd w:fill="F3F6EA" w:val="clear"/>
            <w:vAlign w:val="center"/>
          </w:tcPr>
          <w:p>
            <w:pPr>
              <w:pStyle w:val="TableContents"/>
              <w:spacing w:before="0" w:after="283"/>
              <w:jc w:val="right"/>
              <w:rPr>
                <w:rFonts w:ascii="Arial" w:hAnsi="Arial"/>
                <w:sz w:val="20"/>
              </w:rPr>
            </w:pPr>
            <w:r>
              <w:rPr>
                <w:rFonts w:ascii="Arial" w:hAnsi="Arial"/>
                <w:sz w:val="20"/>
              </w:rPr>
              <w:t>142,332</w:t>
            </w:r>
          </w:p>
        </w:tc>
      </w:tr>
      <w:tr>
        <w:trPr/>
        <w:tc>
          <w:tcPr>
            <w:tcW w:w="1471" w:type="dxa"/>
            <w:vMerge w:val="continue"/>
            <w:tcBorders>
              <w:bottom w:val="single" w:sz="12" w:space="0" w:color="1A2343"/>
            </w:tcBorders>
            <w:shd w:fill="auto" w:val="clear"/>
            <w:tcMar>
              <w:bottom w:w="28" w:type="dxa"/>
            </w:tcM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15,000</w:t>
            </w:r>
          </w:p>
        </w:tc>
        <w:tc>
          <w:tcPr>
            <w:tcW w:w="204" w:type="dxa"/>
            <w:tcBorders/>
            <w:shd w:fill="auto" w:val="clear"/>
            <w:vAlign w:val="center"/>
          </w:tcPr>
          <w:p>
            <w:pPr>
              <w:pStyle w:val="TableContents"/>
              <w:spacing w:before="0" w:after="283"/>
              <w:jc w:val="left"/>
              <w:rPr>
                <w:rFonts w:ascii="Arial" w:hAnsi="Arial"/>
                <w:position w:val="7"/>
                <w:sz w:val="16"/>
                <w:sz w:val="20"/>
              </w:rPr>
            </w:pPr>
            <w:r>
              <w:rPr>
                <w:rFonts w:ascii="Arial" w:hAnsi="Arial"/>
                <w:position w:val="7"/>
                <w:sz w:val="16"/>
                <w:sz w:val="20"/>
              </w:rPr>
              <w:t>(4)</w:t>
            </w:r>
          </w:p>
        </w:tc>
        <w:tc>
          <w:tcPr>
            <w:tcW w:w="120" w:type="dxa"/>
            <w:tcBorders/>
            <w:shd w:fill="auto" w:val="clear"/>
            <w:vAlign w:val="center"/>
          </w:tcPr>
          <w:p>
            <w:pPr>
              <w:pStyle w:val="TableContents"/>
              <w:spacing w:before="0" w:after="283"/>
              <w:rPr>
                <w:sz w:val="4"/>
                <w:szCs w:val="4"/>
              </w:rPr>
            </w:pPr>
            <w:r>
              <w:rPr>
                <w:sz w:val="4"/>
                <w:szCs w:val="4"/>
              </w:rPr>
            </w:r>
          </w:p>
        </w:tc>
        <w:tc>
          <w:tcPr>
            <w:tcW w:w="995" w:type="dxa"/>
            <w:tcBorders>
              <w:bottom w:val="single" w:sz="12" w:space="0" w:color="1A2343"/>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60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106.05</w:t>
            </w:r>
          </w:p>
        </w:tc>
        <w:tc>
          <w:tcPr>
            <w:tcW w:w="120" w:type="dxa"/>
            <w:tcBorders/>
            <w:shd w:fill="auto" w:val="clear"/>
            <w:vAlign w:val="center"/>
          </w:tcPr>
          <w:p>
            <w:pPr>
              <w:pStyle w:val="TableContents"/>
              <w:spacing w:before="0" w:after="283"/>
              <w:rPr>
                <w:sz w:val="4"/>
                <w:szCs w:val="4"/>
              </w:rPr>
            </w:pPr>
            <w:r>
              <w:rPr>
                <w:sz w:val="4"/>
                <w:szCs w:val="4"/>
              </w:rPr>
            </w:r>
          </w:p>
        </w:tc>
        <w:tc>
          <w:tcPr>
            <w:tcW w:w="863"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01/11/2027</w:t>
            </w:r>
          </w:p>
        </w:tc>
        <w:tc>
          <w:tcPr>
            <w:tcW w:w="120" w:type="dxa"/>
            <w:tcBorders/>
            <w:shd w:fill="auto" w:val="clear"/>
            <w:vAlign w:val="center"/>
          </w:tcPr>
          <w:p>
            <w:pPr>
              <w:pStyle w:val="TableContents"/>
              <w:spacing w:before="0" w:after="283"/>
              <w:rPr>
                <w:sz w:val="4"/>
                <w:szCs w:val="4"/>
              </w:rPr>
            </w:pPr>
            <w:r>
              <w:rPr>
                <w:sz w:val="4"/>
                <w:szCs w:val="4"/>
              </w:rPr>
            </w:r>
          </w:p>
        </w:tc>
        <w:tc>
          <w:tcPr>
            <w:tcW w:w="786" w:type="dxa"/>
            <w:tcBorders>
              <w:bottom w:val="single" w:sz="12" w:space="0" w:color="1A2343"/>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12" w:space="0" w:color="1A2343"/>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914" w:type="dxa"/>
            <w:tcBorders>
              <w:bottom w:val="single" w:sz="12" w:space="0" w:color="1A2343"/>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425"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c>
          <w:tcPr>
            <w:tcW w:w="877" w:type="dxa"/>
            <w:tcBorders>
              <w:bottom w:val="single" w:sz="12" w:space="0" w:color="1A2343"/>
            </w:tcBorders>
            <w:shd w:fill="auto" w:val="clear"/>
            <w:tcMar>
              <w:bottom w:w="28" w:type="dxa"/>
            </w:tcMar>
            <w:vAlign w:val="center"/>
          </w:tcPr>
          <w:p>
            <w:pPr>
              <w:pStyle w:val="TableContents"/>
              <w:spacing w:before="0" w:after="283"/>
              <w:jc w:val="right"/>
              <w:rPr/>
            </w:pPr>
            <w:r>
              <w:rPr/>
              <w:t>—</w:t>
            </w:r>
          </w:p>
        </w:tc>
      </w:tr>
    </w:tbl>
    <w:tbl>
      <w:tblPr>
        <w:tblW w:w="4675" w:type="dxa"/>
        <w:jc w:val="left"/>
        <w:tblInd w:w="0" w:type="dxa"/>
        <w:tblCellMar>
          <w:top w:w="0" w:type="dxa"/>
          <w:left w:w="0" w:type="dxa"/>
          <w:bottom w:w="0" w:type="dxa"/>
          <w:right w:w="0" w:type="dxa"/>
        </w:tblCellMar>
      </w:tblPr>
      <w:tblGrid>
        <w:gridCol w:w="200"/>
        <w:gridCol w:w="4475"/>
      </w:tblGrid>
      <w:tr>
        <w:trPr/>
        <w:tc>
          <w:tcPr>
            <w:tcW w:w="200"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4475" w:type="dxa"/>
            <w:tcBorders/>
            <w:shd w:fill="auto" w:val="clear"/>
            <w:vAlign w:val="center"/>
          </w:tcPr>
          <w:p>
            <w:pPr>
              <w:pStyle w:val="TableContents"/>
              <w:spacing w:before="0" w:after="283"/>
              <w:jc w:val="left"/>
              <w:rPr>
                <w:rFonts w:ascii="Arial" w:hAnsi="Arial"/>
                <w:sz w:val="15"/>
              </w:rPr>
            </w:pPr>
            <w:r>
              <w:rPr>
                <w:rFonts w:ascii="Arial" w:hAnsi="Arial"/>
                <w:sz w:val="15"/>
              </w:rPr>
              <w:t>For each of our named executive officers, includes the following:</w:t>
            </w:r>
          </w:p>
        </w:tc>
      </w:tr>
    </w:tbl>
    <w:tbl>
      <w:tblPr>
        <w:tblW w:w="9160" w:type="dxa"/>
        <w:jc w:val="left"/>
        <w:tblInd w:w="0" w:type="dxa"/>
        <w:tblCellMar>
          <w:top w:w="0" w:type="dxa"/>
          <w:left w:w="0" w:type="dxa"/>
          <w:bottom w:w="0" w:type="dxa"/>
          <w:right w:w="0" w:type="dxa"/>
        </w:tblCellMar>
      </w:tblPr>
      <w:tblGrid>
        <w:gridCol w:w="360"/>
        <w:gridCol w:w="1505"/>
        <w:gridCol w:w="120"/>
        <w:gridCol w:w="950"/>
        <w:gridCol w:w="120"/>
        <w:gridCol w:w="950"/>
        <w:gridCol w:w="120"/>
        <w:gridCol w:w="950"/>
        <w:gridCol w:w="120"/>
        <w:gridCol w:w="875"/>
        <w:gridCol w:w="120"/>
        <w:gridCol w:w="875"/>
        <w:gridCol w:w="120"/>
        <w:gridCol w:w="875"/>
        <w:gridCol w:w="120"/>
        <w:gridCol w:w="980"/>
      </w:tblGrid>
      <w:tr>
        <w:trPr/>
        <w:tc>
          <w:tcPr>
            <w:tcW w:w="360" w:type="dxa"/>
            <w:tcBorders/>
            <w:shd w:fill="auto" w:val="clear"/>
            <w:vAlign w:val="center"/>
          </w:tcPr>
          <w:p>
            <w:pPr>
              <w:pStyle w:val="TableContents"/>
              <w:spacing w:before="0" w:after="283"/>
              <w:jc w:val="left"/>
              <w:rPr/>
            </w:pPr>
            <w:r>
              <w:rPr/>
              <w:t>      </w:t>
            </w:r>
          </w:p>
        </w:tc>
        <w:tc>
          <w:tcPr>
            <w:tcW w:w="1505" w:type="dxa"/>
            <w:tcBorders>
              <w:bottom w:val="single" w:sz="12" w:space="0" w:color="1A2343"/>
            </w:tcBorders>
            <w:shd w:fill="auto" w:val="clear"/>
            <w:tcMar>
              <w:bottom w:w="40" w:type="dxa"/>
            </w:tcMar>
            <w:vAlign w:val="center"/>
          </w:tcPr>
          <w:p>
            <w:pPr>
              <w:pStyle w:val="TableContents"/>
              <w:spacing w:before="0" w:after="283"/>
              <w:jc w:val="left"/>
              <w:rPr>
                <w:rFonts w:ascii="Arial" w:hAnsi="Arial"/>
                <w:color w:val="1A2343"/>
                <w:sz w:val="15"/>
              </w:rPr>
            </w:pPr>
            <w:r>
              <w:rPr>
                <w:rFonts w:ascii="Arial" w:hAnsi="Arial"/>
                <w:color w:val="1A2343"/>
                <w:sz w:val="15"/>
              </w:rPr>
              <w:t>Executive</w:t>
            </w:r>
          </w:p>
        </w:tc>
        <w:tc>
          <w:tcPr>
            <w:tcW w:w="120" w:type="dxa"/>
            <w:tcBorders/>
            <w:shd w:fill="auto" w:val="clear"/>
            <w:vAlign w:val="center"/>
          </w:tcPr>
          <w:p>
            <w:pPr>
              <w:pStyle w:val="TableContents"/>
              <w:spacing w:before="0" w:after="283"/>
              <w:jc w:val="right"/>
              <w:rPr/>
            </w:pPr>
            <w:r>
              <w:rPr/>
              <w:t>  </w:t>
            </w:r>
          </w:p>
        </w:tc>
        <w:tc>
          <w:tcPr>
            <w:tcW w:w="95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2022</w:t>
              <w:br/>
              <w:t>Operational</w:t>
              <w:br/>
              <w:t>Performance-</w:t>
              <w:br/>
              <w:t>Based LTIP</w:t>
              <w:br/>
              <w:t>Units</w:t>
            </w:r>
            <w:r>
              <w:rPr>
                <w:rFonts w:ascii="Arial" w:hAnsi="Arial"/>
                <w:color w:val="1A2343"/>
                <w:position w:val="5"/>
                <w:sz w:val="12"/>
                <w:sz w:val="15"/>
              </w:rPr>
              <w:t>(a)</w:t>
            </w:r>
          </w:p>
        </w:tc>
        <w:tc>
          <w:tcPr>
            <w:tcW w:w="120" w:type="dxa"/>
            <w:tcBorders/>
            <w:shd w:fill="auto" w:val="clear"/>
            <w:vAlign w:val="center"/>
          </w:tcPr>
          <w:p>
            <w:pPr>
              <w:pStyle w:val="TableContents"/>
              <w:spacing w:before="0" w:after="283"/>
              <w:jc w:val="right"/>
              <w:rPr/>
            </w:pPr>
            <w:r>
              <w:rPr/>
              <w:t>  </w:t>
            </w:r>
          </w:p>
        </w:tc>
        <w:tc>
          <w:tcPr>
            <w:tcW w:w="95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2021</w:t>
              <w:br/>
              <w:t>Operational</w:t>
              <w:br/>
              <w:t>Performance-</w:t>
              <w:br/>
              <w:t>Based LTIP</w:t>
              <w:br/>
              <w:t>Units</w:t>
            </w:r>
            <w:r>
              <w:rPr>
                <w:rFonts w:ascii="Arial" w:hAnsi="Arial"/>
                <w:color w:val="1A2343"/>
                <w:position w:val="5"/>
                <w:sz w:val="12"/>
                <w:sz w:val="15"/>
              </w:rPr>
              <w:t>(b)</w:t>
            </w:r>
          </w:p>
        </w:tc>
        <w:tc>
          <w:tcPr>
            <w:tcW w:w="120" w:type="dxa"/>
            <w:tcBorders>
              <w:bottom w:val="single" w:sz="12" w:space="0" w:color="1A2343"/>
            </w:tcBorders>
            <w:shd w:fill="auto" w:val="clear"/>
            <w:tcMar>
              <w:bottom w:w="40" w:type="dxa"/>
            </w:tcMar>
            <w:vAlign w:val="center"/>
          </w:tcPr>
          <w:p>
            <w:pPr>
              <w:pStyle w:val="TableContents"/>
              <w:spacing w:before="0" w:after="283"/>
              <w:jc w:val="right"/>
              <w:rPr/>
            </w:pPr>
            <w:r>
              <w:rPr/>
              <w:t>  </w:t>
            </w:r>
          </w:p>
        </w:tc>
        <w:tc>
          <w:tcPr>
            <w:tcW w:w="95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2020</w:t>
              <w:br/>
              <w:t>Performance-</w:t>
              <w:br/>
              <w:t>Based LTIP</w:t>
              <w:br/>
              <w:t>Units</w:t>
            </w:r>
            <w:r>
              <w:rPr>
                <w:rFonts w:ascii="Arial" w:hAnsi="Arial"/>
                <w:color w:val="1A2343"/>
                <w:position w:val="5"/>
                <w:sz w:val="12"/>
                <w:sz w:val="15"/>
              </w:rPr>
              <w:t>(c)</w:t>
            </w:r>
          </w:p>
        </w:tc>
        <w:tc>
          <w:tcPr>
            <w:tcW w:w="120" w:type="dxa"/>
            <w:tcBorders/>
            <w:shd w:fill="auto" w:val="clear"/>
            <w:vAlign w:val="center"/>
          </w:tcPr>
          <w:p>
            <w:pPr>
              <w:pStyle w:val="TableContents"/>
              <w:spacing w:before="0" w:after="283"/>
              <w:jc w:val="right"/>
              <w:rPr/>
            </w:pPr>
            <w:r>
              <w:rPr/>
              <w:t>  </w:t>
            </w:r>
          </w:p>
        </w:tc>
        <w:tc>
          <w:tcPr>
            <w:tcW w:w="875"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2022</w:t>
              <w:br/>
              <w:t>Time-Based</w:t>
              <w:br/>
              <w:t>Employment</w:t>
              <w:br/>
              <w:t>Agreement</w:t>
              <w:br/>
              <w:t>LTIP Units</w:t>
            </w:r>
          </w:p>
        </w:tc>
        <w:tc>
          <w:tcPr>
            <w:tcW w:w="120" w:type="dxa"/>
            <w:tcBorders/>
            <w:shd w:fill="auto" w:val="clear"/>
            <w:vAlign w:val="center"/>
          </w:tcPr>
          <w:p>
            <w:pPr>
              <w:pStyle w:val="TableContents"/>
              <w:spacing w:before="0" w:after="283"/>
              <w:jc w:val="left"/>
              <w:rPr/>
            </w:pPr>
            <w:r>
              <w:rPr/>
              <w:t>  </w:t>
            </w:r>
          </w:p>
        </w:tc>
        <w:tc>
          <w:tcPr>
            <w:tcW w:w="875"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2021</w:t>
              <w:br/>
              <w:t>Time-Based</w:t>
              <w:br/>
              <w:t>Employment</w:t>
              <w:br/>
              <w:t>Agreement</w:t>
              <w:br/>
              <w:t>LTIP Units</w:t>
            </w:r>
          </w:p>
        </w:tc>
        <w:tc>
          <w:tcPr>
            <w:tcW w:w="120" w:type="dxa"/>
            <w:tcBorders/>
            <w:shd w:fill="auto" w:val="clear"/>
            <w:vAlign w:val="center"/>
          </w:tcPr>
          <w:p>
            <w:pPr>
              <w:pStyle w:val="TableContents"/>
              <w:spacing w:before="0" w:after="283"/>
              <w:jc w:val="left"/>
              <w:rPr/>
            </w:pPr>
            <w:r>
              <w:rPr/>
              <w:t>  </w:t>
            </w:r>
          </w:p>
        </w:tc>
        <w:tc>
          <w:tcPr>
            <w:tcW w:w="875"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2020</w:t>
              <w:br/>
              <w:t>Time-Based</w:t>
              <w:br/>
              <w:t>Employment</w:t>
              <w:br/>
              <w:t>Agreement</w:t>
              <w:br/>
              <w:t>LTIP Units</w:t>
            </w:r>
          </w:p>
        </w:tc>
        <w:tc>
          <w:tcPr>
            <w:tcW w:w="120" w:type="dxa"/>
            <w:tcBorders/>
            <w:shd w:fill="auto" w:val="clear"/>
            <w:vAlign w:val="center"/>
          </w:tcPr>
          <w:p>
            <w:pPr>
              <w:pStyle w:val="TableContents"/>
              <w:spacing w:before="0" w:after="283"/>
              <w:jc w:val="left"/>
              <w:rPr/>
            </w:pPr>
            <w:r>
              <w:rPr/>
              <w:t>  </w:t>
            </w:r>
          </w:p>
        </w:tc>
        <w:tc>
          <w:tcPr>
            <w:tcW w:w="98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2022 One</w:t>
              <w:br/>
              <w:t>Madison LTIP</w:t>
              <w:br/>
              <w:t>Units</w:t>
            </w:r>
          </w:p>
        </w:tc>
      </w:tr>
      <w:tr>
        <w:trPr/>
        <w:tc>
          <w:tcPr>
            <w:tcW w:w="360" w:type="dxa"/>
            <w:tcBorders/>
            <w:shd w:fill="auto" w:val="clear"/>
            <w:vAlign w:val="center"/>
          </w:tcPr>
          <w:p>
            <w:pPr>
              <w:pStyle w:val="TableContents"/>
              <w:spacing w:before="0" w:after="283"/>
              <w:rPr>
                <w:sz w:val="4"/>
                <w:szCs w:val="4"/>
              </w:rPr>
            </w:pPr>
            <w:r>
              <w:rPr>
                <w:sz w:val="4"/>
                <w:szCs w:val="4"/>
              </w:rPr>
            </w:r>
          </w:p>
        </w:tc>
        <w:tc>
          <w:tcPr>
            <w:tcW w:w="150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15"/>
              </w:rPr>
            </w:pPr>
            <w:r>
              <w:rPr>
                <w:rFonts w:ascii="Arial" w:hAnsi="Arial"/>
                <w:b/>
                <w:color w:val="1A2343"/>
                <w:sz w:val="15"/>
              </w:rPr>
              <w:t>Marc Holliday</w:t>
            </w:r>
          </w:p>
        </w:tc>
        <w:tc>
          <w:tcPr>
            <w:tcW w:w="120" w:type="dxa"/>
            <w:tcBorders/>
            <w:shd w:fill="auto" w:val="clear"/>
            <w:vAlign w:val="center"/>
          </w:tcPr>
          <w:p>
            <w:pPr>
              <w:pStyle w:val="TableContents"/>
              <w:spacing w:before="0" w:after="283"/>
              <w:rPr>
                <w:sz w:val="4"/>
                <w:szCs w:val="4"/>
              </w:rPr>
            </w:pPr>
            <w:r>
              <w:rPr>
                <w:sz w:val="4"/>
                <w:szCs w:val="4"/>
              </w:rPr>
            </w:r>
          </w:p>
        </w:tc>
        <w:tc>
          <w:tcPr>
            <w:tcW w:w="95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62,822</w:t>
            </w:r>
          </w:p>
        </w:tc>
        <w:tc>
          <w:tcPr>
            <w:tcW w:w="120" w:type="dxa"/>
            <w:tcBorders/>
            <w:shd w:fill="auto" w:val="clear"/>
            <w:vAlign w:val="center"/>
          </w:tcPr>
          <w:p>
            <w:pPr>
              <w:pStyle w:val="TableContents"/>
              <w:spacing w:before="0" w:after="283"/>
              <w:rPr>
                <w:sz w:val="4"/>
                <w:szCs w:val="4"/>
              </w:rPr>
            </w:pPr>
            <w:r>
              <w:rPr>
                <w:sz w:val="4"/>
                <w:szCs w:val="4"/>
              </w:rPr>
            </w:r>
          </w:p>
        </w:tc>
        <w:tc>
          <w:tcPr>
            <w:tcW w:w="95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110,492</w:t>
            </w:r>
          </w:p>
        </w:tc>
        <w:tc>
          <w:tcPr>
            <w:tcW w:w="120"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61,246</w:t>
            </w:r>
            <w:r>
              <w:rPr>
                <w:rFonts w:ascii="Arial" w:hAnsi="Arial"/>
                <w:position w:val="5"/>
                <w:sz w:val="12"/>
                <w:sz w:val="15"/>
              </w:rPr>
              <w:t>(d)</w:t>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94,656</w:t>
            </w:r>
            <w:r>
              <w:rPr>
                <w:rFonts w:ascii="Arial" w:hAnsi="Arial"/>
                <w:position w:val="5"/>
                <w:sz w:val="12"/>
                <w:sz w:val="15"/>
              </w:rPr>
              <w:t>(e)</w:t>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16,432</w:t>
            </w:r>
            <w:r>
              <w:rPr>
                <w:rFonts w:ascii="Arial" w:hAnsi="Arial"/>
                <w:position w:val="5"/>
                <w:sz w:val="12"/>
                <w:sz w:val="15"/>
              </w:rPr>
              <w:t>(f)</w:t>
            </w:r>
          </w:p>
        </w:tc>
        <w:tc>
          <w:tcPr>
            <w:tcW w:w="12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r>
      <w:tr>
        <w:trPr/>
        <w:tc>
          <w:tcPr>
            <w:tcW w:w="360" w:type="dxa"/>
            <w:tcBorders/>
            <w:shd w:fill="auto" w:val="clear"/>
            <w:vAlign w:val="center"/>
          </w:tcPr>
          <w:p>
            <w:pPr>
              <w:pStyle w:val="TableContents"/>
              <w:spacing w:before="0" w:after="283"/>
              <w:rPr>
                <w:sz w:val="4"/>
                <w:szCs w:val="4"/>
              </w:rPr>
            </w:pPr>
            <w:r>
              <w:rPr>
                <w:sz w:val="4"/>
                <w:szCs w:val="4"/>
              </w:rPr>
            </w:r>
          </w:p>
        </w:tc>
        <w:tc>
          <w:tcPr>
            <w:tcW w:w="150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15"/>
              </w:rPr>
            </w:pPr>
            <w:r>
              <w:rPr>
                <w:rFonts w:ascii="Arial" w:hAnsi="Arial"/>
                <w:b/>
                <w:color w:val="1A2343"/>
                <w:sz w:val="15"/>
              </w:rPr>
              <w:t>Andrew Mathias</w:t>
            </w:r>
          </w:p>
        </w:tc>
        <w:tc>
          <w:tcPr>
            <w:tcW w:w="120" w:type="dxa"/>
            <w:tcBorders/>
            <w:shd w:fill="auto" w:val="clear"/>
            <w:vAlign w:val="center"/>
          </w:tcPr>
          <w:p>
            <w:pPr>
              <w:pStyle w:val="TableContents"/>
              <w:spacing w:before="0" w:after="283"/>
              <w:rPr>
                <w:sz w:val="4"/>
                <w:szCs w:val="4"/>
              </w:rPr>
            </w:pPr>
            <w:r>
              <w:rPr>
                <w:sz w:val="4"/>
                <w:szCs w:val="4"/>
              </w:rPr>
            </w:r>
          </w:p>
        </w:tc>
        <w:tc>
          <w:tcPr>
            <w:tcW w:w="95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50,258</w:t>
            </w:r>
          </w:p>
        </w:tc>
        <w:tc>
          <w:tcPr>
            <w:tcW w:w="120" w:type="dxa"/>
            <w:tcBorders/>
            <w:shd w:fill="auto" w:val="clear"/>
            <w:vAlign w:val="center"/>
          </w:tcPr>
          <w:p>
            <w:pPr>
              <w:pStyle w:val="TableContents"/>
              <w:spacing w:before="0" w:after="283"/>
              <w:rPr>
                <w:sz w:val="4"/>
                <w:szCs w:val="4"/>
              </w:rPr>
            </w:pPr>
            <w:r>
              <w:rPr>
                <w:sz w:val="4"/>
                <w:szCs w:val="4"/>
              </w:rPr>
            </w:r>
          </w:p>
        </w:tc>
        <w:tc>
          <w:tcPr>
            <w:tcW w:w="95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88,394</w:t>
            </w:r>
          </w:p>
        </w:tc>
        <w:tc>
          <w:tcPr>
            <w:tcW w:w="120"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47,636</w:t>
            </w:r>
            <w:r>
              <w:rPr>
                <w:rFonts w:ascii="Arial" w:hAnsi="Arial"/>
                <w:position w:val="5"/>
                <w:sz w:val="12"/>
                <w:sz w:val="15"/>
              </w:rPr>
              <w:t>(d)</w:t>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73,489</w:t>
            </w:r>
            <w:r>
              <w:rPr>
                <w:rFonts w:ascii="Arial" w:hAnsi="Arial"/>
                <w:position w:val="5"/>
                <w:sz w:val="12"/>
                <w:sz w:val="15"/>
              </w:rPr>
              <w:t>(e)</w:t>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12,780</w:t>
            </w:r>
            <w:r>
              <w:rPr>
                <w:rFonts w:ascii="Arial" w:hAnsi="Arial"/>
                <w:position w:val="5"/>
                <w:sz w:val="12"/>
                <w:sz w:val="15"/>
              </w:rPr>
              <w:t>(f)</w:t>
            </w:r>
          </w:p>
        </w:tc>
        <w:tc>
          <w:tcPr>
            <w:tcW w:w="12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r>
      <w:tr>
        <w:trPr/>
        <w:tc>
          <w:tcPr>
            <w:tcW w:w="360" w:type="dxa"/>
            <w:tcBorders/>
            <w:shd w:fill="auto" w:val="clear"/>
            <w:vAlign w:val="center"/>
          </w:tcPr>
          <w:p>
            <w:pPr>
              <w:pStyle w:val="TableContents"/>
              <w:spacing w:before="0" w:after="283"/>
              <w:rPr>
                <w:sz w:val="4"/>
                <w:szCs w:val="4"/>
              </w:rPr>
            </w:pPr>
            <w:r>
              <w:rPr>
                <w:sz w:val="4"/>
                <w:szCs w:val="4"/>
              </w:rPr>
            </w:r>
          </w:p>
        </w:tc>
        <w:tc>
          <w:tcPr>
            <w:tcW w:w="150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15"/>
              </w:rPr>
            </w:pPr>
            <w:r>
              <w:rPr>
                <w:rFonts w:ascii="Arial" w:hAnsi="Arial"/>
                <w:b/>
                <w:color w:val="1A2343"/>
                <w:sz w:val="15"/>
              </w:rPr>
              <w:t>Matthew J. DiLiberto</w:t>
            </w:r>
          </w:p>
        </w:tc>
        <w:tc>
          <w:tcPr>
            <w:tcW w:w="120" w:type="dxa"/>
            <w:tcBorders/>
            <w:shd w:fill="auto" w:val="clear"/>
            <w:vAlign w:val="center"/>
          </w:tcPr>
          <w:p>
            <w:pPr>
              <w:pStyle w:val="TableContents"/>
              <w:spacing w:before="0" w:after="283"/>
              <w:rPr>
                <w:sz w:val="4"/>
                <w:szCs w:val="4"/>
              </w:rPr>
            </w:pPr>
            <w:r>
              <w:rPr>
                <w:sz w:val="4"/>
                <w:szCs w:val="4"/>
              </w:rPr>
            </w:r>
          </w:p>
        </w:tc>
        <w:tc>
          <w:tcPr>
            <w:tcW w:w="95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4,653</w:t>
            </w:r>
          </w:p>
        </w:tc>
        <w:tc>
          <w:tcPr>
            <w:tcW w:w="120" w:type="dxa"/>
            <w:tcBorders/>
            <w:shd w:fill="auto" w:val="clear"/>
            <w:vAlign w:val="center"/>
          </w:tcPr>
          <w:p>
            <w:pPr>
              <w:pStyle w:val="TableContents"/>
              <w:spacing w:before="0" w:after="283"/>
              <w:rPr>
                <w:sz w:val="4"/>
                <w:szCs w:val="4"/>
              </w:rPr>
            </w:pPr>
            <w:r>
              <w:rPr>
                <w:sz w:val="4"/>
                <w:szCs w:val="4"/>
              </w:rPr>
            </w:r>
          </w:p>
        </w:tc>
        <w:tc>
          <w:tcPr>
            <w:tcW w:w="95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8,185</w:t>
            </w:r>
          </w:p>
        </w:tc>
        <w:tc>
          <w:tcPr>
            <w:tcW w:w="120"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1,537</w:t>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15,510</w:t>
            </w:r>
            <w:r>
              <w:rPr>
                <w:rFonts w:ascii="Arial" w:hAnsi="Arial"/>
                <w:position w:val="5"/>
                <w:sz w:val="12"/>
                <w:sz w:val="15"/>
              </w:rPr>
              <w:t>(f)</w:t>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9,160</w:t>
            </w:r>
            <w:r>
              <w:rPr>
                <w:rFonts w:ascii="Arial" w:hAnsi="Arial"/>
                <w:position w:val="5"/>
                <w:sz w:val="12"/>
                <w:sz w:val="15"/>
              </w:rPr>
              <w:t>(g)</w:t>
            </w:r>
          </w:p>
        </w:tc>
      </w:tr>
      <w:tr>
        <w:trPr/>
        <w:tc>
          <w:tcPr>
            <w:tcW w:w="360" w:type="dxa"/>
            <w:tcBorders/>
            <w:shd w:fill="auto" w:val="clear"/>
            <w:vAlign w:val="center"/>
          </w:tcPr>
          <w:p>
            <w:pPr>
              <w:pStyle w:val="TableContents"/>
              <w:spacing w:before="0" w:after="283"/>
              <w:rPr>
                <w:sz w:val="4"/>
                <w:szCs w:val="4"/>
              </w:rPr>
            </w:pPr>
            <w:r>
              <w:rPr>
                <w:sz w:val="4"/>
                <w:szCs w:val="4"/>
              </w:rPr>
            </w:r>
          </w:p>
        </w:tc>
        <w:tc>
          <w:tcPr>
            <w:tcW w:w="1505" w:type="dxa"/>
            <w:tcBorders>
              <w:bottom w:val="single" w:sz="12" w:space="0" w:color="1A2343"/>
            </w:tcBorders>
            <w:shd w:fill="auto" w:val="clear"/>
            <w:tcMar>
              <w:bottom w:w="28" w:type="dxa"/>
            </w:tcMar>
            <w:vAlign w:val="center"/>
          </w:tcPr>
          <w:p>
            <w:pPr>
              <w:pStyle w:val="TableContents"/>
              <w:spacing w:before="0" w:after="283"/>
              <w:jc w:val="left"/>
              <w:rPr>
                <w:rFonts w:ascii="Arial" w:hAnsi="Arial"/>
                <w:b/>
                <w:color w:val="1A2343"/>
                <w:sz w:val="15"/>
              </w:rPr>
            </w:pPr>
            <w:r>
              <w:rPr>
                <w:rFonts w:ascii="Arial" w:hAnsi="Arial"/>
                <w:b/>
                <w:color w:val="1A2343"/>
                <w:sz w:val="15"/>
              </w:rPr>
              <w:t>Andrew S. Levine</w:t>
            </w:r>
          </w:p>
        </w:tc>
        <w:tc>
          <w:tcPr>
            <w:tcW w:w="120" w:type="dxa"/>
            <w:tcBorders/>
            <w:shd w:fill="auto" w:val="clear"/>
            <w:vAlign w:val="center"/>
          </w:tcPr>
          <w:p>
            <w:pPr>
              <w:pStyle w:val="TableContents"/>
              <w:spacing w:before="0" w:after="283"/>
              <w:rPr>
                <w:sz w:val="4"/>
                <w:szCs w:val="4"/>
              </w:rPr>
            </w:pPr>
            <w:r>
              <w:rPr>
                <w:sz w:val="4"/>
                <w:szCs w:val="4"/>
              </w:rPr>
            </w:r>
          </w:p>
        </w:tc>
        <w:tc>
          <w:tcPr>
            <w:tcW w:w="95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4,653</w:t>
            </w:r>
          </w:p>
        </w:tc>
        <w:tc>
          <w:tcPr>
            <w:tcW w:w="120" w:type="dxa"/>
            <w:tcBorders/>
            <w:shd w:fill="auto" w:val="clear"/>
            <w:vAlign w:val="center"/>
          </w:tcPr>
          <w:p>
            <w:pPr>
              <w:pStyle w:val="TableContents"/>
              <w:spacing w:before="0" w:after="283"/>
              <w:rPr>
                <w:sz w:val="4"/>
                <w:szCs w:val="4"/>
              </w:rPr>
            </w:pPr>
            <w:r>
              <w:rPr>
                <w:sz w:val="4"/>
                <w:szCs w:val="4"/>
              </w:rPr>
            </w:r>
          </w:p>
        </w:tc>
        <w:tc>
          <w:tcPr>
            <w:tcW w:w="95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8,185</w:t>
            </w:r>
          </w:p>
        </w:tc>
        <w:tc>
          <w:tcPr>
            <w:tcW w:w="120"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1,537</w:t>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17,694</w:t>
            </w:r>
            <w:r>
              <w:rPr>
                <w:rFonts w:ascii="Arial" w:hAnsi="Arial"/>
                <w:position w:val="5"/>
                <w:sz w:val="12"/>
                <w:sz w:val="15"/>
              </w:rPr>
              <w:t>(h)</w:t>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12" w:space="0" w:color="1A2343"/>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875" w:type="dxa"/>
            <w:tcBorders>
              <w:bottom w:val="single" w:sz="12" w:space="0" w:color="1A2343"/>
            </w:tcBorders>
            <w:shd w:fill="auto" w:val="clear"/>
            <w:tcMar>
              <w:bottom w:w="28" w:type="dxa"/>
            </w:tcM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sz w:val="4"/>
                <w:szCs w:val="4"/>
              </w:rPr>
            </w:pPr>
            <w:r>
              <w:rPr>
                <w:sz w:val="4"/>
                <w:szCs w:val="4"/>
              </w:rPr>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9,160</w:t>
            </w:r>
            <w:r>
              <w:rPr>
                <w:rFonts w:ascii="Arial" w:hAnsi="Arial"/>
                <w:position w:val="5"/>
                <w:sz w:val="12"/>
                <w:sz w:val="15"/>
              </w:rPr>
              <w:t>(g)</w:t>
            </w:r>
          </w:p>
        </w:tc>
      </w:tr>
    </w:tbl>
    <w:tbl>
      <w:tblPr>
        <w:tblW w:w="10205" w:type="dxa"/>
        <w:jc w:val="left"/>
        <w:tblInd w:w="0" w:type="dxa"/>
        <w:tblCellMar>
          <w:top w:w="0" w:type="dxa"/>
          <w:left w:w="0" w:type="dxa"/>
          <w:bottom w:w="0" w:type="dxa"/>
          <w:right w:w="0" w:type="dxa"/>
        </w:tblCellMar>
      </w:tblPr>
      <w:tblGrid>
        <w:gridCol w:w="360"/>
        <w:gridCol w:w="159"/>
        <w:gridCol w:w="9686"/>
      </w:tblGrid>
      <w:tr>
        <w:trPr/>
        <w:tc>
          <w:tcPr>
            <w:tcW w:w="360" w:type="dxa"/>
            <w:tcBorders/>
            <w:shd w:fill="auto" w:val="clear"/>
            <w:vAlign w:val="center"/>
          </w:tcPr>
          <w:p>
            <w:pPr>
              <w:pStyle w:val="TableContents"/>
              <w:spacing w:before="0" w:after="283"/>
              <w:jc w:val="left"/>
              <w:rPr/>
            </w:pPr>
            <w:r>
              <w:rPr/>
              <w:t>      </w:t>
            </w:r>
          </w:p>
        </w:tc>
        <w:tc>
          <w:tcPr>
            <w:tcW w:w="159" w:type="dxa"/>
            <w:tcBorders/>
            <w:shd w:fill="auto" w:val="clear"/>
            <w:vAlign w:val="center"/>
          </w:tcPr>
          <w:p>
            <w:pPr>
              <w:pStyle w:val="TableContents"/>
              <w:spacing w:before="0" w:after="283"/>
              <w:jc w:val="left"/>
              <w:rPr>
                <w:rFonts w:ascii="Arial" w:hAnsi="Arial"/>
                <w:sz w:val="15"/>
              </w:rPr>
            </w:pPr>
            <w:r>
              <w:rPr>
                <w:rFonts w:ascii="Arial" w:hAnsi="Arial"/>
                <w:sz w:val="15"/>
              </w:rPr>
              <w:t>(a)</w:t>
            </w:r>
          </w:p>
        </w:tc>
        <w:tc>
          <w:tcPr>
            <w:tcW w:w="9686" w:type="dxa"/>
            <w:tcBorders/>
            <w:shd w:fill="auto" w:val="clear"/>
            <w:vAlign w:val="center"/>
          </w:tcPr>
          <w:p>
            <w:pPr>
              <w:pStyle w:val="TableContents"/>
              <w:spacing w:before="0" w:after="283"/>
              <w:jc w:val="left"/>
              <w:rPr>
                <w:rFonts w:ascii="Arial" w:hAnsi="Arial"/>
                <w:sz w:val="15"/>
              </w:rPr>
            </w:pPr>
            <w:r>
              <w:rPr>
                <w:rFonts w:ascii="Arial" w:hAnsi="Arial"/>
                <w:sz w:val="15"/>
              </w:rPr>
              <w:t>Represents the number of LTIP units that were earned for 2022 operational performance that are not subject to forfeiture regardless of our absolute TSR performance over the three-year period ending December 31, 2024. The LTIP units will vest 100% for Messrs. Holliday and Mathias on December 31, 2024, and 50% on each of December 31, 2024 and December 31, 2025 for Messrs. DiLiberto and Levine, subject, in each case, to continued employment.</w:t>
            </w:r>
          </w:p>
        </w:tc>
      </w:tr>
      <w:tr>
        <w:trPr/>
        <w:tc>
          <w:tcPr>
            <w:tcW w:w="36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jc w:val="left"/>
              <w:rPr>
                <w:rFonts w:ascii="Arial" w:hAnsi="Arial"/>
                <w:sz w:val="15"/>
              </w:rPr>
            </w:pPr>
            <w:r>
              <w:rPr>
                <w:rFonts w:ascii="Arial" w:hAnsi="Arial"/>
                <w:sz w:val="15"/>
              </w:rPr>
              <w:t>(b)</w:t>
            </w:r>
          </w:p>
        </w:tc>
        <w:tc>
          <w:tcPr>
            <w:tcW w:w="9686" w:type="dxa"/>
            <w:tcBorders/>
            <w:shd w:fill="auto" w:val="clear"/>
            <w:vAlign w:val="center"/>
          </w:tcPr>
          <w:p>
            <w:pPr>
              <w:pStyle w:val="TableContents"/>
              <w:spacing w:before="0" w:after="283"/>
              <w:jc w:val="left"/>
              <w:rPr>
                <w:rFonts w:ascii="Arial" w:hAnsi="Arial"/>
                <w:sz w:val="15"/>
              </w:rPr>
            </w:pPr>
            <w:r>
              <w:rPr>
                <w:rFonts w:ascii="Arial" w:hAnsi="Arial"/>
                <w:sz w:val="15"/>
              </w:rPr>
              <w:t>Represents the number of LTIP units that were earned for 2021 operational performance that are not subject to forfeiture regardless of our absolute TSR performance over the three-year period ending December 31, 2023. The LTIP units will vest 100% for Messrs. Holliday and Mathias on December 31, 2023, and 50% on each of December 31, 2023 and December 31, 2024 for Messrs. DiLiberto and Levine, subject, in each case, to continued employment.</w:t>
            </w:r>
          </w:p>
        </w:tc>
      </w:tr>
      <w:tr>
        <w:trPr/>
        <w:tc>
          <w:tcPr>
            <w:tcW w:w="36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jc w:val="left"/>
              <w:rPr>
                <w:rFonts w:ascii="Arial" w:hAnsi="Arial"/>
                <w:sz w:val="15"/>
              </w:rPr>
            </w:pPr>
            <w:r>
              <w:rPr>
                <w:rFonts w:ascii="Arial" w:hAnsi="Arial"/>
                <w:sz w:val="15"/>
              </w:rPr>
              <w:t>(c)</w:t>
            </w:r>
          </w:p>
        </w:tc>
        <w:tc>
          <w:tcPr>
            <w:tcW w:w="9686" w:type="dxa"/>
            <w:tcBorders/>
            <w:shd w:fill="auto" w:val="clear"/>
            <w:vAlign w:val="center"/>
          </w:tcPr>
          <w:p>
            <w:pPr>
              <w:pStyle w:val="TableContents"/>
              <w:spacing w:before="0" w:after="283"/>
              <w:jc w:val="left"/>
              <w:rPr>
                <w:rFonts w:ascii="Arial" w:hAnsi="Arial"/>
                <w:sz w:val="15"/>
              </w:rPr>
            </w:pPr>
            <w:r>
              <w:rPr>
                <w:rFonts w:ascii="Arial" w:hAnsi="Arial"/>
                <w:sz w:val="15"/>
              </w:rPr>
              <w:t>Represents the sum of (i) the number of LTIP units that were earned for 2020 operational performance, as modified by our absolute TSR performance over the three-year period ending December 31, 2022 and (ii) the number of LTIP units that were earned based on our TSR performance relative to our NYC Peer Group granted over the three-year period ending December 31, 2022. The LTIP units vested 100% for Messrs. Holliday and Mathias on December 31, 2022, and 50% for Messrs. DiLiberto and Levine, with the remaining 50% scheduled to vest on December 31, 2023 subject, in each case, to continued employment. LTIP units that vested on December 31, 2022 are reflected in the “2022 Options Exercised and Stock Vested” table, below. See “—Compensation Discussion and Analysis—Our 2022 Executive Compensation Program” and “—Compensation Discussion and Analysis—Other Compensation Policies and Information—Outstanding Annual Equity Award Performance Summary (2020-2022)” for a description of the terms of these performance-based awards and the Company’s performance as of December 31, 2022.</w:t>
            </w:r>
          </w:p>
        </w:tc>
      </w:tr>
      <w:tr>
        <w:trPr/>
        <w:tc>
          <w:tcPr>
            <w:tcW w:w="36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jc w:val="left"/>
              <w:rPr>
                <w:rFonts w:ascii="Arial" w:hAnsi="Arial"/>
                <w:sz w:val="15"/>
              </w:rPr>
            </w:pPr>
            <w:r>
              <w:rPr>
                <w:rFonts w:ascii="Arial" w:hAnsi="Arial"/>
                <w:sz w:val="15"/>
              </w:rPr>
              <w:t>(d)</w:t>
            </w:r>
          </w:p>
        </w:tc>
        <w:tc>
          <w:tcPr>
            <w:tcW w:w="9686" w:type="dxa"/>
            <w:tcBorders/>
            <w:shd w:fill="auto" w:val="clear"/>
            <w:vAlign w:val="center"/>
          </w:tcPr>
          <w:p>
            <w:pPr>
              <w:pStyle w:val="TableContents"/>
              <w:spacing w:before="0" w:after="283"/>
              <w:jc w:val="left"/>
              <w:rPr>
                <w:rFonts w:ascii="Arial" w:hAnsi="Arial"/>
                <w:sz w:val="15"/>
              </w:rPr>
            </w:pPr>
            <w:r>
              <w:rPr>
                <w:rFonts w:ascii="Arial" w:hAnsi="Arial"/>
                <w:sz w:val="15"/>
              </w:rPr>
              <w:t>Represents LTIP units that vested one-third on January 1, 2023 and LTIP units that are scheduled to vest one-third on January 1, 2024 and one-third on January 1, 2025, subject to continued employment.</w:t>
            </w:r>
          </w:p>
        </w:tc>
      </w:tr>
      <w:tr>
        <w:trPr/>
        <w:tc>
          <w:tcPr>
            <w:tcW w:w="36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jc w:val="left"/>
              <w:rPr>
                <w:rFonts w:ascii="Arial" w:hAnsi="Arial"/>
                <w:sz w:val="15"/>
              </w:rPr>
            </w:pPr>
            <w:r>
              <w:rPr>
                <w:rFonts w:ascii="Arial" w:hAnsi="Arial"/>
                <w:sz w:val="15"/>
              </w:rPr>
              <w:t>(e)</w:t>
            </w:r>
          </w:p>
        </w:tc>
        <w:tc>
          <w:tcPr>
            <w:tcW w:w="9686" w:type="dxa"/>
            <w:tcBorders/>
            <w:shd w:fill="auto" w:val="clear"/>
            <w:vAlign w:val="center"/>
          </w:tcPr>
          <w:p>
            <w:pPr>
              <w:pStyle w:val="TableContents"/>
              <w:spacing w:before="0" w:after="283"/>
              <w:jc w:val="left"/>
              <w:rPr>
                <w:rFonts w:ascii="Arial" w:hAnsi="Arial"/>
                <w:sz w:val="15"/>
              </w:rPr>
            </w:pPr>
            <w:r>
              <w:rPr>
                <w:rFonts w:ascii="Arial" w:hAnsi="Arial"/>
                <w:sz w:val="15"/>
              </w:rPr>
              <w:t>Represents LTIP units that vested one-third on January 1, 2022 and one-third on January 1, 2023 and LTIP units that are scheduled to vest one-third on January 1, 2024, subject to continued employment.</w:t>
            </w:r>
          </w:p>
        </w:tc>
      </w:tr>
      <w:tr>
        <w:trPr/>
        <w:tc>
          <w:tcPr>
            <w:tcW w:w="36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jc w:val="left"/>
              <w:rPr>
                <w:rFonts w:ascii="Arial" w:hAnsi="Arial"/>
                <w:sz w:val="15"/>
              </w:rPr>
            </w:pPr>
            <w:r>
              <w:rPr>
                <w:rFonts w:ascii="Arial" w:hAnsi="Arial"/>
                <w:sz w:val="15"/>
              </w:rPr>
              <w:t>(f)</w:t>
            </w:r>
          </w:p>
        </w:tc>
        <w:tc>
          <w:tcPr>
            <w:tcW w:w="9686" w:type="dxa"/>
            <w:tcBorders/>
            <w:shd w:fill="auto" w:val="clear"/>
            <w:vAlign w:val="center"/>
          </w:tcPr>
          <w:p>
            <w:pPr>
              <w:pStyle w:val="TableContents"/>
              <w:spacing w:before="0" w:after="283"/>
              <w:jc w:val="left"/>
              <w:rPr>
                <w:rFonts w:ascii="Arial" w:hAnsi="Arial"/>
                <w:sz w:val="15"/>
              </w:rPr>
            </w:pPr>
            <w:r>
              <w:rPr>
                <w:rFonts w:ascii="Arial" w:hAnsi="Arial"/>
                <w:sz w:val="15"/>
              </w:rPr>
              <w:t>Represents LTIP units that vested on January 1, 2023.</w:t>
            </w:r>
          </w:p>
        </w:tc>
      </w:tr>
      <w:tr>
        <w:trPr/>
        <w:tc>
          <w:tcPr>
            <w:tcW w:w="36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jc w:val="left"/>
              <w:rPr>
                <w:rFonts w:ascii="Arial" w:hAnsi="Arial"/>
                <w:sz w:val="15"/>
              </w:rPr>
            </w:pPr>
            <w:r>
              <w:rPr>
                <w:rFonts w:ascii="Arial" w:hAnsi="Arial"/>
                <w:sz w:val="15"/>
              </w:rPr>
              <w:t>(g)</w:t>
            </w:r>
          </w:p>
        </w:tc>
        <w:tc>
          <w:tcPr>
            <w:tcW w:w="9686" w:type="dxa"/>
            <w:tcBorders/>
            <w:shd w:fill="auto" w:val="clear"/>
            <w:vAlign w:val="center"/>
          </w:tcPr>
          <w:p>
            <w:pPr>
              <w:pStyle w:val="TableContents"/>
              <w:spacing w:before="0" w:after="283"/>
              <w:jc w:val="left"/>
              <w:rPr>
                <w:rFonts w:ascii="Arial" w:hAnsi="Arial"/>
                <w:sz w:val="15"/>
              </w:rPr>
            </w:pPr>
            <w:r>
              <w:rPr>
                <w:rFonts w:ascii="Arial" w:hAnsi="Arial"/>
                <w:sz w:val="15"/>
              </w:rPr>
              <w:t>Represents LTIP units that were awarded as one-time, long-term incentive grants in connection with our One Madison development project that vested one-third on December 31, 2022 and LTIP units that are scheduled to vest one-third on each of December 31, 2023 and December 31, 2024, subject to continued employment.</w:t>
            </w:r>
          </w:p>
        </w:tc>
      </w:tr>
      <w:tr>
        <w:trPr/>
        <w:tc>
          <w:tcPr>
            <w:tcW w:w="36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jc w:val="left"/>
              <w:rPr>
                <w:rFonts w:ascii="Arial" w:hAnsi="Arial"/>
                <w:sz w:val="15"/>
              </w:rPr>
            </w:pPr>
            <w:r>
              <w:rPr>
                <w:rFonts w:ascii="Arial" w:hAnsi="Arial"/>
                <w:sz w:val="15"/>
              </w:rPr>
              <w:t>(h)</w:t>
            </w:r>
          </w:p>
        </w:tc>
        <w:tc>
          <w:tcPr>
            <w:tcW w:w="9686" w:type="dxa"/>
            <w:tcBorders/>
            <w:shd w:fill="auto" w:val="clear"/>
            <w:vAlign w:val="center"/>
          </w:tcPr>
          <w:p>
            <w:pPr>
              <w:pStyle w:val="TableContents"/>
              <w:spacing w:before="0" w:after="283"/>
              <w:jc w:val="left"/>
              <w:rPr>
                <w:rFonts w:ascii="Arial" w:hAnsi="Arial"/>
                <w:sz w:val="15"/>
              </w:rPr>
            </w:pPr>
            <w:r>
              <w:rPr>
                <w:rFonts w:ascii="Arial" w:hAnsi="Arial"/>
                <w:sz w:val="15"/>
              </w:rPr>
              <w:t>Represents LTIP units that vested one-third on January 1, 2023 and LTIP units that are scheduled to vest one-third on each of January 1, 2024 and January 1, 2025, subject to continued employment.</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455" w:type="dxa"/>
        <w:jc w:val="left"/>
        <w:tblInd w:w="0" w:type="dxa"/>
        <w:tblCellMar>
          <w:top w:w="0" w:type="dxa"/>
          <w:left w:w="0" w:type="dxa"/>
          <w:bottom w:w="0" w:type="dxa"/>
          <w:right w:w="0" w:type="dxa"/>
        </w:tblCellMar>
      </w:tblPr>
      <w:tblGrid>
        <w:gridCol w:w="2165"/>
        <w:gridCol w:w="290"/>
      </w:tblGrid>
      <w:tr>
        <w:trPr/>
        <w:tc>
          <w:tcPr>
            <w:tcW w:w="2165" w:type="dxa"/>
            <w:tcBorders/>
            <w:shd w:fill="auto" w:val="clear"/>
            <w:vAlign w:val="center"/>
          </w:tcPr>
          <w:p>
            <w:pPr>
              <w:pStyle w:val="TableContents"/>
              <w:spacing w:before="0" w:after="283"/>
              <w:jc w:val="left"/>
              <w:rPr>
                <w:rFonts w:ascii="Arial" w:hAnsi="Arial"/>
                <w:b/>
                <w:sz w:val="15"/>
              </w:rPr>
            </w:pPr>
            <w:r>
              <w:rPr>
                <w:rFonts w:ascii="Arial" w:hAnsi="Arial"/>
                <w:b/>
                <w:sz w:val="15"/>
              </w:rPr>
              <w:t>EXECUTIVE COMPENSATION</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69</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204"/>
        <w:gridCol w:w="10001"/>
      </w:tblGrid>
      <w:tr>
        <w:trPr/>
        <w:tc>
          <w:tcPr>
            <w:tcW w:w="204" w:type="dxa"/>
            <w:tcBorders/>
            <w:shd w:fill="auto" w:val="clear"/>
            <w:vAlign w:val="center"/>
          </w:tcPr>
          <w:p>
            <w:pPr>
              <w:pStyle w:val="TableContents"/>
              <w:spacing w:before="0" w:after="283"/>
              <w:jc w:val="left"/>
              <w:rPr>
                <w:rFonts w:ascii="Arial" w:hAnsi="Arial"/>
                <w:sz w:val="15"/>
              </w:rPr>
            </w:pPr>
            <w:r>
              <w:rPr>
                <w:rFonts w:ascii="Arial" w:hAnsi="Arial"/>
                <w:sz w:val="15"/>
              </w:rPr>
              <w:t xml:space="preserve">(2) </w:t>
            </w:r>
          </w:p>
        </w:tc>
        <w:tc>
          <w:tcPr>
            <w:tcW w:w="10001" w:type="dxa"/>
            <w:tcBorders/>
            <w:shd w:fill="auto" w:val="clear"/>
            <w:vAlign w:val="center"/>
          </w:tcPr>
          <w:p>
            <w:pPr>
              <w:pStyle w:val="TableContents"/>
              <w:spacing w:before="0" w:after="283"/>
              <w:jc w:val="left"/>
              <w:rPr>
                <w:rFonts w:ascii="Arial" w:hAnsi="Arial"/>
                <w:sz w:val="15"/>
              </w:rPr>
            </w:pPr>
            <w:r>
              <w:rPr>
                <w:rFonts w:ascii="Arial" w:hAnsi="Arial"/>
                <w:sz w:val="15"/>
              </w:rPr>
              <w:t>Based on a price of $33.72 per share/unit, which was the closing price on the NYSE of one share of our common stock on December 30, 2022. Assumes that the value of LTIP units on a per unit basis is equal to the per share value of our common stock.</w:t>
            </w:r>
          </w:p>
        </w:tc>
      </w:tr>
      <w:tr>
        <w:trPr/>
        <w:tc>
          <w:tcPr>
            <w:tcW w:w="204" w:type="dxa"/>
            <w:tcBorders/>
            <w:shd w:fill="auto" w:val="clear"/>
            <w:vAlign w:val="center"/>
          </w:tcPr>
          <w:p>
            <w:pPr>
              <w:pStyle w:val="TableContents"/>
              <w:spacing w:before="0" w:after="283"/>
              <w:jc w:val="left"/>
              <w:rPr>
                <w:rFonts w:ascii="Arial" w:hAnsi="Arial"/>
                <w:sz w:val="15"/>
              </w:rPr>
            </w:pPr>
            <w:r>
              <w:rPr>
                <w:rFonts w:ascii="Arial" w:hAnsi="Arial"/>
                <w:sz w:val="15"/>
              </w:rPr>
              <w:t xml:space="preserve">(3) </w:t>
            </w:r>
          </w:p>
        </w:tc>
        <w:tc>
          <w:tcPr>
            <w:tcW w:w="10001" w:type="dxa"/>
            <w:tcBorders/>
            <w:shd w:fill="auto" w:val="clear"/>
            <w:vAlign w:val="center"/>
          </w:tcPr>
          <w:p>
            <w:pPr>
              <w:pStyle w:val="TableContents"/>
              <w:spacing w:before="0" w:after="283"/>
              <w:jc w:val="left"/>
              <w:rPr>
                <w:rFonts w:ascii="Arial" w:hAnsi="Arial"/>
                <w:sz w:val="15"/>
              </w:rPr>
            </w:pPr>
            <w:r>
              <w:rPr>
                <w:rFonts w:ascii="Arial" w:hAnsi="Arial"/>
                <w:sz w:val="15"/>
              </w:rPr>
              <w:t>For each of our named executive officers includes the following:</w:t>
            </w:r>
          </w:p>
        </w:tc>
      </w:tr>
    </w:tbl>
    <w:p>
      <w:pPr>
        <w:pStyle w:val="TextBody"/>
        <w:spacing w:before="0" w:after="0"/>
        <w:rPr/>
      </w:pPr>
      <w:r>
        <w:rPr/>
      </w:r>
    </w:p>
    <w:tbl>
      <w:tblPr>
        <w:tblW w:w="4005" w:type="dxa"/>
        <w:jc w:val="left"/>
        <w:tblInd w:w="0" w:type="dxa"/>
        <w:tblCellMar>
          <w:top w:w="0" w:type="dxa"/>
          <w:left w:w="0" w:type="dxa"/>
          <w:bottom w:w="40" w:type="dxa"/>
          <w:right w:w="0" w:type="dxa"/>
        </w:tblCellMar>
      </w:tblPr>
      <w:tblGrid>
        <w:gridCol w:w="1505"/>
        <w:gridCol w:w="300"/>
        <w:gridCol w:w="950"/>
        <w:gridCol w:w="300"/>
        <w:gridCol w:w="950"/>
      </w:tblGrid>
      <w:tr>
        <w:trPr/>
        <w:tc>
          <w:tcPr>
            <w:tcW w:w="1505"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Executive</w:t>
            </w:r>
          </w:p>
        </w:tc>
        <w:tc>
          <w:tcPr>
            <w:tcW w:w="300" w:type="dxa"/>
            <w:tcBorders/>
            <w:shd w:fill="auto" w:val="clear"/>
            <w:tcMar>
              <w:bottom w:w="0" w:type="dxa"/>
            </w:tcMar>
            <w:vAlign w:val="center"/>
          </w:tcPr>
          <w:p>
            <w:pPr>
              <w:pStyle w:val="TableContents"/>
              <w:spacing w:before="0" w:after="283"/>
              <w:jc w:val="left"/>
              <w:rPr/>
            </w:pPr>
            <w:r>
              <w:rPr/>
              <w:t>     </w:t>
            </w:r>
          </w:p>
        </w:tc>
        <w:tc>
          <w:tcPr>
            <w:tcW w:w="950"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2022</w:t>
              <w:br/>
              <w:t>Performance-</w:t>
              <w:br/>
              <w:t>Based</w:t>
              <w:br/>
              <w:t>LTIP Units</w:t>
            </w:r>
            <w:r>
              <w:rPr>
                <w:rFonts w:ascii="Arial" w:hAnsi="Arial"/>
                <w:color w:val="1A2343"/>
                <w:position w:val="5"/>
                <w:sz w:val="12"/>
                <w:sz w:val="15"/>
              </w:rPr>
              <w:t>(a)</w:t>
            </w:r>
          </w:p>
        </w:tc>
        <w:tc>
          <w:tcPr>
            <w:tcW w:w="300" w:type="dxa"/>
            <w:tcBorders/>
            <w:shd w:fill="auto" w:val="clear"/>
            <w:tcMar>
              <w:bottom w:w="0" w:type="dxa"/>
            </w:tcMar>
            <w:vAlign w:val="center"/>
          </w:tcPr>
          <w:p>
            <w:pPr>
              <w:pStyle w:val="TableContents"/>
              <w:spacing w:before="0" w:after="283"/>
              <w:jc w:val="right"/>
              <w:rPr/>
            </w:pPr>
            <w:r>
              <w:rPr/>
              <w:t>     </w:t>
            </w:r>
          </w:p>
        </w:tc>
        <w:tc>
          <w:tcPr>
            <w:tcW w:w="950"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2021</w:t>
              <w:br/>
              <w:t>Performance-</w:t>
              <w:br/>
              <w:t>Based LTIP</w:t>
              <w:br/>
              <w:t>Units</w:t>
            </w:r>
            <w:r>
              <w:rPr>
                <w:rFonts w:ascii="Arial" w:hAnsi="Arial"/>
                <w:color w:val="1A2343"/>
                <w:position w:val="5"/>
                <w:sz w:val="12"/>
                <w:sz w:val="15"/>
              </w:rPr>
              <w:t>(b)</w:t>
            </w:r>
          </w:p>
        </w:tc>
      </w:tr>
      <w:tr>
        <w:trPr/>
        <w:tc>
          <w:tcPr>
            <w:tcW w:w="150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15"/>
              </w:rPr>
            </w:pPr>
            <w:r>
              <w:rPr>
                <w:rFonts w:ascii="Arial" w:hAnsi="Arial"/>
                <w:b/>
                <w:color w:val="1A2343"/>
                <w:sz w:val="15"/>
              </w:rPr>
              <w:t>Marc Holliday</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5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25,408</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5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31,569</w:t>
            </w:r>
          </w:p>
        </w:tc>
      </w:tr>
      <w:tr>
        <w:trPr/>
        <w:tc>
          <w:tcPr>
            <w:tcW w:w="150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15"/>
              </w:rPr>
            </w:pPr>
            <w:r>
              <w:rPr>
                <w:rFonts w:ascii="Arial" w:hAnsi="Arial"/>
                <w:b/>
                <w:color w:val="1A2343"/>
                <w:sz w:val="15"/>
              </w:rPr>
              <w:t>Andrew Mathias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5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20,327</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5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25,256</w:t>
            </w:r>
          </w:p>
        </w:tc>
      </w:tr>
      <w:tr>
        <w:trPr/>
        <w:tc>
          <w:tcPr>
            <w:tcW w:w="150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15"/>
              </w:rPr>
            </w:pPr>
            <w:r>
              <w:rPr>
                <w:rFonts w:ascii="Arial" w:hAnsi="Arial"/>
                <w:b/>
                <w:color w:val="1A2343"/>
                <w:sz w:val="15"/>
              </w:rPr>
              <w:t>Matthew J. DiLiberto</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5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1,882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5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2,339</w:t>
            </w:r>
          </w:p>
        </w:tc>
      </w:tr>
      <w:tr>
        <w:trPr/>
        <w:tc>
          <w:tcPr>
            <w:tcW w:w="1505" w:type="dxa"/>
            <w:tcBorders>
              <w:bottom w:val="single" w:sz="12" w:space="0" w:color="1A2343"/>
            </w:tcBorders>
            <w:shd w:fill="auto" w:val="clear"/>
            <w:tcMar>
              <w:bottom w:w="28" w:type="dxa"/>
            </w:tcMar>
            <w:vAlign w:val="center"/>
          </w:tcPr>
          <w:p>
            <w:pPr>
              <w:pStyle w:val="TableContents"/>
              <w:spacing w:before="0" w:after="283"/>
              <w:jc w:val="left"/>
              <w:rPr>
                <w:rFonts w:ascii="Arial" w:hAnsi="Arial"/>
                <w:b/>
                <w:color w:val="1A2343"/>
                <w:sz w:val="15"/>
              </w:rPr>
            </w:pPr>
            <w:r>
              <w:rPr>
                <w:rFonts w:ascii="Arial" w:hAnsi="Arial"/>
                <w:b/>
                <w:color w:val="1A2343"/>
                <w:sz w:val="15"/>
              </w:rPr>
              <w:t>Andrew S. Levine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5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1,882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5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2,339</w:t>
            </w:r>
          </w:p>
        </w:tc>
      </w:tr>
    </w:tbl>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vAlign w:val="center"/>
          </w:tcPr>
          <w:p>
            <w:pPr>
              <w:pStyle w:val="TableContents"/>
              <w:spacing w:before="0" w:after="283"/>
              <w:jc w:val="left"/>
              <w:rPr>
                <w:rFonts w:ascii="Arial" w:hAnsi="Arial"/>
                <w:sz w:val="15"/>
              </w:rPr>
            </w:pPr>
            <w:r>
              <w:rPr>
                <w:rFonts w:ascii="Arial" w:hAnsi="Arial"/>
                <w:sz w:val="15"/>
              </w:rPr>
              <w:t xml:space="preserve">(a) </w:t>
            </w:r>
          </w:p>
        </w:tc>
        <w:tc>
          <w:tcPr>
            <w:tcW w:w="10041" w:type="dxa"/>
            <w:tcBorders/>
            <w:shd w:fill="auto" w:val="clear"/>
            <w:vAlign w:val="center"/>
          </w:tcPr>
          <w:p>
            <w:pPr>
              <w:pStyle w:val="TableContents"/>
              <w:spacing w:before="0" w:after="283"/>
              <w:jc w:val="left"/>
              <w:rPr>
                <w:rFonts w:ascii="Arial" w:hAnsi="Arial"/>
                <w:sz w:val="15"/>
              </w:rPr>
            </w:pPr>
            <w:r>
              <w:rPr>
                <w:rFonts w:ascii="Arial" w:hAnsi="Arial"/>
                <w:sz w:val="15"/>
              </w:rPr>
              <w:t>Represents the sum of the LTIP units that would be earned if (i) the “threshold” performance goal were achieved with respect to the portion of the LTIP units eligible to be earned based on absolute TSR, (ii) the “threshold” performance goal were achieved with respect to the portion of the LTIP units eligible to be earned based on TSR relative to the constituents of the Dow Jones US Real Estate Office Index and (iii) the “threshold” performance goal was achieved with respect to the portion of the LTIP units eligible to be earned based on TSR relative to NYC peers. Earned LTIP units will vest 100% for Messrs. Holliday and Mathias on December 31, 2024, and 50% on each of December 31, 2024 and December 31, 2025 for Messrs. DiLiberto and Levine, subject, in each case, to continued employment. See “—Compensation Discussion and Analysis—Our 2022 Executive Compensation Program” and “—Compensation Discussion and Analysis—Other Compensation Policies and Information—Outstanding Annual Equity Award Performance Summary (2020-2022)” for a description of the terms of these performance-based awards and the Company’s projected performance as of December 31, 2022.</w:t>
            </w:r>
          </w:p>
        </w:tc>
      </w:tr>
      <w:tr>
        <w:trPr/>
        <w:tc>
          <w:tcPr>
            <w:tcW w:w="164" w:type="dxa"/>
            <w:tcBorders/>
            <w:shd w:fill="auto" w:val="clear"/>
            <w:vAlign w:val="center"/>
          </w:tcPr>
          <w:p>
            <w:pPr>
              <w:pStyle w:val="TableContents"/>
              <w:spacing w:before="0" w:after="283"/>
              <w:jc w:val="left"/>
              <w:rPr>
                <w:rFonts w:ascii="Arial" w:hAnsi="Arial"/>
                <w:sz w:val="15"/>
              </w:rPr>
            </w:pPr>
            <w:r>
              <w:rPr>
                <w:rFonts w:ascii="Arial" w:hAnsi="Arial"/>
                <w:sz w:val="15"/>
              </w:rPr>
              <w:t xml:space="preserve">(b) </w:t>
            </w:r>
          </w:p>
        </w:tc>
        <w:tc>
          <w:tcPr>
            <w:tcW w:w="10041" w:type="dxa"/>
            <w:tcBorders/>
            <w:shd w:fill="auto" w:val="clear"/>
            <w:vAlign w:val="center"/>
          </w:tcPr>
          <w:p>
            <w:pPr>
              <w:pStyle w:val="TableContents"/>
              <w:spacing w:before="0" w:after="283"/>
              <w:jc w:val="left"/>
              <w:rPr>
                <w:rFonts w:ascii="Arial" w:hAnsi="Arial"/>
                <w:sz w:val="15"/>
              </w:rPr>
            </w:pPr>
            <w:r>
              <w:rPr>
                <w:rFonts w:ascii="Arial" w:hAnsi="Arial"/>
                <w:sz w:val="15"/>
              </w:rPr>
              <w:t>Represents the sum of the LTIP units that would be earned if (i) the “threshold” performance goal was achieved with respect to the portion of the LTIP units eligible to be earned based on absolute TSR, (ii) the “threshold” performance goal was achieved with respect to the portion of the LTIP units eligible to be earned based on TSR relative to the constituents of the SNL office index at the time the award was granted and (iii) the “threshold” performance goal was achieved with respect to the portion of the LTIP units eligible to be earned based on TSR relative to NYC peers. Earned LTIP units will vest 100% for Messrs. Holliday and Mathias on December 31, 2023, and 50% on each of December 31, 2023 and December 31, 2024 for Messrs. DiLiberto and Levine, subject, in each case, to continued employment. See “—Compensation Discussion and Analysis—Our 2022 Executive Compensation Program” and “—Compensation Discussion and Analysis—Other Compensation Policies and Information—Outstanding Annual Equity Award Performance Summary (2020-2022)” for a description of the terms of these performance-based awards and the Company’s projected performance as of December 31, 2022.</w:t>
            </w:r>
          </w:p>
        </w:tc>
      </w:tr>
    </w:tbl>
    <w:tbl>
      <w:tblPr>
        <w:tblW w:w="10205" w:type="dxa"/>
        <w:jc w:val="left"/>
        <w:tblInd w:w="0" w:type="dxa"/>
        <w:tblCellMar>
          <w:top w:w="0" w:type="dxa"/>
          <w:left w:w="0" w:type="dxa"/>
          <w:bottom w:w="0" w:type="dxa"/>
          <w:right w:w="0" w:type="dxa"/>
        </w:tblCellMar>
      </w:tblPr>
      <w:tblGrid>
        <w:gridCol w:w="179"/>
        <w:gridCol w:w="10026"/>
      </w:tblGrid>
      <w:tr>
        <w:trPr/>
        <w:tc>
          <w:tcPr>
            <w:tcW w:w="179" w:type="dxa"/>
            <w:tcBorders/>
            <w:shd w:fill="auto" w:val="clear"/>
            <w:vAlign w:val="center"/>
          </w:tcPr>
          <w:p>
            <w:pPr>
              <w:pStyle w:val="TableContents"/>
              <w:spacing w:before="0" w:after="283"/>
              <w:jc w:val="right"/>
              <w:rPr>
                <w:rFonts w:ascii="Arial" w:hAnsi="Arial"/>
                <w:sz w:val="15"/>
              </w:rPr>
            </w:pPr>
            <w:r>
              <w:rPr>
                <w:rFonts w:ascii="Arial" w:hAnsi="Arial"/>
                <w:sz w:val="15"/>
              </w:rPr>
              <w:t xml:space="preserve">(4) </w:t>
            </w:r>
          </w:p>
        </w:tc>
        <w:tc>
          <w:tcPr>
            <w:tcW w:w="10026" w:type="dxa"/>
            <w:tcBorders/>
            <w:shd w:fill="auto" w:val="clear"/>
            <w:vAlign w:val="center"/>
          </w:tcPr>
          <w:p>
            <w:pPr>
              <w:pStyle w:val="TableContents"/>
              <w:spacing w:before="0" w:after="283"/>
              <w:jc w:val="left"/>
              <w:rPr>
                <w:rFonts w:ascii="Arial" w:hAnsi="Arial"/>
                <w:sz w:val="15"/>
              </w:rPr>
            </w:pPr>
            <w:r>
              <w:rPr>
                <w:rFonts w:ascii="Arial" w:hAnsi="Arial"/>
                <w:sz w:val="15"/>
              </w:rPr>
              <w:t>Reflects awards of Class O LTIP units. The conversion threshold for the Class O LTIP units, which is equivalent to the exercise price for a stock option, was determined by reference to the fair market value under our Fifth Amended and Restated 2005 Stock Option and Incentive Plan of one share of our common stock on each applicable grant date. See “—Other Compensation Policies and Information— Other Matters— LTIP units and Class O LTIP units” for a description of Class O LTIP units.</w:t>
            </w:r>
          </w:p>
        </w:tc>
      </w:tr>
    </w:tbl>
    <w:p>
      <w:pPr>
        <w:pStyle w:val="TextBody"/>
        <w:spacing w:before="240" w:after="283"/>
        <w:jc w:val="left"/>
        <w:rPr>
          <w:rFonts w:ascii="Arial" w:hAnsi="Arial"/>
          <w:b/>
          <w:color w:val="1A2343"/>
          <w:sz w:val="26"/>
        </w:rPr>
      </w:pPr>
      <w:r>
        <w:rPr>
          <w:rFonts w:ascii="Arial" w:hAnsi="Arial"/>
          <w:b/>
          <w:color w:val="1A2343"/>
          <w:sz w:val="26"/>
        </w:rPr>
        <w:t>2022 Option Exercises and Stock Vested</w:t>
      </w:r>
    </w:p>
    <w:p>
      <w:pPr>
        <w:pStyle w:val="TextBody"/>
        <w:jc w:val="left"/>
        <w:rPr>
          <w:rFonts w:ascii="Arial" w:hAnsi="Arial"/>
          <w:sz w:val="20"/>
        </w:rPr>
      </w:pPr>
      <w:r>
        <w:rPr>
          <w:rFonts w:ascii="Arial" w:hAnsi="Arial"/>
          <w:sz w:val="20"/>
        </w:rPr>
        <w:t>The following table sets forth certain information with respect to the exercise of stock options and the vesting of stock, including restricted stock, restricted stock units, LTIP units and similar instruments for each named executive officer during the fiscal year ended December 31, 2022.</w:t>
      </w:r>
    </w:p>
    <w:tbl>
      <w:tblPr>
        <w:tblW w:w="6570" w:type="dxa"/>
        <w:jc w:val="left"/>
        <w:tblInd w:w="0" w:type="dxa"/>
        <w:tblCellMar>
          <w:top w:w="0" w:type="dxa"/>
          <w:left w:w="0" w:type="dxa"/>
          <w:bottom w:w="0" w:type="dxa"/>
          <w:right w:w="0" w:type="dxa"/>
        </w:tblCellMar>
      </w:tblPr>
      <w:tblGrid>
        <w:gridCol w:w="1925"/>
        <w:gridCol w:w="300"/>
        <w:gridCol w:w="830"/>
        <w:gridCol w:w="300"/>
        <w:gridCol w:w="845"/>
        <w:gridCol w:w="300"/>
        <w:gridCol w:w="770"/>
        <w:gridCol w:w="300"/>
        <w:gridCol w:w="125"/>
        <w:gridCol w:w="875"/>
      </w:tblGrid>
      <w:tr>
        <w:trPr/>
        <w:tc>
          <w:tcPr>
            <w:tcW w:w="192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975" w:type="dxa"/>
            <w:gridSpan w:val="3"/>
            <w:tcBorders>
              <w:bottom w:val="single" w:sz="12" w:space="0" w:color="1A2343"/>
            </w:tcBorders>
            <w:shd w:fill="auto" w:val="clear"/>
            <w:tcMar>
              <w:bottom w:w="40" w:type="dxa"/>
            </w:tcMar>
            <w:vAlign w:val="center"/>
          </w:tcPr>
          <w:p>
            <w:pPr>
              <w:pStyle w:val="TableContents"/>
              <w:spacing w:before="0" w:after="283"/>
              <w:jc w:val="center"/>
              <w:rPr>
                <w:rFonts w:ascii="Arial" w:hAnsi="Arial"/>
                <w:color w:val="1A2343"/>
                <w:sz w:val="15"/>
              </w:rPr>
            </w:pPr>
            <w:r>
              <w:rPr>
                <w:rFonts w:ascii="Arial" w:hAnsi="Arial"/>
                <w:color w:val="1A2343"/>
                <w:sz w:val="15"/>
              </w:rPr>
              <w:t>Option Awards</w:t>
            </w:r>
          </w:p>
        </w:tc>
        <w:tc>
          <w:tcPr>
            <w:tcW w:w="300" w:type="dxa"/>
            <w:tcBorders/>
            <w:shd w:fill="auto" w:val="clear"/>
            <w:vAlign w:val="center"/>
          </w:tcPr>
          <w:p>
            <w:pPr>
              <w:pStyle w:val="TableContents"/>
              <w:spacing w:before="0" w:after="283"/>
              <w:rPr>
                <w:sz w:val="4"/>
                <w:szCs w:val="4"/>
              </w:rPr>
            </w:pPr>
            <w:r>
              <w:rPr>
                <w:sz w:val="4"/>
                <w:szCs w:val="4"/>
              </w:rPr>
            </w:r>
          </w:p>
        </w:tc>
        <w:tc>
          <w:tcPr>
            <w:tcW w:w="2070" w:type="dxa"/>
            <w:gridSpan w:val="4"/>
            <w:tcBorders>
              <w:bottom w:val="single" w:sz="12" w:space="0" w:color="1A2343"/>
            </w:tcBorders>
            <w:shd w:fill="auto" w:val="clear"/>
            <w:tcMar>
              <w:bottom w:w="40" w:type="dxa"/>
            </w:tcMar>
            <w:vAlign w:val="center"/>
          </w:tcPr>
          <w:p>
            <w:pPr>
              <w:pStyle w:val="TableContents"/>
              <w:spacing w:before="0" w:after="283"/>
              <w:jc w:val="center"/>
              <w:rPr>
                <w:rFonts w:ascii="Arial" w:hAnsi="Arial"/>
                <w:color w:val="1A2343"/>
                <w:sz w:val="15"/>
              </w:rPr>
            </w:pPr>
            <w:r>
              <w:rPr>
                <w:rFonts w:ascii="Arial" w:hAnsi="Arial"/>
                <w:color w:val="1A2343"/>
                <w:sz w:val="15"/>
              </w:rPr>
              <w:t>Stock Awards</w:t>
            </w:r>
          </w:p>
        </w:tc>
      </w:tr>
      <w:tr>
        <w:trPr/>
        <w:tc>
          <w:tcPr>
            <w:tcW w:w="1925" w:type="dxa"/>
            <w:tcBorders>
              <w:bottom w:val="single" w:sz="12" w:space="0" w:color="1A2343"/>
            </w:tcBorders>
            <w:shd w:fill="auto" w:val="clear"/>
            <w:tcMar>
              <w:bottom w:w="40" w:type="dxa"/>
            </w:tcMar>
            <w:vAlign w:val="center"/>
          </w:tcPr>
          <w:p>
            <w:pPr>
              <w:pStyle w:val="TableContents"/>
              <w:spacing w:before="0" w:after="283"/>
              <w:jc w:val="left"/>
              <w:rPr>
                <w:rFonts w:ascii="Arial" w:hAnsi="Arial"/>
                <w:color w:val="1A2343"/>
                <w:sz w:val="15"/>
              </w:rPr>
            </w:pPr>
            <w:r>
              <w:rPr>
                <w:rFonts w:ascii="Arial" w:hAnsi="Arial"/>
                <w:color w:val="1A2343"/>
                <w:sz w:val="15"/>
              </w:rPr>
              <w:t>Name</w:t>
            </w:r>
          </w:p>
        </w:tc>
        <w:tc>
          <w:tcPr>
            <w:tcW w:w="300" w:type="dxa"/>
            <w:tcBorders/>
            <w:shd w:fill="auto" w:val="clear"/>
            <w:vAlign w:val="center"/>
          </w:tcPr>
          <w:p>
            <w:pPr>
              <w:pStyle w:val="TableContents"/>
              <w:spacing w:before="0" w:after="283"/>
              <w:jc w:val="left"/>
              <w:rPr/>
            </w:pPr>
            <w:r>
              <w:rPr/>
              <w:t>     </w:t>
            </w:r>
          </w:p>
        </w:tc>
        <w:tc>
          <w:tcPr>
            <w:tcW w:w="83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Number of</w:t>
              <w:br/>
              <w:t>Shares</w:t>
              <w:br/>
              <w:t>Acquired</w:t>
              <w:br/>
              <w:t>on Exercise</w:t>
              <w:br/>
              <w:t>(#)</w:t>
            </w:r>
          </w:p>
        </w:tc>
        <w:tc>
          <w:tcPr>
            <w:tcW w:w="300" w:type="dxa"/>
            <w:tcBorders/>
            <w:shd w:fill="auto" w:val="clear"/>
            <w:vAlign w:val="center"/>
          </w:tcPr>
          <w:p>
            <w:pPr>
              <w:pStyle w:val="TableContents"/>
              <w:spacing w:before="0" w:after="283"/>
              <w:jc w:val="right"/>
              <w:rPr/>
            </w:pPr>
            <w:r>
              <w:rPr/>
              <w:t>     </w:t>
            </w:r>
          </w:p>
        </w:tc>
        <w:tc>
          <w:tcPr>
            <w:tcW w:w="845"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Value</w:t>
              <w:br/>
              <w:t>Realized on</w:t>
              <w:br/>
              <w:t>Vesting</w:t>
              <w:br/>
              <w:t>($)</w:t>
            </w:r>
          </w:p>
        </w:tc>
        <w:tc>
          <w:tcPr>
            <w:tcW w:w="300" w:type="dxa"/>
            <w:tcBorders/>
            <w:shd w:fill="auto" w:val="clear"/>
            <w:vAlign w:val="center"/>
          </w:tcPr>
          <w:p>
            <w:pPr>
              <w:pStyle w:val="TableContents"/>
              <w:spacing w:before="0" w:after="283"/>
              <w:jc w:val="right"/>
              <w:rPr/>
            </w:pPr>
            <w:r>
              <w:rPr/>
              <w:t>     </w:t>
            </w:r>
          </w:p>
        </w:tc>
        <w:tc>
          <w:tcPr>
            <w:tcW w:w="77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Number of</w:t>
              <w:br/>
              <w:t>Shares</w:t>
              <w:br/>
              <w:t>Acquired</w:t>
              <w:br/>
              <w:t>on Vesting</w:t>
              <w:br/>
              <w:t>(#)</w:t>
            </w:r>
          </w:p>
        </w:tc>
        <w:tc>
          <w:tcPr>
            <w:tcW w:w="300" w:type="dxa"/>
            <w:tcBorders/>
            <w:shd w:fill="auto" w:val="clear"/>
            <w:vAlign w:val="center"/>
          </w:tcPr>
          <w:p>
            <w:pPr>
              <w:pStyle w:val="TableContents"/>
              <w:spacing w:before="0" w:after="283"/>
              <w:jc w:val="right"/>
              <w:rPr/>
            </w:pPr>
            <w:r>
              <w:rPr/>
              <w:t>     </w:t>
            </w:r>
          </w:p>
        </w:tc>
        <w:tc>
          <w:tcPr>
            <w:tcW w:w="1000" w:type="dxa"/>
            <w:gridSpan w:val="2"/>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Value</w:t>
              <w:br/>
              <w:t>Realized on</w:t>
              <w:br/>
              <w:t>Vesting</w:t>
            </w:r>
            <w:r>
              <w:rPr>
                <w:rFonts w:ascii="Arial" w:hAnsi="Arial"/>
                <w:color w:val="1A2343"/>
                <w:position w:val="5"/>
                <w:sz w:val="12"/>
                <w:sz w:val="15"/>
              </w:rPr>
              <w:t>(1)</w:t>
            </w:r>
            <w:r>
              <w:rPr>
                <w:rFonts w:ascii="Arial" w:hAnsi="Arial"/>
                <w:color w:val="1A2343"/>
                <w:sz w:val="15"/>
              </w:rPr>
              <w:br/>
              <w:t>($)</w:t>
            </w:r>
          </w:p>
        </w:tc>
      </w:tr>
      <w:tr>
        <w:trPr/>
        <w:tc>
          <w:tcPr>
            <w:tcW w:w="192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Marc Holliday</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vAlign w:val="center"/>
          </w:tcPr>
          <w:p>
            <w:pPr>
              <w:pStyle w:val="TableContents"/>
              <w:spacing w:before="0" w:after="283"/>
              <w:rPr>
                <w:sz w:val="4"/>
                <w:szCs w:val="4"/>
              </w:rPr>
            </w:pPr>
            <w:r>
              <w:rPr>
                <w:sz w:val="4"/>
                <w:szCs w:val="4"/>
              </w:rPr>
            </w:r>
          </w:p>
        </w:tc>
        <w:tc>
          <w:tcPr>
            <w:tcW w:w="845"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vAlign w:val="center"/>
          </w:tcPr>
          <w:p>
            <w:pPr>
              <w:pStyle w:val="TableContents"/>
              <w:spacing w:before="0" w:after="283"/>
              <w:rPr>
                <w:sz w:val="4"/>
                <w:szCs w:val="4"/>
              </w:rPr>
            </w:pPr>
            <w:r>
              <w:rPr>
                <w:sz w:val="4"/>
                <w:szCs w:val="4"/>
              </w:rPr>
            </w:r>
          </w:p>
        </w:tc>
        <w:tc>
          <w:tcPr>
            <w:tcW w:w="77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139,881</w:t>
            </w:r>
          </w:p>
        </w:tc>
        <w:tc>
          <w:tcPr>
            <w:tcW w:w="30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7,194,188</w:t>
            </w:r>
          </w:p>
        </w:tc>
      </w:tr>
      <w:tr>
        <w:trPr/>
        <w:tc>
          <w:tcPr>
            <w:tcW w:w="192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Andrew Mathias</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vAlign w:val="center"/>
          </w:tcPr>
          <w:p>
            <w:pPr>
              <w:pStyle w:val="TableContents"/>
              <w:spacing w:before="0" w:after="283"/>
              <w:rPr>
                <w:sz w:val="4"/>
                <w:szCs w:val="4"/>
              </w:rPr>
            </w:pPr>
            <w:r>
              <w:rPr>
                <w:sz w:val="4"/>
                <w:szCs w:val="4"/>
              </w:rPr>
            </w:r>
          </w:p>
        </w:tc>
        <w:tc>
          <w:tcPr>
            <w:tcW w:w="845"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vAlign w:val="center"/>
          </w:tcPr>
          <w:p>
            <w:pPr>
              <w:pStyle w:val="TableContents"/>
              <w:spacing w:before="0" w:after="283"/>
              <w:rPr>
                <w:sz w:val="4"/>
                <w:szCs w:val="4"/>
              </w:rPr>
            </w:pPr>
            <w:r>
              <w:rPr>
                <w:sz w:val="4"/>
                <w:szCs w:val="4"/>
              </w:rPr>
            </w:r>
          </w:p>
        </w:tc>
        <w:tc>
          <w:tcPr>
            <w:tcW w:w="77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122,967</w:t>
            </w:r>
          </w:p>
        </w:tc>
        <w:tc>
          <w:tcPr>
            <w:tcW w:w="30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6,100,918</w:t>
            </w:r>
          </w:p>
        </w:tc>
      </w:tr>
      <w:tr>
        <w:trPr/>
        <w:tc>
          <w:tcPr>
            <w:tcW w:w="192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Matthew J. DiLiberto</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vAlign w:val="center"/>
          </w:tcPr>
          <w:p>
            <w:pPr>
              <w:pStyle w:val="TableContents"/>
              <w:spacing w:before="0" w:after="283"/>
              <w:rPr>
                <w:sz w:val="4"/>
                <w:szCs w:val="4"/>
              </w:rPr>
            </w:pPr>
            <w:r>
              <w:rPr>
                <w:sz w:val="4"/>
                <w:szCs w:val="4"/>
              </w:rPr>
            </w:r>
          </w:p>
        </w:tc>
        <w:tc>
          <w:tcPr>
            <w:tcW w:w="845"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vAlign w:val="center"/>
          </w:tcPr>
          <w:p>
            <w:pPr>
              <w:pStyle w:val="TableContents"/>
              <w:spacing w:before="0" w:after="283"/>
              <w:rPr>
                <w:sz w:val="4"/>
                <w:szCs w:val="4"/>
              </w:rPr>
            </w:pPr>
            <w:r>
              <w:rPr>
                <w:sz w:val="4"/>
                <w:szCs w:val="4"/>
              </w:rPr>
            </w:r>
          </w:p>
        </w:tc>
        <w:tc>
          <w:tcPr>
            <w:tcW w:w="77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37,950</w:t>
            </w:r>
          </w:p>
        </w:tc>
        <w:tc>
          <w:tcPr>
            <w:tcW w:w="300" w:type="dxa"/>
            <w:tcBorders/>
            <w:shd w:fill="auto" w:val="cle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2,460,649</w:t>
            </w:r>
          </w:p>
        </w:tc>
      </w:tr>
      <w:tr>
        <w:trPr/>
        <w:tc>
          <w:tcPr>
            <w:tcW w:w="1925" w:type="dxa"/>
            <w:tcBorders>
              <w:bottom w:val="single" w:sz="12" w:space="0" w:color="1A2343"/>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Andrew S. Levine</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12" w:space="0" w:color="1A2343"/>
            </w:tcBorders>
            <w:shd w:fill="auto" w:val="clear"/>
            <w:tcMar>
              <w:bottom w:w="28" w:type="dxa"/>
            </w:tcMar>
            <w:vAlign w:val="center"/>
          </w:tcPr>
          <w:p>
            <w:pPr>
              <w:pStyle w:val="TableContents"/>
              <w:spacing w:before="0" w:after="283"/>
              <w:jc w:val="right"/>
              <w:rPr/>
            </w:pPr>
            <w:r>
              <w:rPr/>
              <w:t>—</w:t>
            </w:r>
          </w:p>
        </w:tc>
        <w:tc>
          <w:tcPr>
            <w:tcW w:w="300" w:type="dxa"/>
            <w:tcBorders/>
            <w:shd w:fill="auto" w:val="clear"/>
            <w:vAlign w:val="center"/>
          </w:tcPr>
          <w:p>
            <w:pPr>
              <w:pStyle w:val="TableContents"/>
              <w:spacing w:before="0" w:after="283"/>
              <w:rPr>
                <w:sz w:val="4"/>
                <w:szCs w:val="4"/>
              </w:rPr>
            </w:pPr>
            <w:r>
              <w:rPr>
                <w:sz w:val="4"/>
                <w:szCs w:val="4"/>
              </w:rPr>
            </w:r>
          </w:p>
        </w:tc>
        <w:tc>
          <w:tcPr>
            <w:tcW w:w="845" w:type="dxa"/>
            <w:tcBorders>
              <w:bottom w:val="single" w:sz="12" w:space="0" w:color="1A2343"/>
            </w:tcBorders>
            <w:shd w:fill="auto" w:val="clear"/>
            <w:tcMar>
              <w:bottom w:w="28" w:type="dxa"/>
            </w:tcMar>
            <w:vAlign w:val="center"/>
          </w:tcPr>
          <w:p>
            <w:pPr>
              <w:pStyle w:val="TableContents"/>
              <w:spacing w:before="0" w:after="283"/>
              <w:jc w:val="right"/>
              <w:rPr/>
            </w:pPr>
            <w:r>
              <w:rPr/>
              <w:t>—</w:t>
            </w:r>
          </w:p>
        </w:tc>
        <w:tc>
          <w:tcPr>
            <w:tcW w:w="300" w:type="dxa"/>
            <w:tcBorders/>
            <w:shd w:fill="auto" w:val="clear"/>
            <w:vAlign w:val="center"/>
          </w:tcPr>
          <w:p>
            <w:pPr>
              <w:pStyle w:val="TableContents"/>
              <w:spacing w:before="0" w:after="283"/>
              <w:rPr>
                <w:sz w:val="4"/>
                <w:szCs w:val="4"/>
              </w:rPr>
            </w:pPr>
            <w:r>
              <w:rPr>
                <w:sz w:val="4"/>
                <w:szCs w:val="4"/>
              </w:rPr>
            </w:r>
          </w:p>
        </w:tc>
        <w:tc>
          <w:tcPr>
            <w:tcW w:w="77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63,445</w:t>
            </w:r>
          </w:p>
        </w:tc>
        <w:tc>
          <w:tcPr>
            <w:tcW w:w="300" w:type="dxa"/>
            <w:tcBorders/>
            <w:shd w:fill="auto" w:val="cle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7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4,331,478</w:t>
            </w:r>
          </w:p>
        </w:tc>
      </w:tr>
    </w:tbl>
    <w:tbl>
      <w:tblPr>
        <w:tblW w:w="5425" w:type="dxa"/>
        <w:jc w:val="left"/>
        <w:tblInd w:w="0" w:type="dxa"/>
        <w:tblCellMar>
          <w:top w:w="0" w:type="dxa"/>
          <w:left w:w="0" w:type="dxa"/>
          <w:bottom w:w="0" w:type="dxa"/>
          <w:right w:w="0" w:type="dxa"/>
        </w:tblCellMar>
      </w:tblPr>
      <w:tblGrid>
        <w:gridCol w:w="245"/>
        <w:gridCol w:w="5180"/>
      </w:tblGrid>
      <w:tr>
        <w:trPr/>
        <w:tc>
          <w:tcPr>
            <w:tcW w:w="245"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 </w:t>
            </w:r>
          </w:p>
        </w:tc>
        <w:tc>
          <w:tcPr>
            <w:tcW w:w="5180" w:type="dxa"/>
            <w:tcBorders/>
            <w:shd w:fill="auto" w:val="clear"/>
            <w:vAlign w:val="center"/>
          </w:tcPr>
          <w:p>
            <w:pPr>
              <w:pStyle w:val="TableContents"/>
              <w:spacing w:before="0" w:after="283"/>
              <w:jc w:val="left"/>
              <w:rPr>
                <w:rFonts w:ascii="Arial" w:hAnsi="Arial"/>
                <w:sz w:val="15"/>
              </w:rPr>
            </w:pPr>
            <w:r>
              <w:rPr>
                <w:rFonts w:ascii="Arial" w:hAnsi="Arial"/>
                <w:sz w:val="15"/>
              </w:rPr>
              <w:t>Amounts reflect the market value of the stock on the day the stock vested.</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70</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b/>
          <w:color w:val="1A2343"/>
          <w:sz w:val="26"/>
        </w:rPr>
      </w:pPr>
      <w:r>
        <w:rPr>
          <w:rFonts w:ascii="Arial" w:hAnsi="Arial"/>
          <w:b/>
          <w:color w:val="1A2343"/>
          <w:sz w:val="26"/>
        </w:rPr>
        <w:t>2022 Nonqualified Deferred Compensation</w:t>
      </w:r>
    </w:p>
    <w:p>
      <w:pPr>
        <w:pStyle w:val="TextBody"/>
        <w:jc w:val="left"/>
        <w:rPr>
          <w:rFonts w:ascii="Arial" w:hAnsi="Arial"/>
          <w:sz w:val="20"/>
        </w:rPr>
      </w:pPr>
      <w:r>
        <w:rPr>
          <w:rFonts w:ascii="Arial" w:hAnsi="Arial"/>
          <w:sz w:val="20"/>
        </w:rPr>
        <w:t>The following table sets forth certain information regarding non-tax qualified compensation deferred during the year ended December 31, 2022. All of the information below relates to notional stock units that we granted to certain of our named executive officers pursuant to employment agreements we had entered into with them. Pursuant to these employment agreements, we agreed to grant notional stock units with a specified value to certain of our named executive officers each year, which are subject to vesting based on continued employment for the following year. Once vested, these notional stock units represent a contingent right to receive the value of one share of our common stock. Under the terms of the deferred compensation agreements, each participant is also entitled to dividend equivalent rights, to be paid in cash on a current basis, equal to the amount per share of any cash dividend we declare, multiplied by the total number of notional units held by such participant as of the record date for such dividend. Vested notional stock units are settled in cash no later than 30 days following the earliest of (i) the executive’s death, (ii) the date of the executive’s separation from service with us and (iii) the effective date of a change in control.</w:t>
      </w:r>
    </w:p>
    <w:p>
      <w:pPr>
        <w:pStyle w:val="TextBody"/>
        <w:jc w:val="left"/>
        <w:rPr>
          <w:rFonts w:ascii="Arial" w:hAnsi="Arial"/>
          <w:sz w:val="20"/>
        </w:rPr>
      </w:pPr>
      <w:r>
        <w:rPr>
          <w:rFonts w:ascii="Arial" w:hAnsi="Arial"/>
          <w:sz w:val="20"/>
        </w:rPr>
        <w:t>Under the employment agreements with our Named Executive Officers that were in effect during 2022, we have eliminated nonqualified deferred compensation.</w:t>
      </w:r>
    </w:p>
    <w:tbl>
      <w:tblPr>
        <w:tblW w:w="8305" w:type="dxa"/>
        <w:jc w:val="left"/>
        <w:tblInd w:w="0" w:type="dxa"/>
        <w:tblCellMar>
          <w:top w:w="0" w:type="dxa"/>
          <w:left w:w="0" w:type="dxa"/>
          <w:bottom w:w="40" w:type="dxa"/>
          <w:right w:w="0" w:type="dxa"/>
        </w:tblCellMar>
      </w:tblPr>
      <w:tblGrid>
        <w:gridCol w:w="1925"/>
        <w:gridCol w:w="300"/>
        <w:gridCol w:w="935"/>
        <w:gridCol w:w="300"/>
        <w:gridCol w:w="935"/>
        <w:gridCol w:w="300"/>
        <w:gridCol w:w="125"/>
        <w:gridCol w:w="995"/>
        <w:gridCol w:w="300"/>
        <w:gridCol w:w="133"/>
        <w:gridCol w:w="757"/>
        <w:gridCol w:w="300"/>
        <w:gridCol w:w="125"/>
        <w:gridCol w:w="875"/>
      </w:tblGrid>
      <w:tr>
        <w:trPr/>
        <w:tc>
          <w:tcPr>
            <w:tcW w:w="1925"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Executive</w:t>
            </w:r>
          </w:p>
        </w:tc>
        <w:tc>
          <w:tcPr>
            <w:tcW w:w="300" w:type="dxa"/>
            <w:tcBorders/>
            <w:shd w:fill="auto" w:val="clear"/>
            <w:tcMar>
              <w:bottom w:w="0" w:type="dxa"/>
            </w:tcMar>
            <w:vAlign w:val="center"/>
          </w:tcPr>
          <w:p>
            <w:pPr>
              <w:pStyle w:val="TableContents"/>
              <w:spacing w:before="0" w:after="283"/>
              <w:jc w:val="left"/>
              <w:rPr/>
            </w:pPr>
            <w:r>
              <w:rPr/>
              <w:t>     </w:t>
            </w:r>
          </w:p>
        </w:tc>
        <w:tc>
          <w:tcPr>
            <w:tcW w:w="935"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Executive</w:t>
              <w:br/>
              <w:t>Contributions</w:t>
              <w:br/>
              <w:t>in Last FY</w:t>
              <w:br/>
              <w:t>($)</w:t>
            </w:r>
          </w:p>
        </w:tc>
        <w:tc>
          <w:tcPr>
            <w:tcW w:w="300" w:type="dxa"/>
            <w:tcBorders/>
            <w:shd w:fill="auto" w:val="clear"/>
            <w:tcMar>
              <w:bottom w:w="0" w:type="dxa"/>
            </w:tcMar>
            <w:vAlign w:val="center"/>
          </w:tcPr>
          <w:p>
            <w:pPr>
              <w:pStyle w:val="TableContents"/>
              <w:spacing w:before="0" w:after="283"/>
              <w:jc w:val="right"/>
              <w:rPr/>
            </w:pPr>
            <w:r>
              <w:rPr/>
              <w:t>     </w:t>
            </w:r>
          </w:p>
        </w:tc>
        <w:tc>
          <w:tcPr>
            <w:tcW w:w="935"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Registrant</w:t>
              <w:br/>
              <w:t>Contributions</w:t>
              <w:br/>
              <w:t>in Last FY</w:t>
              <w:br/>
              <w:t>($)</w:t>
            </w:r>
          </w:p>
        </w:tc>
        <w:tc>
          <w:tcPr>
            <w:tcW w:w="300" w:type="dxa"/>
            <w:tcBorders/>
            <w:shd w:fill="auto" w:val="clear"/>
            <w:tcMar>
              <w:bottom w:w="0" w:type="dxa"/>
            </w:tcMar>
            <w:vAlign w:val="center"/>
          </w:tcPr>
          <w:p>
            <w:pPr>
              <w:pStyle w:val="TableContents"/>
              <w:spacing w:before="0" w:after="283"/>
              <w:jc w:val="right"/>
              <w:rPr/>
            </w:pPr>
            <w:r>
              <w:rPr/>
              <w:t>     </w:t>
            </w:r>
          </w:p>
        </w:tc>
        <w:tc>
          <w:tcPr>
            <w:tcW w:w="1120"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Aggregate</w:t>
              <w:br/>
              <w:t>Earnings</w:t>
              <w:br/>
              <w:t>in Last FY</w:t>
              <w:br/>
              <w:t>($)</w:t>
            </w:r>
            <w:r>
              <w:rPr>
                <w:rFonts w:ascii="Arial" w:hAnsi="Arial"/>
                <w:color w:val="1A2343"/>
                <w:position w:val="5"/>
                <w:sz w:val="12"/>
                <w:sz w:val="15"/>
              </w:rPr>
              <w:t>(1)(2)</w:t>
            </w:r>
          </w:p>
        </w:tc>
        <w:tc>
          <w:tcPr>
            <w:tcW w:w="300" w:type="dxa"/>
            <w:tcBorders/>
            <w:shd w:fill="auto" w:val="clear"/>
            <w:tcMar>
              <w:bottom w:w="0" w:type="dxa"/>
            </w:tcMar>
            <w:vAlign w:val="center"/>
          </w:tcPr>
          <w:p>
            <w:pPr>
              <w:pStyle w:val="TableContents"/>
              <w:spacing w:before="0" w:after="283"/>
              <w:jc w:val="left"/>
              <w:rPr/>
            </w:pPr>
            <w:r>
              <w:rPr/>
              <w:t>     </w:t>
            </w:r>
          </w:p>
        </w:tc>
        <w:tc>
          <w:tcPr>
            <w:tcW w:w="890"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Aggregate</w:t>
              <w:br/>
              <w:t>Withdrawals/</w:t>
              <w:br/>
              <w:t>Distributions</w:t>
              <w:br/>
              <w:t>($)</w:t>
            </w:r>
            <w:r>
              <w:rPr>
                <w:rFonts w:ascii="Arial" w:hAnsi="Arial"/>
                <w:color w:val="1A2343"/>
                <w:position w:val="5"/>
                <w:sz w:val="12"/>
                <w:sz w:val="15"/>
              </w:rPr>
              <w:t>(3)</w:t>
            </w:r>
          </w:p>
        </w:tc>
        <w:tc>
          <w:tcPr>
            <w:tcW w:w="300" w:type="dxa"/>
            <w:tcBorders/>
            <w:shd w:fill="auto" w:val="clear"/>
            <w:tcMar>
              <w:bottom w:w="0" w:type="dxa"/>
            </w:tcMar>
            <w:vAlign w:val="center"/>
          </w:tcPr>
          <w:p>
            <w:pPr>
              <w:pStyle w:val="TableContents"/>
              <w:spacing w:before="0" w:after="283"/>
              <w:jc w:val="left"/>
              <w:rPr/>
            </w:pPr>
            <w:r>
              <w:rPr/>
              <w:t>     </w:t>
            </w:r>
          </w:p>
        </w:tc>
        <w:tc>
          <w:tcPr>
            <w:tcW w:w="1000"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Aggregate</w:t>
              <w:br/>
              <w:t>Balance</w:t>
              <w:br/>
              <w:t>at Last FYE</w:t>
              <w:br/>
              <w:t>($)</w:t>
            </w:r>
            <w:r>
              <w:rPr>
                <w:rFonts w:ascii="Arial" w:hAnsi="Arial"/>
                <w:color w:val="1A2343"/>
                <w:position w:val="5"/>
                <w:sz w:val="12"/>
                <w:sz w:val="15"/>
              </w:rPr>
              <w:t>(1)(4)</w:t>
            </w:r>
          </w:p>
        </w:tc>
      </w:tr>
      <w:tr>
        <w:trPr/>
        <w:tc>
          <w:tcPr>
            <w:tcW w:w="192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Marc Holliday</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35"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35"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9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(2,237,951)</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33"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757"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229,050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2,070,880</w:t>
            </w:r>
          </w:p>
        </w:tc>
      </w:tr>
      <w:tr>
        <w:trPr/>
        <w:tc>
          <w:tcPr>
            <w:tcW w:w="192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Andrew Mathias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35"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35"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9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(1,394,683)</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33"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757"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142,743</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1,290,566</w:t>
            </w:r>
          </w:p>
        </w:tc>
      </w:tr>
      <w:tr>
        <w:trPr/>
        <w:tc>
          <w:tcPr>
            <w:tcW w:w="1925" w:type="dxa"/>
            <w:tcBorders>
              <w:bottom w:val="single" w:sz="8" w:space="0" w:color="5B5975"/>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Matthew J. DiLiberto</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35"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35"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95"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33"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757"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28" w:type="dxa"/>
            </w:tcMar>
            <w:vAlign w:val="center"/>
          </w:tcPr>
          <w:p>
            <w:pPr>
              <w:pStyle w:val="TableContents"/>
              <w:spacing w:before="0" w:after="283"/>
              <w:jc w:val="right"/>
              <w:rPr/>
            </w:pPr>
            <w:r>
              <w:rPr/>
              <w:t>—</w:t>
            </w:r>
          </w:p>
        </w:tc>
      </w:tr>
      <w:tr>
        <w:trPr/>
        <w:tc>
          <w:tcPr>
            <w:tcW w:w="1925" w:type="dxa"/>
            <w:tcBorders>
              <w:bottom w:val="single" w:sz="12" w:space="0" w:color="1A2343"/>
            </w:tcBorders>
            <w:shd w:fill="auto" w:val="clear"/>
            <w:tcMar>
              <w:bottom w:w="28" w:type="dxa"/>
            </w:tcMar>
            <w:vAlign w:val="center"/>
          </w:tcPr>
          <w:p>
            <w:pPr>
              <w:pStyle w:val="TableContents"/>
              <w:spacing w:before="0" w:after="283"/>
              <w:jc w:val="left"/>
              <w:rPr>
                <w:rFonts w:ascii="Arial" w:hAnsi="Arial"/>
                <w:b/>
                <w:color w:val="1A2343"/>
                <w:sz w:val="20"/>
              </w:rPr>
            </w:pPr>
            <w:r>
              <w:rPr>
                <w:rFonts w:ascii="Arial" w:hAnsi="Arial"/>
                <w:b/>
                <w:color w:val="1A2343"/>
                <w:sz w:val="20"/>
              </w:rPr>
              <w:t>Andrew S. Levine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35" w:type="dxa"/>
            <w:tcBorders>
              <w:bottom w:val="single" w:sz="12" w:space="0" w:color="1A2343"/>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35" w:type="dxa"/>
            <w:tcBorders>
              <w:bottom w:val="single" w:sz="12" w:space="0" w:color="1A2343"/>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c>
          <w:tcPr>
            <w:tcW w:w="995" w:type="dxa"/>
            <w:tcBorders>
              <w:bottom w:val="single" w:sz="12" w:space="0" w:color="1A2343"/>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33"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c>
          <w:tcPr>
            <w:tcW w:w="757" w:type="dxa"/>
            <w:tcBorders>
              <w:bottom w:val="single" w:sz="12" w:space="0" w:color="1A2343"/>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c>
          <w:tcPr>
            <w:tcW w:w="875" w:type="dxa"/>
            <w:tcBorders>
              <w:bottom w:val="single" w:sz="12" w:space="0" w:color="1A2343"/>
            </w:tcBorders>
            <w:shd w:fill="auto" w:val="clear"/>
            <w:tcMar>
              <w:bottom w:w="28" w:type="dxa"/>
            </w:tcMar>
            <w:vAlign w:val="center"/>
          </w:tcPr>
          <w:p>
            <w:pPr>
              <w:pStyle w:val="TableContents"/>
              <w:spacing w:before="0" w:after="283"/>
              <w:jc w:val="right"/>
              <w:rPr/>
            </w:pPr>
            <w:r>
              <w:rPr/>
              <w:t>—</w:t>
            </w:r>
          </w:p>
        </w:tc>
      </w:tr>
    </w:tbl>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 </w:t>
            </w:r>
          </w:p>
        </w:tc>
        <w:tc>
          <w:tcPr>
            <w:tcW w:w="10032" w:type="dxa"/>
            <w:tcBorders/>
            <w:shd w:fill="auto" w:val="clear"/>
            <w:vAlign w:val="center"/>
          </w:tcPr>
          <w:p>
            <w:pPr>
              <w:pStyle w:val="TableContents"/>
              <w:spacing w:before="0" w:after="283"/>
              <w:jc w:val="left"/>
              <w:rPr>
                <w:rFonts w:ascii="Arial" w:hAnsi="Arial"/>
                <w:sz w:val="15"/>
              </w:rPr>
            </w:pPr>
            <w:r>
              <w:rPr>
                <w:rFonts w:ascii="Arial" w:hAnsi="Arial"/>
                <w:sz w:val="15"/>
              </w:rPr>
              <w:t>Awards of notional units constitute “Stock Awards” for purposes of the Summary Compensation Table, and, as a result, the full grant date fair value of these awards computed in accordance with ASC 718, as of the grant date of such awards, are included in the “Stock Awards” column of the Summary Compensation Table for the year in which they were granted. The right to receive dividend equivalents was factored into the determination of the grant date fair value, which means that the value of the dividend equivalents included in “Aggregate Earnings in Last FY” was effectively already included in the Summary Compensation Table.</w:t>
            </w:r>
          </w:p>
        </w:tc>
      </w:tr>
      <w:tr>
        <w:trPr/>
        <w:tc>
          <w:tcPr>
            <w:tcW w:w="173" w:type="dxa"/>
            <w:tcBorders/>
            <w:shd w:fill="auto" w:val="clear"/>
            <w:vAlign w:val="center"/>
          </w:tcPr>
          <w:p>
            <w:pPr>
              <w:pStyle w:val="TableContents"/>
              <w:spacing w:before="0" w:after="283"/>
              <w:jc w:val="left"/>
              <w:rPr>
                <w:rFonts w:ascii="Arial" w:hAnsi="Arial"/>
                <w:sz w:val="15"/>
              </w:rPr>
            </w:pPr>
            <w:r>
              <w:rPr>
                <w:rFonts w:ascii="Arial" w:hAnsi="Arial"/>
                <w:sz w:val="15"/>
              </w:rPr>
              <w:t xml:space="preserve">(2) </w:t>
            </w:r>
          </w:p>
        </w:tc>
        <w:tc>
          <w:tcPr>
            <w:tcW w:w="10032" w:type="dxa"/>
            <w:tcBorders/>
            <w:shd w:fill="auto" w:val="clear"/>
            <w:vAlign w:val="center"/>
          </w:tcPr>
          <w:p>
            <w:pPr>
              <w:pStyle w:val="TableContents"/>
              <w:spacing w:before="0" w:after="283"/>
              <w:jc w:val="left"/>
              <w:rPr>
                <w:rFonts w:ascii="Arial" w:hAnsi="Arial"/>
                <w:sz w:val="15"/>
              </w:rPr>
            </w:pPr>
            <w:r>
              <w:rPr>
                <w:rFonts w:ascii="Arial" w:hAnsi="Arial"/>
                <w:sz w:val="15"/>
              </w:rPr>
              <w:t>The amounts in this column represent the increase or decrease in value of vested notional units from December 31, 2021 through December 31, 2022, as calculated based on the closing stock price on the NYSE of one share of our common stock on December 31, 2021 compared to the closing stock price on the NYSE of one share of our common stock on December 30, 2022, plus the aggregate value of dividend equivalent rights paid with respect to all vested and unvested notional units held by each executive during 2022.</w:t>
            </w:r>
          </w:p>
        </w:tc>
      </w:tr>
      <w:tr>
        <w:trPr/>
        <w:tc>
          <w:tcPr>
            <w:tcW w:w="173" w:type="dxa"/>
            <w:tcBorders/>
            <w:shd w:fill="auto" w:val="clear"/>
            <w:vAlign w:val="center"/>
          </w:tcPr>
          <w:p>
            <w:pPr>
              <w:pStyle w:val="TableContents"/>
              <w:spacing w:before="0" w:after="283"/>
              <w:jc w:val="left"/>
              <w:rPr>
                <w:rFonts w:ascii="Arial" w:hAnsi="Arial"/>
                <w:sz w:val="15"/>
              </w:rPr>
            </w:pPr>
            <w:r>
              <w:rPr>
                <w:rFonts w:ascii="Arial" w:hAnsi="Arial"/>
                <w:sz w:val="15"/>
              </w:rPr>
              <w:t xml:space="preserve">(3) </w:t>
            </w:r>
          </w:p>
        </w:tc>
        <w:tc>
          <w:tcPr>
            <w:tcW w:w="10032" w:type="dxa"/>
            <w:tcBorders/>
            <w:shd w:fill="auto" w:val="clear"/>
            <w:vAlign w:val="center"/>
          </w:tcPr>
          <w:p>
            <w:pPr>
              <w:pStyle w:val="TableContents"/>
              <w:spacing w:before="0" w:after="283"/>
              <w:jc w:val="left"/>
              <w:rPr>
                <w:rFonts w:ascii="Arial" w:hAnsi="Arial"/>
                <w:sz w:val="15"/>
              </w:rPr>
            </w:pPr>
            <w:r>
              <w:rPr>
                <w:rFonts w:ascii="Arial" w:hAnsi="Arial"/>
                <w:sz w:val="15"/>
              </w:rPr>
              <w:t>Represents the aggregate value of dividend equivalent rights paid with respect to all vested and unvested notional units held by each executive during 2022.</w:t>
            </w:r>
          </w:p>
        </w:tc>
      </w:tr>
      <w:tr>
        <w:trPr/>
        <w:tc>
          <w:tcPr>
            <w:tcW w:w="173" w:type="dxa"/>
            <w:tcBorders/>
            <w:shd w:fill="auto" w:val="clear"/>
            <w:vAlign w:val="center"/>
          </w:tcPr>
          <w:p>
            <w:pPr>
              <w:pStyle w:val="TableContents"/>
              <w:spacing w:before="0" w:after="283"/>
              <w:jc w:val="left"/>
              <w:rPr>
                <w:rFonts w:ascii="Arial" w:hAnsi="Arial"/>
                <w:sz w:val="15"/>
              </w:rPr>
            </w:pPr>
            <w:r>
              <w:rPr>
                <w:rFonts w:ascii="Arial" w:hAnsi="Arial"/>
                <w:sz w:val="15"/>
              </w:rPr>
              <w:t xml:space="preserve">(4) </w:t>
            </w:r>
          </w:p>
        </w:tc>
        <w:tc>
          <w:tcPr>
            <w:tcW w:w="10032" w:type="dxa"/>
            <w:tcBorders/>
            <w:shd w:fill="auto" w:val="clear"/>
            <w:vAlign w:val="center"/>
          </w:tcPr>
          <w:p>
            <w:pPr>
              <w:pStyle w:val="TableContents"/>
              <w:spacing w:before="0" w:after="283"/>
              <w:jc w:val="left"/>
              <w:rPr>
                <w:rFonts w:ascii="Arial" w:hAnsi="Arial"/>
                <w:sz w:val="15"/>
              </w:rPr>
            </w:pPr>
            <w:r>
              <w:rPr>
                <w:rFonts w:ascii="Arial" w:hAnsi="Arial"/>
                <w:sz w:val="15"/>
              </w:rPr>
              <w:t>Based on a per share price of $33.72, which was the closing stock price on the NYSE of one share of our common stock on December 30, 2022.</w:t>
            </w:r>
          </w:p>
        </w:tc>
      </w:tr>
    </w:tbl>
    <w:p>
      <w:pPr>
        <w:pStyle w:val="TextBody"/>
        <w:spacing w:before="240" w:after="283"/>
        <w:jc w:val="left"/>
        <w:rPr>
          <w:rFonts w:ascii="Arial" w:hAnsi="Arial"/>
          <w:b/>
          <w:color w:val="1A2343"/>
          <w:sz w:val="26"/>
        </w:rPr>
      </w:pPr>
      <w:r>
        <w:rPr>
          <w:rFonts w:ascii="Arial" w:hAnsi="Arial"/>
          <w:b/>
          <w:color w:val="1A2343"/>
          <w:sz w:val="26"/>
        </w:rPr>
        <w:t>Potential Payments Upon Termination or Change in Control</w:t>
      </w:r>
    </w:p>
    <w:p>
      <w:pPr>
        <w:pStyle w:val="TextBody"/>
        <w:jc w:val="left"/>
        <w:rPr>
          <w:rFonts w:ascii="Arial" w:hAnsi="Arial"/>
          <w:sz w:val="20"/>
        </w:rPr>
      </w:pPr>
      <w:r>
        <w:rPr>
          <w:rFonts w:ascii="Arial" w:hAnsi="Arial"/>
          <w:sz w:val="20"/>
        </w:rPr>
        <w:t>We have contractual arrangements with our named executive officers that provide for payments, acceleration of vesting or other benefits to our named executive officers upon a termination of employment in certain circumstances or upon a change in control. These include our employment agreements with our named executive officers, our performance-based equity awards and our stock options and Class O LTIP Units. The discussion below describes these contractual arrangements in greater detail.</w:t>
      </w:r>
    </w:p>
    <w:p>
      <w:pPr>
        <w:pStyle w:val="TextBody"/>
        <w:jc w:val="left"/>
        <w:rPr>
          <w:rFonts w:ascii="Arial" w:hAnsi="Arial"/>
          <w:b/>
          <w:color w:val="8EAD3C"/>
          <w:sz w:val="22"/>
        </w:rPr>
      </w:pPr>
      <w:r>
        <w:rPr>
          <w:rFonts w:ascii="Arial" w:hAnsi="Arial"/>
          <w:b/>
          <w:color w:val="8EAD3C"/>
          <w:sz w:val="22"/>
        </w:rPr>
        <w:t>Employment Agreements</w:t>
      </w:r>
    </w:p>
    <w:p>
      <w:pPr>
        <w:pStyle w:val="TextBody"/>
        <w:jc w:val="left"/>
        <w:rPr>
          <w:rFonts w:ascii="Arial" w:hAnsi="Arial"/>
          <w:sz w:val="20"/>
        </w:rPr>
      </w:pPr>
      <w:r>
        <w:rPr>
          <w:rFonts w:ascii="Arial" w:hAnsi="Arial"/>
          <w:sz w:val="20"/>
        </w:rPr>
        <w:t>During 2022, we had employment agreements with all of our named executive officers. All of the employment agreements with our named executive officers provided for, among other things, severance payments and benefits and acceleration of equity awards in connection with the termination of employment in certain circumstances. In return, each of our named executive officers agreed to non-compete, non-solicitation, non-interference and confidentiality provisions. The table below summarizes the material terms of our current employment agreements with each our named executive officers that, in the case of Messrs. Holliday, Mathias and Levine, were in effect during 2022. As relevant, the below also summarizes the terms of Mr. DiLiberto’s prior employment agreement that was in effect during 2022.</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455" w:type="dxa"/>
        <w:jc w:val="left"/>
        <w:tblInd w:w="0" w:type="dxa"/>
        <w:tblCellMar>
          <w:top w:w="0" w:type="dxa"/>
          <w:left w:w="0" w:type="dxa"/>
          <w:bottom w:w="0" w:type="dxa"/>
          <w:right w:w="0" w:type="dxa"/>
        </w:tblCellMar>
      </w:tblPr>
      <w:tblGrid>
        <w:gridCol w:w="2165"/>
        <w:gridCol w:w="290"/>
      </w:tblGrid>
      <w:tr>
        <w:trPr/>
        <w:tc>
          <w:tcPr>
            <w:tcW w:w="2165" w:type="dxa"/>
            <w:tcBorders/>
            <w:shd w:fill="auto" w:val="clear"/>
            <w:vAlign w:val="center"/>
          </w:tcPr>
          <w:p>
            <w:pPr>
              <w:pStyle w:val="TableContents"/>
              <w:spacing w:before="0" w:after="283"/>
              <w:jc w:val="left"/>
              <w:rPr>
                <w:rFonts w:ascii="Arial" w:hAnsi="Arial"/>
                <w:b/>
                <w:sz w:val="15"/>
              </w:rPr>
            </w:pPr>
            <w:r>
              <w:rPr>
                <w:rFonts w:ascii="Arial" w:hAnsi="Arial"/>
                <w:b/>
                <w:sz w:val="15"/>
              </w:rPr>
              <w:t>EXECUTIVE COMPENSATION</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71</w:t>
            </w:r>
          </w:p>
        </w:tc>
      </w:tr>
    </w:tbl>
    <w:p>
      <w:pPr>
        <w:pStyle w:val="TextBody"/>
        <w:spacing w:before="0" w:after="0"/>
        <w:rPr/>
      </w:pPr>
      <w:r>
        <w:rPr/>
      </w:r>
    </w:p>
    <w:tbl>
      <w:tblPr>
        <w:tblW w:w="10205" w:type="dxa"/>
        <w:jc w:val="left"/>
        <w:tblInd w:w="0" w:type="dxa"/>
        <w:tblCellMar>
          <w:top w:w="0" w:type="dxa"/>
          <w:left w:w="0" w:type="dxa"/>
          <w:bottom w:w="40" w:type="dxa"/>
          <w:right w:w="0" w:type="dxa"/>
        </w:tblCellMar>
      </w:tblPr>
      <w:tblGrid>
        <w:gridCol w:w="1636"/>
        <w:gridCol w:w="300"/>
        <w:gridCol w:w="2012"/>
        <w:gridCol w:w="525"/>
        <w:gridCol w:w="1845"/>
        <w:gridCol w:w="463"/>
        <w:gridCol w:w="1596"/>
        <w:gridCol w:w="463"/>
        <w:gridCol w:w="1365"/>
      </w:tblGrid>
      <w:tr>
        <w:trPr/>
        <w:tc>
          <w:tcPr>
            <w:tcW w:w="1636"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jc w:val="right"/>
              <w:rPr/>
            </w:pPr>
            <w:r>
              <w:rPr/>
              <w:t>     </w:t>
            </w:r>
          </w:p>
        </w:tc>
        <w:tc>
          <w:tcPr>
            <w:tcW w:w="2012"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Marc Holliday</w:t>
            </w:r>
          </w:p>
        </w:tc>
        <w:tc>
          <w:tcPr>
            <w:tcW w:w="525" w:type="dxa"/>
            <w:tcBorders/>
            <w:shd w:fill="auto" w:val="clear"/>
            <w:tcMar>
              <w:bottom w:w="0" w:type="dxa"/>
            </w:tcMar>
            <w:vAlign w:val="center"/>
          </w:tcPr>
          <w:p>
            <w:pPr>
              <w:pStyle w:val="TableContents"/>
              <w:spacing w:before="0" w:after="283"/>
              <w:jc w:val="left"/>
              <w:rPr/>
            </w:pPr>
            <w:r>
              <w:rPr/>
              <w:t>     </w:t>
            </w:r>
          </w:p>
        </w:tc>
        <w:tc>
          <w:tcPr>
            <w:tcW w:w="1845"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Andrew Mathias</w:t>
            </w:r>
          </w:p>
        </w:tc>
        <w:tc>
          <w:tcPr>
            <w:tcW w:w="463" w:type="dxa"/>
            <w:tcBorders/>
            <w:shd w:fill="auto" w:val="clear"/>
            <w:tcMar>
              <w:bottom w:w="0" w:type="dxa"/>
            </w:tcMar>
            <w:vAlign w:val="center"/>
          </w:tcPr>
          <w:p>
            <w:pPr>
              <w:pStyle w:val="TableContents"/>
              <w:spacing w:before="0" w:after="283"/>
              <w:jc w:val="left"/>
              <w:rPr/>
            </w:pPr>
            <w:r>
              <w:rPr/>
              <w:t>     </w:t>
            </w:r>
          </w:p>
        </w:tc>
        <w:tc>
          <w:tcPr>
            <w:tcW w:w="1596"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Matthew J. DiLiberto</w:t>
            </w:r>
          </w:p>
        </w:tc>
        <w:tc>
          <w:tcPr>
            <w:tcW w:w="463" w:type="dxa"/>
            <w:tcBorders/>
            <w:shd w:fill="auto" w:val="clear"/>
            <w:tcMar>
              <w:bottom w:w="0" w:type="dxa"/>
            </w:tcMar>
            <w:vAlign w:val="center"/>
          </w:tcPr>
          <w:p>
            <w:pPr>
              <w:pStyle w:val="TableContents"/>
              <w:spacing w:before="0" w:after="283"/>
              <w:jc w:val="left"/>
              <w:rPr/>
            </w:pPr>
            <w:r>
              <w:rPr/>
              <w:t>     </w:t>
            </w:r>
          </w:p>
        </w:tc>
        <w:tc>
          <w:tcPr>
            <w:tcW w:w="1365"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Andrew S. Levine</w:t>
            </w:r>
          </w:p>
        </w:tc>
      </w:tr>
      <w:tr>
        <w:trPr/>
        <w:tc>
          <w:tcPr>
            <w:tcW w:w="1636" w:type="dxa"/>
            <w:tcBorders>
              <w:bottom w:val="single" w:sz="8" w:space="0" w:color="5B5975"/>
            </w:tcBorders>
            <w:shd w:fill="auto" w:val="clear"/>
            <w:vAlign w:val="center"/>
          </w:tcPr>
          <w:p>
            <w:pPr>
              <w:pStyle w:val="TableContents"/>
              <w:spacing w:before="0" w:after="283"/>
              <w:jc w:val="left"/>
              <w:rPr>
                <w:rFonts w:ascii="Arial" w:hAnsi="Arial"/>
                <w:b/>
                <w:color w:val="1A2343"/>
                <w:sz w:val="15"/>
              </w:rPr>
            </w:pPr>
            <w:r>
              <w:rPr>
                <w:rFonts w:ascii="Arial" w:hAnsi="Arial"/>
                <w:b/>
                <w:color w:val="1A2343"/>
                <w:sz w:val="15"/>
              </w:rPr>
              <w:t>Term</w:t>
            </w:r>
            <w:r>
              <w:rPr>
                <w:rFonts w:ascii="Arial" w:hAnsi="Arial"/>
                <w:b/>
                <w:color w:val="1A2343"/>
                <w:position w:val="5"/>
                <w:sz w:val="12"/>
                <w:sz w:val="15"/>
              </w:rPr>
              <w:t>(1)</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012"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1/18/22 – 1/17/25</w:t>
            </w:r>
          </w:p>
        </w:tc>
        <w:tc>
          <w:tcPr>
            <w:tcW w:w="525" w:type="dxa"/>
            <w:tcBorders/>
            <w:shd w:fill="auto" w:val="clear"/>
            <w:tcMar>
              <w:bottom w:w="0" w:type="dxa"/>
            </w:tcMar>
            <w:vAlign w:val="center"/>
          </w:tcPr>
          <w:p>
            <w:pPr>
              <w:pStyle w:val="TableContents"/>
              <w:spacing w:before="0" w:after="283"/>
              <w:rPr>
                <w:sz w:val="4"/>
                <w:szCs w:val="4"/>
              </w:rPr>
            </w:pPr>
            <w:r>
              <w:rPr>
                <w:sz w:val="4"/>
                <w:szCs w:val="4"/>
              </w:rPr>
            </w:r>
          </w:p>
        </w:tc>
        <w:tc>
          <w:tcPr>
            <w:tcW w:w="184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1/1/22 – 12/31/23</w:t>
            </w:r>
          </w:p>
        </w:tc>
        <w:tc>
          <w:tcPr>
            <w:tcW w:w="463" w:type="dxa"/>
            <w:tcBorders/>
            <w:shd w:fill="auto" w:val="clear"/>
            <w:tcMar>
              <w:bottom w:w="0" w:type="dxa"/>
            </w:tcMar>
            <w:vAlign w:val="center"/>
          </w:tcPr>
          <w:p>
            <w:pPr>
              <w:pStyle w:val="TableContents"/>
              <w:spacing w:before="0" w:after="283"/>
              <w:rPr>
                <w:sz w:val="4"/>
                <w:szCs w:val="4"/>
              </w:rPr>
            </w:pPr>
            <w:r>
              <w:rPr>
                <w:sz w:val="4"/>
                <w:szCs w:val="4"/>
              </w:rPr>
            </w:r>
          </w:p>
        </w:tc>
        <w:tc>
          <w:tcPr>
            <w:tcW w:w="1596"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1/1/23 – 1/1/26</w:t>
            </w:r>
          </w:p>
        </w:tc>
        <w:tc>
          <w:tcPr>
            <w:tcW w:w="463" w:type="dxa"/>
            <w:tcBorders/>
            <w:shd w:fill="auto" w:val="clear"/>
            <w:tcMar>
              <w:bottom w:w="0" w:type="dxa"/>
            </w:tcMar>
            <w:vAlign w:val="center"/>
          </w:tcPr>
          <w:p>
            <w:pPr>
              <w:pStyle w:val="TableContents"/>
              <w:spacing w:before="0" w:after="283"/>
              <w:rPr>
                <w:sz w:val="4"/>
                <w:szCs w:val="4"/>
              </w:rPr>
            </w:pPr>
            <w:r>
              <w:rPr>
                <w:sz w:val="4"/>
                <w:szCs w:val="4"/>
              </w:rPr>
            </w:r>
          </w:p>
        </w:tc>
        <w:tc>
          <w:tcPr>
            <w:tcW w:w="136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1/1/22 – 1/1/25</w:t>
            </w:r>
          </w:p>
        </w:tc>
      </w:tr>
      <w:tr>
        <w:trPr/>
        <w:tc>
          <w:tcPr>
            <w:tcW w:w="1636" w:type="dxa"/>
            <w:tcBorders>
              <w:bottom w:val="single" w:sz="8" w:space="0" w:color="5B5975"/>
            </w:tcBorders>
            <w:shd w:fill="auto" w:val="clear"/>
            <w:vAlign w:val="center"/>
          </w:tcPr>
          <w:p>
            <w:pPr>
              <w:pStyle w:val="TableContents"/>
              <w:spacing w:before="0" w:after="283"/>
              <w:jc w:val="left"/>
              <w:rPr>
                <w:rFonts w:ascii="Arial" w:hAnsi="Arial"/>
                <w:b/>
                <w:color w:val="1A2343"/>
                <w:sz w:val="15"/>
              </w:rPr>
            </w:pPr>
            <w:r>
              <w:rPr>
                <w:rFonts w:ascii="Arial" w:hAnsi="Arial"/>
                <w:b/>
                <w:color w:val="1A2343"/>
                <w:sz w:val="15"/>
              </w:rPr>
              <w:t>Annual Salary</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012"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$1.25M</w:t>
            </w:r>
          </w:p>
        </w:tc>
        <w:tc>
          <w:tcPr>
            <w:tcW w:w="525" w:type="dxa"/>
            <w:tcBorders/>
            <w:shd w:fill="auto" w:val="clear"/>
            <w:tcMar>
              <w:bottom w:w="0" w:type="dxa"/>
            </w:tcMar>
            <w:vAlign w:val="center"/>
          </w:tcPr>
          <w:p>
            <w:pPr>
              <w:pStyle w:val="TableContents"/>
              <w:spacing w:before="0" w:after="283"/>
              <w:rPr>
                <w:sz w:val="4"/>
                <w:szCs w:val="4"/>
              </w:rPr>
            </w:pPr>
            <w:r>
              <w:rPr>
                <w:sz w:val="4"/>
                <w:szCs w:val="4"/>
              </w:rPr>
            </w:r>
          </w:p>
        </w:tc>
        <w:tc>
          <w:tcPr>
            <w:tcW w:w="184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$950K</w:t>
            </w:r>
          </w:p>
        </w:tc>
        <w:tc>
          <w:tcPr>
            <w:tcW w:w="463" w:type="dxa"/>
            <w:tcBorders/>
            <w:shd w:fill="auto" w:val="clear"/>
            <w:tcMar>
              <w:bottom w:w="0" w:type="dxa"/>
            </w:tcMar>
            <w:vAlign w:val="center"/>
          </w:tcPr>
          <w:p>
            <w:pPr>
              <w:pStyle w:val="TableContents"/>
              <w:spacing w:before="0" w:after="283"/>
              <w:rPr>
                <w:sz w:val="4"/>
                <w:szCs w:val="4"/>
              </w:rPr>
            </w:pPr>
            <w:r>
              <w:rPr>
                <w:sz w:val="4"/>
                <w:szCs w:val="4"/>
              </w:rPr>
            </w:r>
          </w:p>
        </w:tc>
        <w:tc>
          <w:tcPr>
            <w:tcW w:w="1596"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$600K</w:t>
            </w:r>
          </w:p>
        </w:tc>
        <w:tc>
          <w:tcPr>
            <w:tcW w:w="463" w:type="dxa"/>
            <w:tcBorders/>
            <w:shd w:fill="auto" w:val="clear"/>
            <w:tcMar>
              <w:bottom w:w="0" w:type="dxa"/>
            </w:tcMar>
            <w:vAlign w:val="center"/>
          </w:tcPr>
          <w:p>
            <w:pPr>
              <w:pStyle w:val="TableContents"/>
              <w:spacing w:before="0" w:after="283"/>
              <w:rPr>
                <w:sz w:val="4"/>
                <w:szCs w:val="4"/>
              </w:rPr>
            </w:pPr>
            <w:r>
              <w:rPr>
                <w:sz w:val="4"/>
                <w:szCs w:val="4"/>
              </w:rPr>
            </w:r>
          </w:p>
        </w:tc>
        <w:tc>
          <w:tcPr>
            <w:tcW w:w="136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$580K</w:t>
            </w:r>
          </w:p>
        </w:tc>
      </w:tr>
      <w:tr>
        <w:trPr/>
        <w:tc>
          <w:tcPr>
            <w:tcW w:w="1636" w:type="dxa"/>
            <w:tcBorders>
              <w:bottom w:val="single" w:sz="8" w:space="0" w:color="5B5975"/>
            </w:tcBorders>
            <w:shd w:fill="auto" w:val="clear"/>
            <w:vAlign w:val="center"/>
          </w:tcPr>
          <w:p>
            <w:pPr>
              <w:pStyle w:val="TableContents"/>
              <w:spacing w:before="0" w:after="283"/>
              <w:jc w:val="left"/>
              <w:rPr>
                <w:rFonts w:ascii="Arial" w:hAnsi="Arial"/>
                <w:b/>
                <w:color w:val="1A2343"/>
                <w:sz w:val="15"/>
              </w:rPr>
            </w:pPr>
            <w:r>
              <w:rPr>
                <w:rFonts w:ascii="Arial" w:hAnsi="Arial"/>
                <w:b/>
                <w:color w:val="1A2343"/>
                <w:sz w:val="15"/>
              </w:rPr>
              <w:t>Formulaic Annual Cash Bonus</w:t>
            </w:r>
            <w:r>
              <w:rPr>
                <w:rFonts w:ascii="Arial" w:hAnsi="Arial"/>
                <w:b/>
                <w:color w:val="1A2343"/>
                <w:position w:val="5"/>
                <w:sz w:val="12"/>
                <w:sz w:val="15"/>
              </w:rPr>
              <w:t>(2)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012"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50-300% base salary</w:t>
            </w:r>
          </w:p>
        </w:tc>
        <w:tc>
          <w:tcPr>
            <w:tcW w:w="525" w:type="dxa"/>
            <w:tcBorders/>
            <w:shd w:fill="auto" w:val="clear"/>
            <w:tcMar>
              <w:bottom w:w="0" w:type="dxa"/>
            </w:tcMar>
            <w:vAlign w:val="center"/>
          </w:tcPr>
          <w:p>
            <w:pPr>
              <w:pStyle w:val="TableContents"/>
              <w:spacing w:before="0" w:after="283"/>
              <w:rPr>
                <w:sz w:val="4"/>
                <w:szCs w:val="4"/>
              </w:rPr>
            </w:pPr>
            <w:r>
              <w:rPr>
                <w:sz w:val="4"/>
                <w:szCs w:val="4"/>
              </w:rPr>
            </w:r>
          </w:p>
        </w:tc>
        <w:tc>
          <w:tcPr>
            <w:tcW w:w="184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50-250% base salary</w:t>
            </w:r>
          </w:p>
        </w:tc>
        <w:tc>
          <w:tcPr>
            <w:tcW w:w="463" w:type="dxa"/>
            <w:tcBorders/>
            <w:shd w:fill="auto" w:val="clear"/>
            <w:tcMar>
              <w:bottom w:w="0" w:type="dxa"/>
            </w:tcMar>
            <w:vAlign w:val="center"/>
          </w:tcPr>
          <w:p>
            <w:pPr>
              <w:pStyle w:val="TableContents"/>
              <w:spacing w:before="0" w:after="283"/>
              <w:rPr>
                <w:sz w:val="4"/>
                <w:szCs w:val="4"/>
              </w:rPr>
            </w:pPr>
            <w:r>
              <w:rPr>
                <w:sz w:val="4"/>
                <w:szCs w:val="4"/>
              </w:rPr>
            </w:r>
          </w:p>
        </w:tc>
        <w:tc>
          <w:tcPr>
            <w:tcW w:w="1596"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50-250% base salary</w:t>
            </w:r>
          </w:p>
        </w:tc>
        <w:tc>
          <w:tcPr>
            <w:tcW w:w="463" w:type="dxa"/>
            <w:tcBorders/>
            <w:shd w:fill="auto" w:val="clear"/>
            <w:tcMar>
              <w:bottom w:w="0" w:type="dxa"/>
            </w:tcMar>
            <w:vAlign w:val="center"/>
          </w:tcPr>
          <w:p>
            <w:pPr>
              <w:pStyle w:val="TableContents"/>
              <w:spacing w:before="0" w:after="283"/>
              <w:rPr>
                <w:sz w:val="4"/>
                <w:szCs w:val="4"/>
              </w:rPr>
            </w:pPr>
            <w:r>
              <w:rPr>
                <w:sz w:val="4"/>
                <w:szCs w:val="4"/>
              </w:rPr>
            </w:r>
          </w:p>
        </w:tc>
        <w:tc>
          <w:tcPr>
            <w:tcW w:w="136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None</w:t>
            </w:r>
          </w:p>
        </w:tc>
      </w:tr>
      <w:tr>
        <w:trPr/>
        <w:tc>
          <w:tcPr>
            <w:tcW w:w="1636" w:type="dxa"/>
            <w:tcBorders>
              <w:bottom w:val="single" w:sz="8" w:space="0" w:color="5B5975"/>
            </w:tcBorders>
            <w:shd w:fill="auto" w:val="clear"/>
            <w:vAlign w:val="center"/>
          </w:tcPr>
          <w:p>
            <w:pPr>
              <w:pStyle w:val="TableContents"/>
              <w:spacing w:before="0" w:after="283"/>
              <w:jc w:val="left"/>
              <w:rPr>
                <w:rFonts w:ascii="Arial" w:hAnsi="Arial"/>
                <w:b/>
                <w:color w:val="1A2343"/>
                <w:sz w:val="15"/>
              </w:rPr>
            </w:pPr>
            <w:r>
              <w:rPr>
                <w:rFonts w:ascii="Arial" w:hAnsi="Arial"/>
                <w:b/>
                <w:color w:val="1A2343"/>
                <w:sz w:val="15"/>
              </w:rPr>
              <w:t>Performance-Based LTIP Units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012"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$7.5M (Target)</w:t>
            </w:r>
            <w:r>
              <w:rPr>
                <w:rFonts w:ascii="Arial" w:hAnsi="Arial"/>
                <w:position w:val="5"/>
                <w:sz w:val="12"/>
                <w:sz w:val="15"/>
              </w:rPr>
              <w:t>(3)</w:t>
            </w:r>
          </w:p>
        </w:tc>
        <w:tc>
          <w:tcPr>
            <w:tcW w:w="525" w:type="dxa"/>
            <w:tcBorders/>
            <w:shd w:fill="auto" w:val="clear"/>
            <w:tcMar>
              <w:bottom w:w="0" w:type="dxa"/>
            </w:tcMar>
            <w:vAlign w:val="center"/>
          </w:tcPr>
          <w:p>
            <w:pPr>
              <w:pStyle w:val="TableContents"/>
              <w:spacing w:before="0" w:after="283"/>
              <w:rPr>
                <w:sz w:val="4"/>
                <w:szCs w:val="4"/>
              </w:rPr>
            </w:pPr>
            <w:r>
              <w:rPr>
                <w:sz w:val="4"/>
                <w:szCs w:val="4"/>
              </w:rPr>
            </w:r>
          </w:p>
        </w:tc>
        <w:tc>
          <w:tcPr>
            <w:tcW w:w="184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$6.0M (Target)</w:t>
            </w:r>
            <w:r>
              <w:rPr>
                <w:rFonts w:ascii="Arial" w:hAnsi="Arial"/>
                <w:position w:val="5"/>
                <w:sz w:val="12"/>
                <w:sz w:val="15"/>
              </w:rPr>
              <w:t>(3)</w:t>
            </w:r>
          </w:p>
        </w:tc>
        <w:tc>
          <w:tcPr>
            <w:tcW w:w="463" w:type="dxa"/>
            <w:tcBorders/>
            <w:shd w:fill="auto" w:val="clear"/>
            <w:tcMar>
              <w:bottom w:w="0" w:type="dxa"/>
            </w:tcMar>
            <w:vAlign w:val="center"/>
          </w:tcPr>
          <w:p>
            <w:pPr>
              <w:pStyle w:val="TableContents"/>
              <w:spacing w:before="0" w:after="283"/>
              <w:rPr>
                <w:sz w:val="4"/>
                <w:szCs w:val="4"/>
              </w:rPr>
            </w:pPr>
            <w:r>
              <w:rPr>
                <w:sz w:val="4"/>
                <w:szCs w:val="4"/>
              </w:rPr>
            </w:r>
          </w:p>
        </w:tc>
        <w:tc>
          <w:tcPr>
            <w:tcW w:w="1596"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None</w:t>
            </w:r>
          </w:p>
        </w:tc>
        <w:tc>
          <w:tcPr>
            <w:tcW w:w="463" w:type="dxa"/>
            <w:tcBorders/>
            <w:shd w:fill="auto" w:val="clear"/>
            <w:tcMar>
              <w:bottom w:w="0" w:type="dxa"/>
            </w:tcMar>
            <w:vAlign w:val="center"/>
          </w:tcPr>
          <w:p>
            <w:pPr>
              <w:pStyle w:val="TableContents"/>
              <w:spacing w:before="0" w:after="283"/>
              <w:rPr>
                <w:sz w:val="4"/>
                <w:szCs w:val="4"/>
              </w:rPr>
            </w:pPr>
            <w:r>
              <w:rPr>
                <w:sz w:val="4"/>
                <w:szCs w:val="4"/>
              </w:rPr>
            </w:r>
          </w:p>
        </w:tc>
        <w:tc>
          <w:tcPr>
            <w:tcW w:w="136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None</w:t>
            </w:r>
          </w:p>
        </w:tc>
      </w:tr>
      <w:tr>
        <w:trPr/>
        <w:tc>
          <w:tcPr>
            <w:tcW w:w="1636" w:type="dxa"/>
            <w:tcBorders>
              <w:bottom w:val="single" w:sz="8" w:space="0" w:color="5B5975"/>
            </w:tcBorders>
            <w:shd w:fill="auto" w:val="clear"/>
            <w:vAlign w:val="center"/>
          </w:tcPr>
          <w:p>
            <w:pPr>
              <w:pStyle w:val="TableContents"/>
              <w:spacing w:before="0" w:after="283"/>
              <w:jc w:val="left"/>
              <w:rPr>
                <w:rFonts w:ascii="Arial" w:hAnsi="Arial"/>
                <w:b/>
                <w:color w:val="1A2343"/>
                <w:sz w:val="15"/>
              </w:rPr>
            </w:pPr>
            <w:r>
              <w:rPr>
                <w:rFonts w:ascii="Arial" w:hAnsi="Arial"/>
                <w:b/>
                <w:color w:val="1A2343"/>
                <w:sz w:val="15"/>
              </w:rPr>
              <w:t>Time-Based LTIP Units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012"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$4.5M (Target)</w:t>
            </w:r>
            <w:r>
              <w:rPr>
                <w:rFonts w:ascii="Arial" w:hAnsi="Arial"/>
                <w:position w:val="5"/>
                <w:sz w:val="12"/>
                <w:sz w:val="15"/>
              </w:rPr>
              <w:t>(4)</w:t>
            </w:r>
          </w:p>
        </w:tc>
        <w:tc>
          <w:tcPr>
            <w:tcW w:w="525" w:type="dxa"/>
            <w:tcBorders/>
            <w:shd w:fill="auto" w:val="clear"/>
            <w:tcMar>
              <w:bottom w:w="0" w:type="dxa"/>
            </w:tcMar>
            <w:vAlign w:val="center"/>
          </w:tcPr>
          <w:p>
            <w:pPr>
              <w:pStyle w:val="TableContents"/>
              <w:spacing w:before="0" w:after="283"/>
              <w:rPr>
                <w:sz w:val="4"/>
                <w:szCs w:val="4"/>
              </w:rPr>
            </w:pPr>
            <w:r>
              <w:rPr>
                <w:sz w:val="4"/>
                <w:szCs w:val="4"/>
              </w:rPr>
            </w:r>
          </w:p>
        </w:tc>
        <w:tc>
          <w:tcPr>
            <w:tcW w:w="184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$3.5M (Target)</w:t>
            </w:r>
            <w:r>
              <w:rPr>
                <w:rFonts w:ascii="Arial" w:hAnsi="Arial"/>
                <w:position w:val="5"/>
                <w:sz w:val="12"/>
                <w:sz w:val="15"/>
              </w:rPr>
              <w:t>(4)</w:t>
            </w:r>
          </w:p>
        </w:tc>
        <w:tc>
          <w:tcPr>
            <w:tcW w:w="463" w:type="dxa"/>
            <w:tcBorders/>
            <w:shd w:fill="auto" w:val="clear"/>
            <w:tcMar>
              <w:bottom w:w="0" w:type="dxa"/>
            </w:tcMar>
            <w:vAlign w:val="center"/>
          </w:tcPr>
          <w:p>
            <w:pPr>
              <w:pStyle w:val="TableContents"/>
              <w:spacing w:before="0" w:after="283"/>
              <w:rPr>
                <w:sz w:val="4"/>
                <w:szCs w:val="4"/>
              </w:rPr>
            </w:pPr>
            <w:r>
              <w:rPr>
                <w:sz w:val="4"/>
                <w:szCs w:val="4"/>
              </w:rPr>
            </w:r>
          </w:p>
        </w:tc>
        <w:tc>
          <w:tcPr>
            <w:tcW w:w="1596"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$1.4M (Target)</w:t>
            </w:r>
            <w:r>
              <w:rPr>
                <w:rFonts w:ascii="Arial" w:hAnsi="Arial"/>
                <w:position w:val="5"/>
                <w:sz w:val="12"/>
                <w:sz w:val="15"/>
              </w:rPr>
              <w:t>(4)</w:t>
            </w:r>
          </w:p>
        </w:tc>
        <w:tc>
          <w:tcPr>
            <w:tcW w:w="463" w:type="dxa"/>
            <w:tcBorders/>
            <w:shd w:fill="auto" w:val="clear"/>
            <w:tcMar>
              <w:bottom w:w="0" w:type="dxa"/>
            </w:tcMar>
            <w:vAlign w:val="center"/>
          </w:tcPr>
          <w:p>
            <w:pPr>
              <w:pStyle w:val="TableContents"/>
              <w:spacing w:before="0" w:after="283"/>
              <w:rPr>
                <w:sz w:val="4"/>
                <w:szCs w:val="4"/>
              </w:rPr>
            </w:pPr>
            <w:r>
              <w:rPr>
                <w:sz w:val="4"/>
                <w:szCs w:val="4"/>
              </w:rPr>
            </w:r>
          </w:p>
        </w:tc>
        <w:tc>
          <w:tcPr>
            <w:tcW w:w="136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$1.3M (Target)</w:t>
            </w:r>
            <w:r>
              <w:rPr>
                <w:rFonts w:ascii="Arial" w:hAnsi="Arial"/>
                <w:position w:val="5"/>
                <w:sz w:val="12"/>
                <w:sz w:val="15"/>
              </w:rPr>
              <w:t>(4)</w:t>
            </w:r>
          </w:p>
        </w:tc>
      </w:tr>
      <w:tr>
        <w:trPr/>
        <w:tc>
          <w:tcPr>
            <w:tcW w:w="1636" w:type="dxa"/>
            <w:tcBorders>
              <w:bottom w:val="single" w:sz="8" w:space="0" w:color="5B5975"/>
            </w:tcBorders>
            <w:shd w:fill="auto" w:val="clear"/>
            <w:vAlign w:val="center"/>
          </w:tcPr>
          <w:p>
            <w:pPr>
              <w:pStyle w:val="TableContents"/>
              <w:spacing w:before="0" w:after="283"/>
              <w:jc w:val="left"/>
              <w:rPr>
                <w:rFonts w:ascii="Arial" w:hAnsi="Arial"/>
                <w:b/>
                <w:color w:val="1A2343"/>
                <w:sz w:val="15"/>
              </w:rPr>
            </w:pPr>
            <w:r>
              <w:rPr>
                <w:rFonts w:ascii="Arial" w:hAnsi="Arial"/>
                <w:b/>
                <w:color w:val="1A2343"/>
                <w:sz w:val="15"/>
              </w:rPr>
              <w:t>Other Benefits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012"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$10M of life insurance</w:t>
            </w:r>
          </w:p>
        </w:tc>
        <w:tc>
          <w:tcPr>
            <w:tcW w:w="525" w:type="dxa"/>
            <w:tcBorders/>
            <w:shd w:fill="auto" w:val="clear"/>
            <w:tcMar>
              <w:bottom w:w="0" w:type="dxa"/>
            </w:tcMar>
            <w:vAlign w:val="center"/>
          </w:tcPr>
          <w:p>
            <w:pPr>
              <w:pStyle w:val="TableContents"/>
              <w:spacing w:before="0" w:after="283"/>
              <w:rPr>
                <w:sz w:val="4"/>
                <w:szCs w:val="4"/>
              </w:rPr>
            </w:pPr>
            <w:r>
              <w:rPr>
                <w:sz w:val="4"/>
                <w:szCs w:val="4"/>
              </w:rPr>
            </w:r>
          </w:p>
        </w:tc>
        <w:tc>
          <w:tcPr>
            <w:tcW w:w="184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None</w:t>
            </w:r>
          </w:p>
        </w:tc>
        <w:tc>
          <w:tcPr>
            <w:tcW w:w="463" w:type="dxa"/>
            <w:tcBorders/>
            <w:shd w:fill="auto" w:val="clear"/>
            <w:tcMar>
              <w:bottom w:w="0" w:type="dxa"/>
            </w:tcMar>
            <w:vAlign w:val="center"/>
          </w:tcPr>
          <w:p>
            <w:pPr>
              <w:pStyle w:val="TableContents"/>
              <w:spacing w:before="0" w:after="283"/>
              <w:rPr>
                <w:sz w:val="4"/>
                <w:szCs w:val="4"/>
              </w:rPr>
            </w:pPr>
            <w:r>
              <w:rPr>
                <w:sz w:val="4"/>
                <w:szCs w:val="4"/>
              </w:rPr>
            </w:r>
          </w:p>
        </w:tc>
        <w:tc>
          <w:tcPr>
            <w:tcW w:w="1596"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None</w:t>
            </w:r>
          </w:p>
        </w:tc>
        <w:tc>
          <w:tcPr>
            <w:tcW w:w="463" w:type="dxa"/>
            <w:tcBorders/>
            <w:shd w:fill="auto" w:val="clear"/>
            <w:tcMar>
              <w:bottom w:w="0" w:type="dxa"/>
            </w:tcMar>
            <w:vAlign w:val="center"/>
          </w:tcPr>
          <w:p>
            <w:pPr>
              <w:pStyle w:val="TableContents"/>
              <w:spacing w:before="0" w:after="283"/>
              <w:rPr>
                <w:sz w:val="4"/>
                <w:szCs w:val="4"/>
              </w:rPr>
            </w:pPr>
            <w:r>
              <w:rPr>
                <w:sz w:val="4"/>
                <w:szCs w:val="4"/>
              </w:rPr>
            </w:r>
          </w:p>
        </w:tc>
        <w:tc>
          <w:tcPr>
            <w:tcW w:w="1365" w:type="dxa"/>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None</w:t>
            </w:r>
          </w:p>
        </w:tc>
      </w:tr>
      <w:tr>
        <w:trPr/>
        <w:tc>
          <w:tcPr>
            <w:tcW w:w="1636" w:type="dxa"/>
            <w:tcBorders/>
            <w:shd w:fill="auto" w:val="clear"/>
            <w:tcMar>
              <w:bottom w:w="0" w:type="dxa"/>
            </w:tcMar>
            <w:vAlign w:val="center"/>
          </w:tcPr>
          <w:p>
            <w:pPr>
              <w:pStyle w:val="TableContents"/>
              <w:spacing w:before="0" w:after="0"/>
              <w:jc w:val="left"/>
              <w:rPr>
                <w:b/>
              </w:rPr>
            </w:pPr>
            <w:r>
              <w:rPr>
                <w:rFonts w:ascii="Arial" w:hAnsi="Arial"/>
                <w:b/>
                <w:color w:val="1A2343"/>
                <w:sz w:val="15"/>
              </w:rPr>
              <w:t>Severance Benefits without</w:t>
              <w:br/>
              <w:t>Change-in-Control (“CiC”) and</w:t>
              <w:br/>
            </w:r>
            <w:r>
              <w:rPr>
                <w:rFonts w:ascii="Arial" w:hAnsi="Arial"/>
                <w:b/>
                <w:i/>
                <w:color w:val="1A2343"/>
                <w:sz w:val="15"/>
              </w:rPr>
              <w:t>(in connection with a CiC)</w:t>
            </w:r>
            <w:r>
              <w:rPr>
                <w:rFonts w:ascii="Arial" w:hAnsi="Arial"/>
                <w:b/>
                <w:color w:val="1A2343"/>
                <w:position w:val="5"/>
                <w:sz w:val="12"/>
                <w:sz w:val="15"/>
              </w:rPr>
              <w:t>(5)</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8269" w:type="dxa"/>
            <w:gridSpan w:val="7"/>
            <w:tcBorders>
              <w:bottom w:val="single" w:sz="8" w:space="0" w:color="5B5975"/>
            </w:tcBorders>
            <w:shd w:fill="auto" w:val="clear"/>
            <w:vAlign w:val="center"/>
          </w:tcPr>
          <w:p>
            <w:pPr>
              <w:pStyle w:val="TableContents"/>
              <w:spacing w:before="0" w:after="0"/>
              <w:jc w:val="left"/>
              <w:rPr/>
            </w:pPr>
            <w:r>
              <w:rPr>
                <w:rFonts w:ascii="Arial" w:hAnsi="Arial"/>
                <w:sz w:val="15"/>
              </w:rPr>
              <w:t xml:space="preserve">If the executive’s employment is terminated by us without Cause or by the executive for Good Reason during the term, the executive will be entitled to the following payments or benefits, subject to the effectiveness of a mutual release. </w:t>
            </w:r>
            <w:r>
              <w:rPr>
                <w:rFonts w:ascii="Arial" w:hAnsi="Arial"/>
                <w:b/>
                <w:i/>
                <w:sz w:val="15"/>
              </w:rPr>
              <w:t>(For all executives, a Section 280G modified cut-back will apply in connection with a termination in connection with or within 18 months after a CiC.)</w:t>
            </w:r>
            <w:r>
              <w:rPr>
                <w:rFonts w:ascii="Arial" w:hAnsi="Arial"/>
                <w:b/>
                <w:position w:val="5"/>
                <w:sz w:val="12"/>
                <w:sz w:val="15"/>
              </w:rPr>
              <w:t>(6)</w:t>
            </w:r>
          </w:p>
        </w:tc>
      </w:tr>
      <w:tr>
        <w:trPr/>
        <w:tc>
          <w:tcPr>
            <w:tcW w:w="1636"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382" w:type="dxa"/>
            <w:gridSpan w:val="3"/>
            <w:tcBorders>
              <w:bottom w:val="single" w:sz="8" w:space="0" w:color="5B5975"/>
            </w:tcBorders>
            <w:shd w:fill="auto" w:val="clear"/>
            <w:vAlign w:val="center"/>
          </w:tcPr>
          <w:p>
            <w:pPr>
              <w:pStyle w:val="TableContents"/>
              <w:spacing w:before="0" w:after="0"/>
              <w:ind w:left="0" w:right="0" w:hanging="260"/>
              <w:jc w:val="left"/>
              <w:rPr/>
            </w:pPr>
            <w:r>
              <w:rPr/>
              <w:t>●</w:t>
            </w:r>
            <w:r>
              <w:rPr>
                <w:rFonts w:ascii="Arial" w:hAnsi="Arial"/>
                <w:sz w:val="15"/>
              </w:rPr>
              <w:t xml:space="preserve">2.0x / 1.5x the sum of base salary, maximum formulaic bonus and target value of annual time-based equity award </w:t>
            </w:r>
            <w:r>
              <w:rPr>
                <w:rFonts w:ascii="Arial" w:hAnsi="Arial"/>
                <w:b/>
                <w:i/>
                <w:sz w:val="15"/>
              </w:rPr>
              <w:t>(if CiC: 3.0x / 2.5x the sum of base salary, average annual bonus for prior two years and target value of annual time-based award)</w:t>
            </w:r>
          </w:p>
          <w:p>
            <w:pPr>
              <w:pStyle w:val="TableContents"/>
              <w:spacing w:before="0" w:after="0"/>
              <w:ind w:left="0" w:right="0" w:hanging="260"/>
              <w:jc w:val="left"/>
              <w:rPr/>
            </w:pPr>
            <w:r>
              <w:rPr/>
              <w:t>●</w:t>
            </w:r>
            <w:r>
              <w:rPr>
                <w:rFonts w:ascii="Arial" w:hAnsi="Arial"/>
                <w:sz w:val="15"/>
              </w:rPr>
              <w:t>Pro-rata bonus and pro-rata portion of target value of annual time-based award for partial year</w:t>
            </w:r>
          </w:p>
          <w:p>
            <w:pPr>
              <w:pStyle w:val="TableContents"/>
              <w:spacing w:before="0" w:after="0"/>
              <w:ind w:left="0" w:right="0" w:hanging="260"/>
              <w:jc w:val="left"/>
              <w:rPr/>
            </w:pPr>
            <w:r>
              <w:rPr/>
              <w:t>●</w:t>
            </w:r>
            <w:r>
              <w:rPr>
                <w:rFonts w:ascii="Arial" w:hAnsi="Arial"/>
                <w:sz w:val="15"/>
              </w:rPr>
              <w:t>Acceleration of all unvested time-based equity awards</w:t>
            </w:r>
          </w:p>
          <w:p>
            <w:pPr>
              <w:pStyle w:val="TableContents"/>
              <w:spacing w:before="0" w:after="0"/>
              <w:ind w:left="0" w:right="0" w:hanging="260"/>
              <w:jc w:val="left"/>
              <w:rPr/>
            </w:pPr>
            <w:r>
              <w:rPr/>
              <w:t>●</w:t>
            </w:r>
            <w:r>
              <w:rPr>
                <w:rFonts w:ascii="Arial" w:hAnsi="Arial"/>
                <w:sz w:val="15"/>
              </w:rPr>
              <w:t>Class O LTIP unit/option exercise period extended to second January 1st following termination</w:t>
            </w:r>
          </w:p>
          <w:p>
            <w:pPr>
              <w:pStyle w:val="TableContents"/>
              <w:spacing w:before="0" w:after="0"/>
              <w:ind w:left="0" w:right="0" w:hanging="260"/>
              <w:jc w:val="left"/>
              <w:rPr/>
            </w:pPr>
            <w:r>
              <w:rPr/>
              <w:t>●</w:t>
            </w:r>
            <w:r>
              <w:rPr>
                <w:rFonts w:ascii="Arial" w:hAnsi="Arial"/>
                <w:sz w:val="15"/>
              </w:rPr>
              <w:t xml:space="preserve">24 </w:t>
            </w:r>
            <w:r>
              <w:rPr>
                <w:rFonts w:ascii="Arial" w:hAnsi="Arial"/>
                <w:b/>
                <w:i/>
                <w:sz w:val="15"/>
              </w:rPr>
              <w:t>(36 if CiC)</w:t>
            </w:r>
            <w:r>
              <w:rPr>
                <w:rFonts w:ascii="Arial" w:hAnsi="Arial"/>
                <w:i/>
                <w:sz w:val="15"/>
              </w:rPr>
              <w:t xml:space="preserve"> </w:t>
            </w:r>
            <w:r>
              <w:rPr>
                <w:rFonts w:ascii="Arial" w:hAnsi="Arial"/>
                <w:sz w:val="15"/>
              </w:rPr>
              <w:t xml:space="preserve">/ 18 </w:t>
            </w:r>
            <w:r>
              <w:rPr>
                <w:rFonts w:ascii="Arial" w:hAnsi="Arial"/>
                <w:b/>
                <w:i/>
                <w:sz w:val="15"/>
              </w:rPr>
              <w:t>(30 if CiC)</w:t>
            </w:r>
            <w:r>
              <w:rPr>
                <w:rFonts w:ascii="Arial" w:hAnsi="Arial"/>
                <w:i/>
                <w:sz w:val="15"/>
              </w:rPr>
              <w:t xml:space="preserve"> </w:t>
            </w:r>
            <w:r>
              <w:rPr>
                <w:rFonts w:ascii="Arial" w:hAnsi="Arial"/>
                <w:sz w:val="15"/>
              </w:rPr>
              <w:t>months of benefit continuation payments</w:t>
            </w:r>
          </w:p>
        </w:tc>
        <w:tc>
          <w:tcPr>
            <w:tcW w:w="463" w:type="dxa"/>
            <w:tcBorders/>
            <w:shd w:fill="auto" w:val="clear"/>
            <w:tcMar>
              <w:bottom w:w="0" w:type="dxa"/>
            </w:tcMar>
            <w:vAlign w:val="center"/>
          </w:tcPr>
          <w:p>
            <w:pPr>
              <w:pStyle w:val="TableContents"/>
              <w:spacing w:before="0" w:after="283"/>
              <w:rPr>
                <w:sz w:val="4"/>
                <w:szCs w:val="4"/>
              </w:rPr>
            </w:pPr>
            <w:r>
              <w:rPr>
                <w:sz w:val="4"/>
                <w:szCs w:val="4"/>
              </w:rPr>
            </w:r>
          </w:p>
        </w:tc>
        <w:tc>
          <w:tcPr>
            <w:tcW w:w="3424" w:type="dxa"/>
            <w:gridSpan w:val="3"/>
            <w:tcBorders>
              <w:bottom w:val="single" w:sz="8" w:space="0" w:color="5B5975"/>
            </w:tcBorders>
            <w:shd w:fill="auto" w:val="clear"/>
            <w:vAlign w:val="center"/>
          </w:tcPr>
          <w:p>
            <w:pPr>
              <w:pStyle w:val="TableContents"/>
              <w:spacing w:before="0" w:after="0"/>
              <w:ind w:left="0" w:right="0" w:hanging="260"/>
              <w:jc w:val="left"/>
              <w:rPr/>
            </w:pPr>
            <w:r>
              <w:rPr/>
              <w:t>●</w:t>
            </w:r>
            <w:r>
              <w:rPr>
                <w:rFonts w:ascii="Arial" w:hAnsi="Arial"/>
                <w:sz w:val="15"/>
              </w:rPr>
              <w:t xml:space="preserve">1x </w:t>
            </w:r>
            <w:r>
              <w:rPr>
                <w:rFonts w:ascii="Arial" w:hAnsi="Arial"/>
                <w:b/>
                <w:i/>
                <w:sz w:val="15"/>
              </w:rPr>
              <w:t>(2x if CiC)</w:t>
            </w:r>
            <w:r>
              <w:rPr>
                <w:rFonts w:ascii="Arial" w:hAnsi="Arial"/>
                <w:i/>
                <w:sz w:val="15"/>
              </w:rPr>
              <w:t xml:space="preserve"> </w:t>
            </w:r>
            <w:r>
              <w:rPr>
                <w:rFonts w:ascii="Arial" w:hAnsi="Arial"/>
                <w:sz w:val="15"/>
              </w:rPr>
              <w:t>the sum of base salary and average annual bonus for prior two years (Levine) or prior three years (DiLiberto)</w:t>
            </w:r>
          </w:p>
          <w:p>
            <w:pPr>
              <w:pStyle w:val="TableContents"/>
              <w:spacing w:before="0" w:after="0"/>
              <w:ind w:left="0" w:right="0" w:hanging="260"/>
              <w:jc w:val="left"/>
              <w:rPr/>
            </w:pPr>
            <w:r>
              <w:rPr/>
              <w:t>●</w:t>
            </w:r>
            <w:r>
              <w:rPr>
                <w:rFonts w:ascii="Arial" w:hAnsi="Arial"/>
                <w:sz w:val="15"/>
              </w:rPr>
              <w:t>The target value of the annual time-based equity awards to be granted in each January remaining in the term, to the extent not yet granted</w:t>
            </w:r>
          </w:p>
          <w:p>
            <w:pPr>
              <w:pStyle w:val="TableContents"/>
              <w:spacing w:before="0" w:after="0"/>
              <w:ind w:left="0" w:right="0" w:hanging="260"/>
              <w:jc w:val="left"/>
              <w:rPr/>
            </w:pPr>
            <w:r>
              <w:rPr/>
              <w:t>●</w:t>
            </w:r>
            <w:r>
              <w:rPr>
                <w:rFonts w:ascii="Arial" w:hAnsi="Arial"/>
                <w:sz w:val="15"/>
              </w:rPr>
              <w:t>Pro-rata bonus for partial year</w:t>
            </w:r>
          </w:p>
          <w:p>
            <w:pPr>
              <w:pStyle w:val="TableContents"/>
              <w:spacing w:before="0" w:after="0"/>
              <w:ind w:left="0" w:right="0" w:hanging="260"/>
              <w:jc w:val="left"/>
              <w:rPr/>
            </w:pPr>
            <w:r>
              <w:rPr/>
              <w:t>●</w:t>
            </w:r>
            <w:r>
              <w:rPr>
                <w:rFonts w:ascii="Arial" w:hAnsi="Arial"/>
                <w:sz w:val="15"/>
              </w:rPr>
              <w:t>Acceleration of all unvested time-based equity awards</w:t>
            </w:r>
          </w:p>
          <w:p>
            <w:pPr>
              <w:pStyle w:val="TableContents"/>
              <w:spacing w:before="0" w:after="0"/>
              <w:ind w:left="0" w:right="0" w:hanging="260"/>
              <w:jc w:val="left"/>
              <w:rPr/>
            </w:pPr>
            <w:r>
              <w:rPr/>
              <w:t>●</w:t>
            </w:r>
            <w:r>
              <w:rPr>
                <w:rFonts w:ascii="Arial" w:hAnsi="Arial"/>
                <w:sz w:val="15"/>
              </w:rPr>
              <w:t>Class O LTIP unit/option exercise period extended to second January 1st following termination</w:t>
            </w:r>
          </w:p>
          <w:p>
            <w:pPr>
              <w:pStyle w:val="TableContents"/>
              <w:spacing w:before="0" w:after="0"/>
              <w:ind w:left="0" w:right="0" w:hanging="260"/>
              <w:jc w:val="left"/>
              <w:rPr/>
            </w:pPr>
            <w:r>
              <w:rPr/>
              <w:t>●</w:t>
            </w:r>
            <w:r>
              <w:rPr>
                <w:rFonts w:ascii="Arial" w:hAnsi="Arial"/>
                <w:sz w:val="15"/>
              </w:rPr>
              <w:t xml:space="preserve">12 </w:t>
            </w:r>
            <w:r>
              <w:rPr>
                <w:rFonts w:ascii="Arial" w:hAnsi="Arial"/>
                <w:b/>
                <w:i/>
                <w:sz w:val="15"/>
              </w:rPr>
              <w:t>(24 if CiC)</w:t>
            </w:r>
            <w:r>
              <w:rPr>
                <w:rFonts w:ascii="Arial" w:hAnsi="Arial"/>
                <w:i/>
                <w:sz w:val="15"/>
              </w:rPr>
              <w:t xml:space="preserve"> </w:t>
            </w:r>
            <w:r>
              <w:rPr>
                <w:rFonts w:ascii="Arial" w:hAnsi="Arial"/>
                <w:sz w:val="15"/>
              </w:rPr>
              <w:t>months of benefit continuation payments</w:t>
            </w:r>
          </w:p>
        </w:tc>
      </w:tr>
      <w:tr>
        <w:trPr/>
        <w:tc>
          <w:tcPr>
            <w:tcW w:w="1636" w:type="dxa"/>
            <w:tcBorders/>
            <w:shd w:fill="auto" w:val="clear"/>
            <w:tcMar>
              <w:bottom w:w="0" w:type="dxa"/>
            </w:tcMar>
            <w:vAlign w:val="center"/>
          </w:tcPr>
          <w:p>
            <w:pPr>
              <w:pStyle w:val="TableContents"/>
              <w:spacing w:before="0" w:after="0"/>
              <w:jc w:val="left"/>
              <w:rPr/>
            </w:pPr>
            <w:r>
              <w:rPr>
                <w:rFonts w:ascii="Arial" w:hAnsi="Arial"/>
                <w:sz w:val="15"/>
              </w:rPr>
              <w:t xml:space="preserve">Death / </w:t>
            </w:r>
            <w:r>
              <w:rPr>
                <w:rFonts w:ascii="Arial" w:hAnsi="Arial"/>
                <w:b/>
                <w:i/>
                <w:color w:val="1A2343"/>
                <w:sz w:val="15"/>
              </w:rPr>
              <w:t>(Disability)</w:t>
            </w:r>
            <w:r>
              <w:rPr>
                <w:rFonts w:ascii="Arial" w:hAnsi="Arial"/>
                <w:position w:val="5"/>
                <w:sz w:val="12"/>
                <w:sz w:val="15"/>
              </w:rPr>
              <w:t>(5)</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8269" w:type="dxa"/>
            <w:gridSpan w:val="7"/>
            <w:tcBorders/>
            <w:shd w:fill="auto" w:val="clear"/>
            <w:tcMar>
              <w:bottom w:w="0" w:type="dxa"/>
            </w:tcMar>
            <w:vAlign w:val="center"/>
          </w:tcPr>
          <w:p>
            <w:pPr>
              <w:pStyle w:val="TableContents"/>
              <w:spacing w:before="0" w:after="0"/>
              <w:jc w:val="left"/>
              <w:rPr/>
            </w:pPr>
            <w:r>
              <w:rPr>
                <w:rFonts w:ascii="Arial" w:hAnsi="Arial"/>
                <w:sz w:val="15"/>
              </w:rPr>
              <w:t xml:space="preserve">If the executive’s employment is terminated by us upon death or disability during the term, the executive will be entitled to all of the following payments or benefits, plus additional benefits in the case of disability, subject </w:t>
            </w:r>
            <w:r>
              <w:rPr>
                <w:rFonts w:ascii="Arial" w:hAnsi="Arial"/>
                <w:b/>
                <w:i/>
                <w:sz w:val="15"/>
              </w:rPr>
              <w:t>(in the case of disability)</w:t>
            </w:r>
            <w:r>
              <w:rPr>
                <w:rFonts w:ascii="Arial" w:hAnsi="Arial"/>
                <w:i/>
                <w:sz w:val="15"/>
              </w:rPr>
              <w:t xml:space="preserve"> </w:t>
            </w:r>
            <w:r>
              <w:rPr>
                <w:rFonts w:ascii="Arial" w:hAnsi="Arial"/>
                <w:sz w:val="15"/>
              </w:rPr>
              <w:t>to the effectiveness of a mutual release:</w:t>
            </w:r>
          </w:p>
        </w:tc>
      </w:tr>
      <w:tr>
        <w:trPr/>
        <w:tc>
          <w:tcPr>
            <w:tcW w:w="1636"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4382" w:type="dxa"/>
            <w:gridSpan w:val="3"/>
            <w:tcBorders>
              <w:top w:val="single" w:sz="8" w:space="0" w:color="5B5975"/>
              <w:bottom w:val="single" w:sz="8" w:space="0" w:color="5B5975"/>
            </w:tcBorders>
            <w:shd w:fill="auto" w:val="clear"/>
            <w:tcMar>
              <w:top w:w="40" w:type="dxa"/>
            </w:tcMar>
            <w:vAlign w:val="center"/>
          </w:tcPr>
          <w:p>
            <w:pPr>
              <w:pStyle w:val="TableContents"/>
              <w:spacing w:before="0" w:after="0"/>
              <w:ind w:left="0" w:right="0" w:hanging="260"/>
              <w:jc w:val="left"/>
              <w:rPr/>
            </w:pPr>
            <w:r>
              <w:rPr/>
              <w:t>●</w:t>
            </w:r>
            <w:r>
              <w:rPr>
                <w:rFonts w:ascii="Arial" w:hAnsi="Arial"/>
                <w:b/>
                <w:i/>
                <w:sz w:val="15"/>
              </w:rPr>
              <w:t>(If Disability: 1x the sum of base salary, maximum formulaic bonus and target value of annual time-based equity award)</w:t>
            </w:r>
          </w:p>
          <w:p>
            <w:pPr>
              <w:pStyle w:val="TableContents"/>
              <w:spacing w:before="0" w:after="0"/>
              <w:ind w:left="0" w:right="0" w:hanging="260"/>
              <w:jc w:val="left"/>
              <w:rPr/>
            </w:pPr>
            <w:r>
              <w:rPr/>
              <w:t>●</w:t>
            </w:r>
            <w:r>
              <w:rPr>
                <w:rFonts w:ascii="Arial" w:hAnsi="Arial"/>
                <w:sz w:val="15"/>
              </w:rPr>
              <w:t>Pro-rata bonus for partial year</w:t>
            </w:r>
          </w:p>
          <w:p>
            <w:pPr>
              <w:pStyle w:val="TableContents"/>
              <w:spacing w:before="0" w:after="0"/>
              <w:ind w:left="0" w:right="0" w:hanging="260"/>
              <w:jc w:val="left"/>
              <w:rPr/>
            </w:pPr>
            <w:r>
              <w:rPr/>
              <w:t>●</w:t>
            </w:r>
            <w:r>
              <w:rPr>
                <w:rFonts w:ascii="Arial" w:hAnsi="Arial"/>
                <w:sz w:val="15"/>
              </w:rPr>
              <w:t>Pro-rated target value of the annual time-based equity awards</w:t>
            </w:r>
          </w:p>
          <w:p>
            <w:pPr>
              <w:pStyle w:val="TableContents"/>
              <w:spacing w:before="0" w:after="0"/>
              <w:ind w:left="0" w:right="0" w:hanging="260"/>
              <w:jc w:val="left"/>
              <w:rPr/>
            </w:pPr>
            <w:r>
              <w:rPr/>
              <w:t>●</w:t>
            </w:r>
            <w:r>
              <w:rPr>
                <w:rFonts w:ascii="Arial" w:hAnsi="Arial"/>
                <w:sz w:val="15"/>
              </w:rPr>
              <w:t>Acceleration of all unvested equity awards (other than performance-based awards)</w:t>
            </w:r>
          </w:p>
          <w:p>
            <w:pPr>
              <w:pStyle w:val="TableContents"/>
              <w:spacing w:before="0" w:after="0"/>
              <w:ind w:left="0" w:right="0" w:hanging="260"/>
              <w:jc w:val="left"/>
              <w:rPr/>
            </w:pPr>
            <w:r>
              <w:rPr/>
              <w:t>●</w:t>
            </w:r>
            <w:r>
              <w:rPr>
                <w:rFonts w:ascii="Arial" w:hAnsi="Arial"/>
                <w:sz w:val="15"/>
              </w:rPr>
              <w:t>Class O LTIP unit/option exercise period extended to second January 1st following termination</w:t>
            </w:r>
          </w:p>
          <w:p>
            <w:pPr>
              <w:pStyle w:val="TableContents"/>
              <w:spacing w:before="0" w:after="0"/>
              <w:ind w:left="0" w:right="0" w:hanging="260"/>
              <w:jc w:val="left"/>
              <w:rPr/>
            </w:pPr>
            <w:r>
              <w:rPr/>
              <w:t>●</w:t>
            </w:r>
            <w:r>
              <w:rPr>
                <w:rFonts w:ascii="Arial" w:hAnsi="Arial"/>
                <w:sz w:val="15"/>
              </w:rPr>
              <w:t>Payments/benefits to Mr. Holliday are reduced by life insurance benefit</w:t>
            </w:r>
          </w:p>
          <w:p>
            <w:pPr>
              <w:pStyle w:val="TableContents"/>
              <w:spacing w:before="0" w:after="0"/>
              <w:ind w:left="0" w:right="0" w:hanging="260"/>
              <w:jc w:val="left"/>
              <w:rPr/>
            </w:pPr>
            <w:r>
              <w:rPr/>
              <w:t>●</w:t>
            </w:r>
            <w:r>
              <w:rPr>
                <w:rFonts w:ascii="Arial" w:hAnsi="Arial"/>
                <w:b/>
                <w:i/>
                <w:sz w:val="15"/>
              </w:rPr>
              <w:t>(If Disability: 36 months of benefit continuation/payments)</w:t>
            </w:r>
          </w:p>
        </w:tc>
        <w:tc>
          <w:tcPr>
            <w:tcW w:w="463" w:type="dxa"/>
            <w:tcBorders/>
            <w:shd w:fill="auto" w:val="clear"/>
            <w:tcMar>
              <w:bottom w:w="0" w:type="dxa"/>
            </w:tcMar>
            <w:vAlign w:val="center"/>
          </w:tcPr>
          <w:p>
            <w:pPr>
              <w:pStyle w:val="TableContents"/>
              <w:spacing w:before="0" w:after="283"/>
              <w:rPr>
                <w:sz w:val="4"/>
                <w:szCs w:val="4"/>
              </w:rPr>
            </w:pPr>
            <w:r>
              <w:rPr>
                <w:sz w:val="4"/>
                <w:szCs w:val="4"/>
              </w:rPr>
            </w:r>
          </w:p>
        </w:tc>
        <w:tc>
          <w:tcPr>
            <w:tcW w:w="3424" w:type="dxa"/>
            <w:gridSpan w:val="3"/>
            <w:tcBorders>
              <w:top w:val="single" w:sz="8" w:space="0" w:color="5B5975"/>
              <w:bottom w:val="single" w:sz="8" w:space="0" w:color="5B5975"/>
            </w:tcBorders>
            <w:shd w:fill="auto" w:val="clear"/>
            <w:tcMar>
              <w:top w:w="40" w:type="dxa"/>
            </w:tcMar>
            <w:vAlign w:val="center"/>
          </w:tcPr>
          <w:p>
            <w:pPr>
              <w:pStyle w:val="TableContents"/>
              <w:spacing w:before="0" w:after="0"/>
              <w:ind w:left="0" w:right="0" w:hanging="260"/>
              <w:jc w:val="left"/>
              <w:rPr/>
            </w:pPr>
            <w:r>
              <w:rPr/>
              <w:t>●</w:t>
            </w:r>
            <w:r>
              <w:rPr>
                <w:rFonts w:ascii="Arial" w:hAnsi="Arial"/>
                <w:b/>
                <w:i/>
                <w:sz w:val="15"/>
              </w:rPr>
              <w:t>(If Disability: 1x the sum of base salary and average annual bonus for prior two years (Levine) or prior three years (DiLiberto))</w:t>
            </w:r>
          </w:p>
          <w:p>
            <w:pPr>
              <w:pStyle w:val="TableContents"/>
              <w:spacing w:before="0" w:after="0"/>
              <w:ind w:left="0" w:right="0" w:hanging="260"/>
              <w:jc w:val="left"/>
              <w:rPr/>
            </w:pPr>
            <w:r>
              <w:rPr/>
              <w:t>●</w:t>
            </w:r>
            <w:r>
              <w:rPr>
                <w:rFonts w:ascii="Arial" w:hAnsi="Arial"/>
                <w:sz w:val="15"/>
              </w:rPr>
              <w:t>Pro-rata bonus for partial year</w:t>
            </w:r>
          </w:p>
          <w:p>
            <w:pPr>
              <w:pStyle w:val="TableContents"/>
              <w:spacing w:before="0" w:after="0"/>
              <w:ind w:left="0" w:right="0" w:hanging="260"/>
              <w:jc w:val="left"/>
              <w:rPr/>
            </w:pPr>
            <w:r>
              <w:rPr/>
              <w:t>●</w:t>
            </w:r>
            <w:r>
              <w:rPr>
                <w:rFonts w:ascii="Arial" w:hAnsi="Arial"/>
                <w:sz w:val="15"/>
              </w:rPr>
              <w:t>Pro-rated target value of the annual time-based equity awards (upon termination prior to final annual time-based grant)</w:t>
            </w:r>
          </w:p>
          <w:p>
            <w:pPr>
              <w:pStyle w:val="TableContents"/>
              <w:spacing w:before="0" w:after="0"/>
              <w:ind w:left="0" w:right="0" w:hanging="260"/>
              <w:jc w:val="left"/>
              <w:rPr/>
            </w:pPr>
            <w:r>
              <w:rPr/>
              <w:t>●</w:t>
            </w:r>
            <w:r>
              <w:rPr>
                <w:rFonts w:ascii="Arial" w:hAnsi="Arial"/>
                <w:sz w:val="15"/>
              </w:rPr>
              <w:t>Acceleration of all unvested equity awards (other than performance-based awards)</w:t>
            </w:r>
            <w:r>
              <w:rPr>
                <w:rFonts w:ascii="Arial" w:hAnsi="Arial"/>
                <w:position w:val="5"/>
                <w:sz w:val="12"/>
                <w:sz w:val="15"/>
              </w:rPr>
              <w:t>(7)</w:t>
            </w:r>
          </w:p>
          <w:p>
            <w:pPr>
              <w:pStyle w:val="TableContents"/>
              <w:spacing w:before="0" w:after="0"/>
              <w:ind w:left="0" w:right="0" w:hanging="260"/>
              <w:jc w:val="left"/>
              <w:rPr/>
            </w:pPr>
            <w:r>
              <w:rPr/>
              <w:t>●</w:t>
            </w:r>
            <w:r>
              <w:rPr>
                <w:rFonts w:ascii="Arial" w:hAnsi="Arial"/>
                <w:sz w:val="15"/>
              </w:rPr>
              <w:t>Class O LTIP unit/ option exercise period extended to second January 1st following termination</w:t>
            </w:r>
          </w:p>
          <w:p>
            <w:pPr>
              <w:pStyle w:val="TableContents"/>
              <w:spacing w:before="0" w:after="0"/>
              <w:ind w:left="0" w:right="0" w:hanging="260"/>
              <w:jc w:val="left"/>
              <w:rPr/>
            </w:pPr>
            <w:r>
              <w:rPr/>
              <w:t>●</w:t>
            </w:r>
            <w:r>
              <w:rPr>
                <w:rFonts w:ascii="Arial" w:hAnsi="Arial"/>
                <w:b/>
                <w:i/>
                <w:sz w:val="15"/>
              </w:rPr>
              <w:t>(If Disability: 36 months of benefit continuation/payments)</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72</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0" w:after="0"/>
        <w:rPr/>
      </w:pPr>
      <w:r>
        <w:rPr/>
      </w:r>
    </w:p>
    <w:tbl>
      <w:tblPr>
        <w:tblW w:w="10205" w:type="dxa"/>
        <w:jc w:val="left"/>
        <w:tblInd w:w="0" w:type="dxa"/>
        <w:tblCellMar>
          <w:top w:w="0" w:type="dxa"/>
          <w:left w:w="0" w:type="dxa"/>
          <w:bottom w:w="40" w:type="dxa"/>
          <w:right w:w="0" w:type="dxa"/>
        </w:tblCellMar>
      </w:tblPr>
      <w:tblGrid>
        <w:gridCol w:w="1700"/>
        <w:gridCol w:w="300"/>
        <w:gridCol w:w="1068"/>
        <w:gridCol w:w="454"/>
        <w:gridCol w:w="1183"/>
        <w:gridCol w:w="300"/>
        <w:gridCol w:w="2679"/>
        <w:gridCol w:w="300"/>
        <w:gridCol w:w="2221"/>
      </w:tblGrid>
      <w:tr>
        <w:trPr/>
        <w:tc>
          <w:tcPr>
            <w:tcW w:w="1700"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jc w:val="left"/>
              <w:rPr/>
            </w:pPr>
            <w:r>
              <w:rPr/>
              <w:t>     </w:t>
            </w:r>
          </w:p>
        </w:tc>
        <w:tc>
          <w:tcPr>
            <w:tcW w:w="1068"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Marc Holliday</w:t>
            </w:r>
          </w:p>
        </w:tc>
        <w:tc>
          <w:tcPr>
            <w:tcW w:w="454" w:type="dxa"/>
            <w:tcBorders/>
            <w:shd w:fill="auto" w:val="clear"/>
            <w:tcMar>
              <w:bottom w:w="0" w:type="dxa"/>
            </w:tcMar>
            <w:vAlign w:val="center"/>
          </w:tcPr>
          <w:p>
            <w:pPr>
              <w:pStyle w:val="TableContents"/>
              <w:spacing w:before="0" w:after="283"/>
              <w:jc w:val="left"/>
              <w:rPr/>
            </w:pPr>
            <w:r>
              <w:rPr/>
              <w:t>     </w:t>
            </w:r>
          </w:p>
        </w:tc>
        <w:tc>
          <w:tcPr>
            <w:tcW w:w="1183"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Andrew Mathias</w:t>
            </w:r>
          </w:p>
        </w:tc>
        <w:tc>
          <w:tcPr>
            <w:tcW w:w="300" w:type="dxa"/>
            <w:tcBorders/>
            <w:shd w:fill="auto" w:val="clear"/>
            <w:tcMar>
              <w:bottom w:w="0" w:type="dxa"/>
            </w:tcMar>
            <w:vAlign w:val="center"/>
          </w:tcPr>
          <w:p>
            <w:pPr>
              <w:pStyle w:val="TableContents"/>
              <w:spacing w:before="0" w:after="283"/>
              <w:jc w:val="left"/>
              <w:rPr/>
            </w:pPr>
            <w:r>
              <w:rPr/>
              <w:t>     </w:t>
            </w:r>
          </w:p>
        </w:tc>
        <w:tc>
          <w:tcPr>
            <w:tcW w:w="2679"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Matthew J. DiLiberto</w:t>
            </w:r>
          </w:p>
        </w:tc>
        <w:tc>
          <w:tcPr>
            <w:tcW w:w="300" w:type="dxa"/>
            <w:tcBorders/>
            <w:shd w:fill="auto" w:val="clear"/>
            <w:tcMar>
              <w:bottom w:w="0" w:type="dxa"/>
            </w:tcMar>
            <w:vAlign w:val="center"/>
          </w:tcPr>
          <w:p>
            <w:pPr>
              <w:pStyle w:val="TableContents"/>
              <w:spacing w:before="0" w:after="283"/>
              <w:jc w:val="left"/>
              <w:rPr/>
            </w:pPr>
            <w:r>
              <w:rPr/>
              <w:t>     </w:t>
            </w:r>
          </w:p>
        </w:tc>
        <w:tc>
          <w:tcPr>
            <w:tcW w:w="2221"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Andrew S. Levine</w:t>
            </w:r>
          </w:p>
        </w:tc>
      </w:tr>
      <w:tr>
        <w:trPr/>
        <w:tc>
          <w:tcPr>
            <w:tcW w:w="1700" w:type="dxa"/>
            <w:tcBorders/>
            <w:shd w:fill="auto" w:val="clear"/>
            <w:tcMar>
              <w:bottom w:w="0" w:type="dxa"/>
            </w:tcMar>
            <w:vAlign w:val="center"/>
          </w:tcPr>
          <w:p>
            <w:pPr>
              <w:pStyle w:val="TableContents"/>
              <w:spacing w:before="0" w:after="283"/>
              <w:jc w:val="left"/>
              <w:rPr>
                <w:rFonts w:ascii="Arial" w:hAnsi="Arial"/>
                <w:b/>
                <w:color w:val="1A2343"/>
                <w:sz w:val="15"/>
              </w:rPr>
            </w:pPr>
            <w:r>
              <w:rPr>
                <w:rFonts w:ascii="Arial" w:hAnsi="Arial"/>
                <w:b/>
                <w:color w:val="1A2343"/>
                <w:sz w:val="15"/>
              </w:rPr>
              <w:t>Post-Change-in-Control</w:t>
              <w:br/>
              <w:t>Compensation</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8205" w:type="dxa"/>
            <w:gridSpan w:val="7"/>
            <w:tcBorders>
              <w:bottom w:val="single" w:sz="8" w:space="0" w:color="5B5975"/>
            </w:tcBorders>
            <w:shd w:fill="auto" w:val="clear"/>
            <w:vAlign w:val="center"/>
          </w:tcPr>
          <w:p>
            <w:pPr>
              <w:pStyle w:val="TableContents"/>
              <w:spacing w:before="0" w:after="283"/>
              <w:jc w:val="left"/>
              <w:rPr>
                <w:rFonts w:ascii="Arial" w:hAnsi="Arial"/>
                <w:sz w:val="15"/>
              </w:rPr>
            </w:pPr>
            <w:r>
              <w:rPr>
                <w:rFonts w:ascii="Arial" w:hAnsi="Arial"/>
                <w:sz w:val="15"/>
              </w:rPr>
              <w:t>Upon a Change-in-Control, for pro-rata payments, and while employed for periods following a Change-in-Control, in lieu of the base salary, annual bonus, and the equity awards described above, each executive will be entitled to the following:</w:t>
            </w:r>
          </w:p>
        </w:tc>
      </w:tr>
      <w:tr>
        <w:trPr/>
        <w:tc>
          <w:tcPr>
            <w:tcW w:w="1700"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705" w:type="dxa"/>
            <w:gridSpan w:val="3"/>
            <w:tcBorders>
              <w:bottom w:val="single" w:sz="12" w:space="0" w:color="1A2343"/>
            </w:tcBorders>
            <w:shd w:fill="auto" w:val="clear"/>
            <w:vAlign w:val="center"/>
          </w:tcPr>
          <w:p>
            <w:pPr>
              <w:pStyle w:val="TableContents"/>
              <w:spacing w:before="0" w:after="0"/>
              <w:ind w:left="0" w:right="0" w:hanging="260"/>
              <w:jc w:val="left"/>
              <w:rPr/>
            </w:pPr>
            <w:r>
              <w:rPr/>
              <w:t>●</w:t>
            </w:r>
            <w:r>
              <w:rPr>
                <w:rFonts w:ascii="Arial" w:hAnsi="Arial"/>
                <w:sz w:val="15"/>
              </w:rPr>
              <w:t>Pro-rata bonus based on average annual bonus for prior two years and pro-rata portion of target value of annual time-based award for partial year prior to Change-in-Control</w:t>
            </w:r>
          </w:p>
          <w:p>
            <w:pPr>
              <w:pStyle w:val="TableContents"/>
              <w:spacing w:before="0" w:after="0"/>
              <w:ind w:left="0" w:right="0" w:hanging="260"/>
              <w:jc w:val="left"/>
              <w:rPr/>
            </w:pPr>
            <w:r>
              <w:rPr/>
              <w:t>●</w:t>
            </w:r>
            <w:r>
              <w:rPr>
                <w:rFonts w:ascii="Arial" w:hAnsi="Arial"/>
                <w:sz w:val="15"/>
              </w:rPr>
              <w:t>Annual cash salary equal to the sum of prior base salary, prior year cash bonus and target value of annual time-based and performance-based equity awards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5200" w:type="dxa"/>
            <w:gridSpan w:val="3"/>
            <w:tcBorders>
              <w:bottom w:val="single" w:sz="12" w:space="0" w:color="1A2343"/>
            </w:tcBorders>
            <w:shd w:fill="auto" w:val="clear"/>
            <w:vAlign w:val="center"/>
          </w:tcPr>
          <w:p>
            <w:pPr>
              <w:pStyle w:val="TableContents"/>
              <w:spacing w:before="0" w:after="0"/>
              <w:ind w:left="0" w:right="0" w:hanging="260"/>
              <w:jc w:val="left"/>
              <w:rPr/>
            </w:pPr>
            <w:r>
              <w:rPr/>
              <w:t>●</w:t>
            </w:r>
            <w:r>
              <w:rPr>
                <w:rFonts w:ascii="Arial" w:hAnsi="Arial"/>
                <w:sz w:val="15"/>
              </w:rPr>
              <w:t>Pro-rata bonus for partial year prior to Change-in-Control based on average annual bonus for prior two years (Levine) or prior three years (DiLiberto)</w:t>
            </w:r>
          </w:p>
          <w:p>
            <w:pPr>
              <w:pStyle w:val="TableContents"/>
              <w:spacing w:before="0" w:after="0"/>
              <w:ind w:left="0" w:right="0" w:hanging="260"/>
              <w:jc w:val="left"/>
              <w:rPr/>
            </w:pPr>
            <w:r>
              <w:rPr/>
              <w:t>●</w:t>
            </w:r>
            <w:r>
              <w:rPr>
                <w:rFonts w:ascii="Arial" w:hAnsi="Arial"/>
                <w:sz w:val="15"/>
              </w:rPr>
              <w:t>Annual cash salary equal to the sum of prior base salary, prior year cash bonus (or average of three prior fiscal year cash bonuses, for DiLiberto) and, beginning in the year following the most recent grant of a time-based equity award, target value of annual time-based equity awards</w:t>
            </w:r>
          </w:p>
        </w:tc>
      </w:tr>
      <w:tr>
        <w:trPr/>
        <w:tc>
          <w:tcPr>
            <w:tcW w:w="1700" w:type="dxa"/>
            <w:tcBorders/>
            <w:shd w:fill="auto" w:val="clear"/>
            <w:tcMar>
              <w:bottom w:w="0" w:type="dxa"/>
            </w:tcMar>
            <w:vAlign w:val="center"/>
          </w:tcPr>
          <w:p>
            <w:pPr>
              <w:pStyle w:val="TableContents"/>
              <w:spacing w:before="0" w:after="283"/>
              <w:jc w:val="left"/>
              <w:rPr>
                <w:rFonts w:ascii="Arial" w:hAnsi="Arial"/>
                <w:b/>
                <w:color w:val="1A2343"/>
                <w:sz w:val="15"/>
              </w:rPr>
            </w:pPr>
            <w:r>
              <w:rPr>
                <w:rFonts w:ascii="Arial" w:hAnsi="Arial"/>
                <w:b/>
                <w:color w:val="1A2343"/>
                <w:sz w:val="15"/>
              </w:rPr>
              <w:t>Restrictive Covenants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8205" w:type="dxa"/>
            <w:gridSpan w:val="7"/>
            <w:tcBorders/>
            <w:shd w:fill="auto" w:val="clear"/>
            <w:tcMar>
              <w:bottom w:w="0" w:type="dxa"/>
            </w:tcMar>
            <w:vAlign w:val="center"/>
          </w:tcPr>
          <w:p>
            <w:pPr>
              <w:pStyle w:val="TableContents"/>
              <w:spacing w:before="0" w:after="283"/>
              <w:jc w:val="left"/>
              <w:rPr>
                <w:rFonts w:ascii="Arial" w:hAnsi="Arial"/>
                <w:sz w:val="15"/>
              </w:rPr>
            </w:pPr>
            <w:r>
              <w:rPr>
                <w:rFonts w:ascii="Arial" w:hAnsi="Arial"/>
                <w:sz w:val="15"/>
              </w:rPr>
              <w:t>The executive agreed to the following covenants:</w:t>
            </w:r>
          </w:p>
        </w:tc>
      </w:tr>
      <w:tr>
        <w:trPr/>
        <w:tc>
          <w:tcPr>
            <w:tcW w:w="1700"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705" w:type="dxa"/>
            <w:gridSpan w:val="3"/>
            <w:tcBorders>
              <w:top w:val="single" w:sz="8" w:space="0" w:color="5B5975"/>
              <w:bottom w:val="single" w:sz="12" w:space="0" w:color="1A2343"/>
            </w:tcBorders>
            <w:shd w:fill="auto" w:val="clear"/>
            <w:tcMar>
              <w:top w:w="40" w:type="dxa"/>
            </w:tcMar>
            <w:vAlign w:val="center"/>
          </w:tcPr>
          <w:p>
            <w:pPr>
              <w:pStyle w:val="TableContents"/>
              <w:spacing w:before="0" w:after="283"/>
              <w:jc w:val="left"/>
              <w:rPr>
                <w:rFonts w:ascii="Arial" w:hAnsi="Arial"/>
                <w:sz w:val="15"/>
              </w:rPr>
            </w:pPr>
            <w:r>
              <w:rPr>
                <w:rFonts w:ascii="Arial" w:hAnsi="Arial"/>
                <w:sz w:val="15"/>
              </w:rPr>
              <w:t>Noncompetition with us for 12 months following termination (6 months if employment is terminated in connection with or within 18 months after a Change-in-Control). Non-solicitation, non-disparagement, non-interference and litigation cooperation covenants also apply.</w:t>
            </w:r>
          </w:p>
        </w:tc>
        <w:tc>
          <w:tcPr>
            <w:tcW w:w="300" w:type="dxa"/>
            <w:tcBorders>
              <w:top w:val="single" w:sz="8" w:space="0" w:color="5B5975"/>
            </w:tcBorders>
            <w:shd w:fill="auto" w:val="clear"/>
            <w:tcMar>
              <w:top w:w="40" w:type="dxa"/>
              <w:bottom w:w="0" w:type="dxa"/>
            </w:tcMar>
            <w:vAlign w:val="center"/>
          </w:tcPr>
          <w:p>
            <w:pPr>
              <w:pStyle w:val="TableContents"/>
              <w:spacing w:before="0" w:after="283"/>
              <w:rPr>
                <w:sz w:val="4"/>
                <w:szCs w:val="4"/>
              </w:rPr>
            </w:pPr>
            <w:r>
              <w:rPr>
                <w:sz w:val="4"/>
                <w:szCs w:val="4"/>
              </w:rPr>
            </w:r>
          </w:p>
        </w:tc>
        <w:tc>
          <w:tcPr>
            <w:tcW w:w="2679" w:type="dxa"/>
            <w:tcBorders>
              <w:top w:val="single" w:sz="8" w:space="0" w:color="5B5975"/>
              <w:bottom w:val="single" w:sz="12" w:space="0" w:color="1A2343"/>
            </w:tcBorders>
            <w:shd w:fill="auto" w:val="clear"/>
            <w:tcMar>
              <w:top w:w="40" w:type="dxa"/>
            </w:tcMar>
            <w:vAlign w:val="center"/>
          </w:tcPr>
          <w:p>
            <w:pPr>
              <w:pStyle w:val="TableContents"/>
              <w:spacing w:before="0" w:after="283"/>
              <w:jc w:val="left"/>
              <w:rPr>
                <w:rFonts w:ascii="Arial" w:hAnsi="Arial"/>
                <w:sz w:val="15"/>
              </w:rPr>
            </w:pPr>
            <w:r>
              <w:rPr>
                <w:rFonts w:ascii="Arial" w:hAnsi="Arial"/>
                <w:sz w:val="15"/>
              </w:rPr>
              <w:t>Noncompetition with us for 6 months after termination, including upon non-renewal of the agreement, provided that if termination occurs upon or following the term, entitled to receive 6 months of salary and bonus. Non-solicitation, non-disparagement, non-interference and litigation cooperation covenants also apply.</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2221" w:type="dxa"/>
            <w:tcBorders>
              <w:top w:val="single" w:sz="8" w:space="0" w:color="5B5975"/>
              <w:bottom w:val="single" w:sz="12" w:space="0" w:color="1A2343"/>
            </w:tcBorders>
            <w:shd w:fill="auto" w:val="clear"/>
            <w:tcMar>
              <w:top w:w="40" w:type="dxa"/>
            </w:tcMar>
            <w:vAlign w:val="center"/>
          </w:tcPr>
          <w:p>
            <w:pPr>
              <w:pStyle w:val="TableContents"/>
              <w:spacing w:before="0" w:after="283"/>
              <w:jc w:val="left"/>
              <w:rPr>
                <w:rFonts w:ascii="Arial" w:hAnsi="Arial"/>
                <w:sz w:val="15"/>
              </w:rPr>
            </w:pPr>
            <w:r>
              <w:rPr>
                <w:rFonts w:ascii="Arial" w:hAnsi="Arial"/>
                <w:sz w:val="15"/>
              </w:rPr>
              <w:t>Noncompetition with us for 6 months after termination unless employment is terminated upon non-renewal of the agreement. Non-solicitation, non-disparagement, non-interference and litigation cooperation covenants also apply.</w:t>
            </w:r>
          </w:p>
        </w:tc>
      </w:tr>
    </w:tbl>
    <w:tbl>
      <w:tblPr>
        <w:tblW w:w="10205" w:type="dxa"/>
        <w:jc w:val="left"/>
        <w:tblInd w:w="0" w:type="dxa"/>
        <w:tblCellMar>
          <w:top w:w="0" w:type="dxa"/>
          <w:left w:w="0" w:type="dxa"/>
          <w:bottom w:w="0" w:type="dxa"/>
          <w:right w:w="0" w:type="dxa"/>
        </w:tblCellMar>
      </w:tblPr>
      <w:tblGrid>
        <w:gridCol w:w="175"/>
        <w:gridCol w:w="10030"/>
      </w:tblGrid>
      <w:tr>
        <w:trPr/>
        <w:tc>
          <w:tcPr>
            <w:tcW w:w="175"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 </w:t>
            </w:r>
          </w:p>
        </w:tc>
        <w:tc>
          <w:tcPr>
            <w:tcW w:w="10030" w:type="dxa"/>
            <w:tcBorders/>
            <w:shd w:fill="auto" w:val="clear"/>
            <w:vAlign w:val="center"/>
          </w:tcPr>
          <w:p>
            <w:pPr>
              <w:pStyle w:val="TableContents"/>
              <w:spacing w:before="0" w:after="283"/>
              <w:jc w:val="left"/>
              <w:rPr>
                <w:rFonts w:ascii="Arial" w:hAnsi="Arial"/>
                <w:sz w:val="15"/>
              </w:rPr>
            </w:pPr>
            <w:r>
              <w:rPr>
                <w:rFonts w:ascii="Arial" w:hAnsi="Arial"/>
                <w:sz w:val="15"/>
              </w:rPr>
              <w:t>The terms automatically renew for one year for Messrs. Holliday and Mathias, unless either party provides advance written notice of non-renewal.</w:t>
            </w:r>
          </w:p>
        </w:tc>
      </w:tr>
      <w:tr>
        <w:trPr/>
        <w:tc>
          <w:tcPr>
            <w:tcW w:w="175" w:type="dxa"/>
            <w:tcBorders/>
            <w:shd w:fill="auto" w:val="clear"/>
            <w:vAlign w:val="center"/>
          </w:tcPr>
          <w:p>
            <w:pPr>
              <w:pStyle w:val="TableContents"/>
              <w:spacing w:before="0" w:after="283"/>
              <w:jc w:val="left"/>
              <w:rPr>
                <w:rFonts w:ascii="Arial" w:hAnsi="Arial"/>
                <w:sz w:val="15"/>
              </w:rPr>
            </w:pPr>
            <w:r>
              <w:rPr>
                <w:rFonts w:ascii="Arial" w:hAnsi="Arial"/>
                <w:sz w:val="15"/>
              </w:rPr>
              <w:t xml:space="preserve">(2) </w:t>
            </w:r>
          </w:p>
        </w:tc>
        <w:tc>
          <w:tcPr>
            <w:tcW w:w="10030" w:type="dxa"/>
            <w:tcBorders/>
            <w:shd w:fill="auto" w:val="clear"/>
            <w:vAlign w:val="center"/>
          </w:tcPr>
          <w:p>
            <w:pPr>
              <w:pStyle w:val="TableContents"/>
              <w:spacing w:before="0" w:after="283"/>
              <w:jc w:val="left"/>
              <w:rPr>
                <w:rFonts w:ascii="Arial" w:hAnsi="Arial"/>
                <w:sz w:val="15"/>
              </w:rPr>
            </w:pPr>
            <w:r>
              <w:rPr>
                <w:rFonts w:ascii="Arial" w:hAnsi="Arial"/>
                <w:sz w:val="15"/>
              </w:rPr>
              <w:t>Messrs. Holliday, Mathias and DiLiberto are eligible to participate in an annual formulaic cash bonus program pursuant to which they will be able to earn from 50-300% (Holliday) and 50-250% (Mathias and DiLiberto) of their base salary based on the achievement of specific goals established in advance by the Committee. For Mr. DiLiberto, only 60% of this bonus opportunity will be determined in a formulaic manner, with the remaining 40% to be determined by the Committee. Mr. Levine may be awarded a bonus in an amount determined by the Committee.</w:t>
            </w:r>
          </w:p>
        </w:tc>
      </w:tr>
      <w:tr>
        <w:trPr/>
        <w:tc>
          <w:tcPr>
            <w:tcW w:w="175" w:type="dxa"/>
            <w:tcBorders/>
            <w:shd w:fill="auto" w:val="clear"/>
            <w:vAlign w:val="center"/>
          </w:tcPr>
          <w:p>
            <w:pPr>
              <w:pStyle w:val="TableContents"/>
              <w:spacing w:before="0" w:after="283"/>
              <w:jc w:val="left"/>
              <w:rPr>
                <w:rFonts w:ascii="Arial" w:hAnsi="Arial"/>
                <w:sz w:val="15"/>
              </w:rPr>
            </w:pPr>
            <w:r>
              <w:rPr>
                <w:rFonts w:ascii="Arial" w:hAnsi="Arial"/>
                <w:sz w:val="15"/>
              </w:rPr>
              <w:t xml:space="preserve">(3) </w:t>
            </w:r>
          </w:p>
        </w:tc>
        <w:tc>
          <w:tcPr>
            <w:tcW w:w="10030" w:type="dxa"/>
            <w:tcBorders/>
            <w:shd w:fill="auto" w:val="clear"/>
            <w:vAlign w:val="center"/>
          </w:tcPr>
          <w:p>
            <w:pPr>
              <w:pStyle w:val="TableContents"/>
              <w:spacing w:before="0" w:after="283"/>
              <w:jc w:val="left"/>
              <w:rPr>
                <w:rFonts w:ascii="Arial" w:hAnsi="Arial"/>
                <w:sz w:val="15"/>
              </w:rPr>
            </w:pPr>
            <w:r>
              <w:rPr>
                <w:rFonts w:ascii="Arial" w:hAnsi="Arial"/>
                <w:sz w:val="15"/>
              </w:rPr>
              <w:t>Each of Messrs. Holliday and Mathias are entitled to receive annual awards of performance-based LTIP units with the target values set forth in the table above. See “Executive Compensation—Compensation Discussion and Analysis—Our 2022 Executive Compensation Program” for details regarding the structure of these awards for 2022. A summary of the terms applicable to these awards in connection with a termination of the executive’s employment is set forth below.</w:t>
            </w:r>
          </w:p>
        </w:tc>
      </w:tr>
      <w:tr>
        <w:trPr/>
        <w:tc>
          <w:tcPr>
            <w:tcW w:w="175" w:type="dxa"/>
            <w:tcBorders/>
            <w:shd w:fill="auto" w:val="clear"/>
            <w:vAlign w:val="center"/>
          </w:tcPr>
          <w:p>
            <w:pPr>
              <w:pStyle w:val="TableContents"/>
              <w:spacing w:before="0" w:after="283"/>
              <w:jc w:val="left"/>
              <w:rPr>
                <w:rFonts w:ascii="Arial" w:hAnsi="Arial"/>
                <w:sz w:val="15"/>
              </w:rPr>
            </w:pPr>
            <w:r>
              <w:rPr>
                <w:rFonts w:ascii="Arial" w:hAnsi="Arial"/>
                <w:sz w:val="15"/>
              </w:rPr>
              <w:t xml:space="preserve">(4) </w:t>
            </w:r>
          </w:p>
        </w:tc>
        <w:tc>
          <w:tcPr>
            <w:tcW w:w="10030" w:type="dxa"/>
            <w:tcBorders/>
            <w:shd w:fill="auto" w:val="clear"/>
            <w:vAlign w:val="center"/>
          </w:tcPr>
          <w:p>
            <w:pPr>
              <w:pStyle w:val="TableContents"/>
              <w:spacing w:before="0" w:after="283"/>
              <w:jc w:val="left"/>
              <w:rPr>
                <w:rFonts w:ascii="Arial" w:hAnsi="Arial"/>
                <w:sz w:val="15"/>
              </w:rPr>
            </w:pPr>
            <w:r>
              <w:rPr>
                <w:rFonts w:ascii="Arial" w:hAnsi="Arial"/>
                <w:sz w:val="15"/>
              </w:rPr>
              <w:t>Each executive is eligible to receive an annual grant of LTIP units subject to time-based vesting conditions. See “Executive Compensation—Compensation Discussion and Analysis—Our 2022 Executive Compensation Program” for details regarding the structure of these awards for 2022. A summary of the terms applicable to these awards in connection with a termination of the executive’s employment is set forth below.</w:t>
            </w:r>
          </w:p>
        </w:tc>
      </w:tr>
      <w:tr>
        <w:trPr/>
        <w:tc>
          <w:tcPr>
            <w:tcW w:w="175" w:type="dxa"/>
            <w:tcBorders/>
            <w:shd w:fill="auto" w:val="clear"/>
            <w:vAlign w:val="center"/>
          </w:tcPr>
          <w:p>
            <w:pPr>
              <w:pStyle w:val="TableContents"/>
              <w:spacing w:before="0" w:after="283"/>
              <w:jc w:val="left"/>
              <w:rPr>
                <w:rFonts w:ascii="Arial" w:hAnsi="Arial"/>
                <w:sz w:val="15"/>
              </w:rPr>
            </w:pPr>
            <w:r>
              <w:rPr>
                <w:rFonts w:ascii="Arial" w:hAnsi="Arial"/>
                <w:sz w:val="15"/>
              </w:rPr>
              <w:t xml:space="preserve">(5) </w:t>
            </w:r>
          </w:p>
        </w:tc>
        <w:tc>
          <w:tcPr>
            <w:tcW w:w="10030" w:type="dxa"/>
            <w:tcBorders/>
            <w:shd w:fill="auto" w:val="clear"/>
            <w:vAlign w:val="center"/>
          </w:tcPr>
          <w:p>
            <w:pPr>
              <w:pStyle w:val="TableContents"/>
              <w:spacing w:before="0" w:after="283"/>
              <w:jc w:val="left"/>
              <w:rPr>
                <w:rFonts w:ascii="Arial" w:hAnsi="Arial"/>
                <w:sz w:val="15"/>
              </w:rPr>
            </w:pPr>
            <w:r>
              <w:rPr>
                <w:rFonts w:ascii="Arial" w:hAnsi="Arial"/>
                <w:sz w:val="15"/>
              </w:rPr>
              <w:t>Performance-based equity awards will be treated in accordance with their terms. See table below for relevant terms to be included in performance-based LTIP units granted pursuant to the employment agreements.</w:t>
            </w:r>
          </w:p>
        </w:tc>
      </w:tr>
      <w:tr>
        <w:trPr/>
        <w:tc>
          <w:tcPr>
            <w:tcW w:w="175" w:type="dxa"/>
            <w:tcBorders/>
            <w:shd w:fill="auto" w:val="clear"/>
            <w:vAlign w:val="center"/>
          </w:tcPr>
          <w:p>
            <w:pPr>
              <w:pStyle w:val="TableContents"/>
              <w:spacing w:before="0" w:after="283"/>
              <w:jc w:val="left"/>
              <w:rPr>
                <w:rFonts w:ascii="Arial" w:hAnsi="Arial"/>
                <w:sz w:val="15"/>
              </w:rPr>
            </w:pPr>
            <w:r>
              <w:rPr>
                <w:rFonts w:ascii="Arial" w:hAnsi="Arial"/>
                <w:sz w:val="15"/>
              </w:rPr>
              <w:t xml:space="preserve">(6) </w:t>
            </w:r>
          </w:p>
        </w:tc>
        <w:tc>
          <w:tcPr>
            <w:tcW w:w="10030" w:type="dxa"/>
            <w:tcBorders/>
            <w:shd w:fill="auto" w:val="clear"/>
            <w:vAlign w:val="center"/>
          </w:tcPr>
          <w:p>
            <w:pPr>
              <w:pStyle w:val="TableContents"/>
              <w:spacing w:before="0" w:after="283"/>
              <w:jc w:val="left"/>
              <w:rPr>
                <w:rFonts w:ascii="Arial" w:hAnsi="Arial"/>
                <w:sz w:val="15"/>
              </w:rPr>
            </w:pPr>
            <w:r>
              <w:rPr>
                <w:rFonts w:ascii="Arial" w:hAnsi="Arial"/>
                <w:sz w:val="15"/>
              </w:rPr>
              <w:t>In the event that any payment or benefit constitutes an excess “parachute payment” under Section 280G of the IRC subject to an excise tax, the executive will not be entitled to a tax gross-up payment; however, the executive’s payments and benefits would be reduced to the extent necessary to avoid such excise taxes, but only if such a reduction of pay or benefits would result in a greater after-tax benefit to the executive.</w:t>
            </w:r>
          </w:p>
        </w:tc>
      </w:tr>
      <w:tr>
        <w:trPr/>
        <w:tc>
          <w:tcPr>
            <w:tcW w:w="175" w:type="dxa"/>
            <w:tcBorders/>
            <w:shd w:fill="auto" w:val="clear"/>
            <w:vAlign w:val="center"/>
          </w:tcPr>
          <w:p>
            <w:pPr>
              <w:pStyle w:val="TableContents"/>
              <w:spacing w:before="0" w:after="283"/>
              <w:jc w:val="left"/>
              <w:rPr>
                <w:rFonts w:ascii="Arial" w:hAnsi="Arial"/>
                <w:sz w:val="15"/>
              </w:rPr>
            </w:pPr>
            <w:r>
              <w:rPr>
                <w:rFonts w:ascii="Arial" w:hAnsi="Arial"/>
                <w:sz w:val="15"/>
              </w:rPr>
              <w:t xml:space="preserve">(7) </w:t>
            </w:r>
          </w:p>
        </w:tc>
        <w:tc>
          <w:tcPr>
            <w:tcW w:w="10030" w:type="dxa"/>
            <w:tcBorders/>
            <w:shd w:fill="auto" w:val="clear"/>
            <w:vAlign w:val="center"/>
          </w:tcPr>
          <w:p>
            <w:pPr>
              <w:pStyle w:val="TableContents"/>
              <w:spacing w:before="0" w:after="283"/>
              <w:jc w:val="left"/>
              <w:rPr>
                <w:rFonts w:ascii="Arial" w:hAnsi="Arial"/>
                <w:sz w:val="15"/>
              </w:rPr>
            </w:pPr>
            <w:r>
              <w:rPr>
                <w:rFonts w:ascii="Arial" w:hAnsi="Arial"/>
                <w:sz w:val="15"/>
              </w:rPr>
              <w:t>Under Mr. DiLiberto’s prior employment agreement, the following terms would have applied: full acceleration of vesting of any unvested equity awards granted in lieu of cash bonuses and 12 months of additional vesting of other outstanding equity awards (other than annual performance-based awards).</w:t>
            </w:r>
          </w:p>
        </w:tc>
      </w:tr>
    </w:tbl>
    <w:p>
      <w:pPr>
        <w:pStyle w:val="TextBody"/>
        <w:spacing w:before="240" w:after="283"/>
        <w:jc w:val="left"/>
        <w:rPr>
          <w:rFonts w:ascii="Arial" w:hAnsi="Arial"/>
          <w:sz w:val="20"/>
        </w:rPr>
      </w:pPr>
      <w:r>
        <w:rPr>
          <w:rFonts w:ascii="Arial" w:hAnsi="Arial"/>
          <w:sz w:val="20"/>
        </w:rPr>
        <w:t>The terms Cause, Good Reason and Change-in-Control, as used above, are specifically defined in each executive’s employment agreement. For Messrs. Holliday and Mathias, the term Cause is defined to include a non-renewal of the term of the employment agreement, provided that the cash severance multiple in such instance would be 1.0x instead of 2.0x for Mr. Holliday and 1.5x for Mr. Mathias. The summary above is qualified in its entirety by reference to the copies of the employment agreements with our named executive officers, which have been previously filed by us with the SEC, and are incorporated herein by reference.</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500" w:type="dxa"/>
        <w:jc w:val="left"/>
        <w:tblInd w:w="0" w:type="dxa"/>
        <w:tblCellMar>
          <w:top w:w="0" w:type="dxa"/>
          <w:left w:w="0" w:type="dxa"/>
          <w:bottom w:w="0" w:type="dxa"/>
          <w:right w:w="0" w:type="dxa"/>
        </w:tblCellMar>
      </w:tblPr>
      <w:tblGrid>
        <w:gridCol w:w="2210"/>
        <w:gridCol w:w="290"/>
      </w:tblGrid>
      <w:tr>
        <w:trPr/>
        <w:tc>
          <w:tcPr>
            <w:tcW w:w="2210" w:type="dxa"/>
            <w:tcBorders/>
            <w:shd w:fill="auto" w:val="clear"/>
            <w:vAlign w:val="center"/>
          </w:tcPr>
          <w:p>
            <w:pPr>
              <w:pStyle w:val="TableContents"/>
              <w:spacing w:before="0" w:after="283"/>
              <w:jc w:val="left"/>
              <w:rPr>
                <w:rFonts w:ascii="Arial" w:hAnsi="Arial"/>
                <w:sz w:val="15"/>
              </w:rPr>
            </w:pPr>
            <w:r>
              <w:rPr>
                <w:rFonts w:ascii="Arial" w:hAnsi="Arial"/>
                <w:b/>
                <w:sz w:val="15"/>
              </w:rPr>
              <w:t>EXECUTIVE COMPENSATION</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73</w:t>
            </w:r>
          </w:p>
        </w:tc>
      </w:tr>
    </w:tbl>
    <w:p>
      <w:pPr>
        <w:pStyle w:val="TextBody"/>
        <w:spacing w:before="240" w:after="283"/>
        <w:jc w:val="left"/>
        <w:rPr>
          <w:rFonts w:ascii="Arial" w:hAnsi="Arial"/>
          <w:b/>
          <w:i w:val="false"/>
          <w:caps w:val="false"/>
          <w:smallCaps w:val="false"/>
          <w:color w:val="8EAD3C"/>
          <w:sz w:val="22"/>
        </w:rPr>
      </w:pPr>
      <w:r>
        <w:rPr>
          <w:rFonts w:ascii="Arial" w:hAnsi="Arial"/>
          <w:b/>
          <w:i w:val="false"/>
          <w:caps w:val="false"/>
          <w:smallCaps w:val="false"/>
          <w:color w:val="8EAD3C"/>
          <w:sz w:val="22"/>
        </w:rPr>
        <w:t>Performance-Based Equity Awards</w:t>
      </w:r>
    </w:p>
    <w:p>
      <w:pPr>
        <w:pStyle w:val="TextBody"/>
        <w:jc w:val="left"/>
        <w:rPr>
          <w:rFonts w:ascii="Arial" w:hAnsi="Arial"/>
          <w:sz w:val="20"/>
        </w:rPr>
      </w:pPr>
      <w:r>
        <w:rPr>
          <w:rFonts w:ascii="Arial" w:hAnsi="Arial"/>
          <w:sz w:val="20"/>
        </w:rPr>
        <w:t>The table below summarizes the treatment of our annual performance-based equity awards, including those granted in 2021 and 2022 that were outstanding at December 31, 2022 (the “Annual Performance-Based Awards”), in connection with a change-in-control and various hypothetical termination scenarios for our named executive officers.</w:t>
      </w:r>
    </w:p>
    <w:tbl>
      <w:tblPr>
        <w:tblW w:w="10205" w:type="dxa"/>
        <w:jc w:val="left"/>
        <w:tblInd w:w="0" w:type="dxa"/>
        <w:tblCellMar>
          <w:top w:w="0" w:type="dxa"/>
          <w:left w:w="0" w:type="dxa"/>
          <w:bottom w:w="40" w:type="dxa"/>
          <w:right w:w="0" w:type="dxa"/>
        </w:tblCellMar>
      </w:tblPr>
      <w:tblGrid>
        <w:gridCol w:w="934"/>
        <w:gridCol w:w="300"/>
        <w:gridCol w:w="2452"/>
        <w:gridCol w:w="300"/>
        <w:gridCol w:w="2573"/>
        <w:gridCol w:w="300"/>
        <w:gridCol w:w="3346"/>
      </w:tblGrid>
      <w:tr>
        <w:trPr/>
        <w:tc>
          <w:tcPr>
            <w:tcW w:w="10205" w:type="dxa"/>
            <w:gridSpan w:val="7"/>
            <w:tcBorders>
              <w:bottom w:val="single" w:sz="12" w:space="0" w:color="1A2343"/>
            </w:tcBorders>
            <w:shd w:fill="auto" w:val="clear"/>
            <w:vAlign w:val="center"/>
          </w:tcPr>
          <w:p>
            <w:pPr>
              <w:pStyle w:val="TableContents"/>
              <w:spacing w:before="0" w:after="283"/>
              <w:jc w:val="center"/>
              <w:rPr/>
            </w:pPr>
            <w:r>
              <w:rPr>
                <w:color w:val="1A2343"/>
              </w:rPr>
              <w:t> </w:t>
            </w:r>
            <w:r>
              <w:rPr>
                <w:rFonts w:ascii="Arial" w:hAnsi="Arial"/>
                <w:color w:val="1A2343"/>
                <w:sz w:val="15"/>
              </w:rPr>
              <w:t>Annual Performance-Based Awards</w:t>
            </w:r>
            <w:r>
              <w:rPr/>
              <w:t xml:space="preserve"> </w:t>
            </w:r>
          </w:p>
        </w:tc>
      </w:tr>
      <w:tr>
        <w:trPr/>
        <w:tc>
          <w:tcPr>
            <w:tcW w:w="934"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300" w:type="dxa"/>
            <w:tcBorders>
              <w:bottom w:val="single" w:sz="8" w:space="0" w:color="5B5975"/>
            </w:tcBorders>
            <w:shd w:fill="auto" w:val="clear"/>
            <w:vAlign w:val="center"/>
          </w:tcPr>
          <w:p>
            <w:pPr>
              <w:pStyle w:val="TableContents"/>
              <w:spacing w:before="0" w:after="283"/>
              <w:jc w:val="left"/>
              <w:rPr/>
            </w:pPr>
            <w:r>
              <w:rPr/>
              <w:t>     </w:t>
            </w:r>
          </w:p>
        </w:tc>
        <w:tc>
          <w:tcPr>
            <w:tcW w:w="2452" w:type="dxa"/>
            <w:tcBorders>
              <w:bottom w:val="single" w:sz="8" w:space="0" w:color="5B5975"/>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Change-in-Control (“CiC”)</w:t>
            </w:r>
          </w:p>
        </w:tc>
        <w:tc>
          <w:tcPr>
            <w:tcW w:w="300" w:type="dxa"/>
            <w:tcBorders>
              <w:bottom w:val="single" w:sz="8" w:space="0" w:color="5B5975"/>
            </w:tcBorders>
            <w:shd w:fill="auto" w:val="clear"/>
            <w:vAlign w:val="center"/>
          </w:tcPr>
          <w:p>
            <w:pPr>
              <w:pStyle w:val="TableContents"/>
              <w:spacing w:before="0" w:after="283"/>
              <w:jc w:val="left"/>
              <w:rPr/>
            </w:pPr>
            <w:r>
              <w:rPr/>
              <w:t>     </w:t>
            </w:r>
          </w:p>
        </w:tc>
        <w:tc>
          <w:tcPr>
            <w:tcW w:w="2573" w:type="dxa"/>
            <w:tcBorders>
              <w:bottom w:val="single" w:sz="8" w:space="0" w:color="5B5975"/>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Change-in-Control &amp; Termination</w:t>
              <w:br/>
              <w:t>Without Cause or For Good Reason</w:t>
            </w:r>
            <w:r>
              <w:rPr>
                <w:rFonts w:ascii="Arial" w:hAnsi="Arial"/>
                <w:color w:val="1A2343"/>
                <w:position w:val="5"/>
                <w:sz w:val="12"/>
                <w:sz w:val="15"/>
              </w:rPr>
              <w:t>(1)</w:t>
            </w:r>
          </w:p>
        </w:tc>
        <w:tc>
          <w:tcPr>
            <w:tcW w:w="300" w:type="dxa"/>
            <w:tcBorders>
              <w:bottom w:val="single" w:sz="8" w:space="0" w:color="5B5975"/>
            </w:tcBorders>
            <w:shd w:fill="auto" w:val="clear"/>
            <w:vAlign w:val="center"/>
          </w:tcPr>
          <w:p>
            <w:pPr>
              <w:pStyle w:val="TableContents"/>
              <w:spacing w:before="0" w:after="283"/>
              <w:jc w:val="left"/>
              <w:rPr/>
            </w:pPr>
            <w:r>
              <w:rPr/>
              <w:t>     </w:t>
            </w:r>
          </w:p>
        </w:tc>
        <w:tc>
          <w:tcPr>
            <w:tcW w:w="3346" w:type="dxa"/>
            <w:tcBorders>
              <w:bottom w:val="single" w:sz="8" w:space="0" w:color="5B5975"/>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Death/Disability &amp; Termination</w:t>
              <w:br/>
              <w:t>Without Cause or For Good Reason</w:t>
            </w:r>
            <w:r>
              <w:rPr>
                <w:rFonts w:ascii="Arial" w:hAnsi="Arial"/>
                <w:color w:val="1A2343"/>
                <w:position w:val="5"/>
                <w:sz w:val="12"/>
                <w:sz w:val="15"/>
              </w:rPr>
              <w:t>(1)</w:t>
            </w:r>
          </w:p>
        </w:tc>
      </w:tr>
      <w:tr>
        <w:trPr/>
        <w:tc>
          <w:tcPr>
            <w:tcW w:w="934" w:type="dxa"/>
            <w:tcBorders>
              <w:bottom w:val="single" w:sz="8" w:space="0" w:color="5B5975"/>
            </w:tcBorders>
            <w:shd w:fill="auto" w:val="clear"/>
            <w:tcMar>
              <w:bottom w:w="120" w:type="dxa"/>
            </w:tcMar>
            <w:vAlign w:val="center"/>
          </w:tcPr>
          <w:p>
            <w:pPr>
              <w:pStyle w:val="TableContents"/>
              <w:spacing w:before="0" w:after="283"/>
              <w:jc w:val="left"/>
              <w:rPr>
                <w:rFonts w:ascii="Arial" w:hAnsi="Arial"/>
                <w:b/>
                <w:i w:val="false"/>
                <w:caps w:val="false"/>
                <w:smallCaps w:val="false"/>
                <w:color w:val="1A2343"/>
                <w:sz w:val="20"/>
              </w:rPr>
            </w:pPr>
            <w:r>
              <w:rPr>
                <w:rFonts w:ascii="Arial" w:hAnsi="Arial"/>
                <w:b/>
                <w:i w:val="false"/>
                <w:caps w:val="false"/>
                <w:smallCaps w:val="false"/>
                <w:color w:val="1A2343"/>
                <w:sz w:val="20"/>
              </w:rPr>
              <w:t>Holliday /</w:t>
              <w:br/>
              <w:t>Mathias</w:t>
              <w:br/>
              <w:t>Awards</w:t>
            </w:r>
          </w:p>
        </w:tc>
        <w:tc>
          <w:tcPr>
            <w:tcW w:w="300" w:type="dxa"/>
            <w:tcBorders>
              <w:bottom w:val="single" w:sz="8" w:space="0" w:color="5B5975"/>
            </w:tcBorders>
            <w:shd w:fill="auto" w:val="clear"/>
            <w:tcMar>
              <w:bottom w:w="120" w:type="dxa"/>
            </w:tcMar>
            <w:vAlign w:val="center"/>
          </w:tcPr>
          <w:p>
            <w:pPr>
              <w:pStyle w:val="TableContents"/>
              <w:spacing w:before="0" w:after="283"/>
              <w:rPr>
                <w:sz w:val="4"/>
                <w:szCs w:val="4"/>
              </w:rPr>
            </w:pPr>
            <w:r>
              <w:rPr>
                <w:sz w:val="4"/>
                <w:szCs w:val="4"/>
              </w:rPr>
            </w:r>
          </w:p>
        </w:tc>
        <w:tc>
          <w:tcPr>
            <w:tcW w:w="2452" w:type="dxa"/>
            <w:tcBorders>
              <w:bottom w:val="single" w:sz="8" w:space="0" w:color="5B5975"/>
            </w:tcBorders>
            <w:shd w:fill="auto" w:val="clear"/>
            <w:tcMar>
              <w:bottom w:w="120" w:type="dxa"/>
            </w:tcMar>
            <w:vAlign w:val="center"/>
          </w:tcPr>
          <w:p>
            <w:pPr>
              <w:pStyle w:val="TableContents"/>
              <w:spacing w:before="0" w:after="0"/>
              <w:ind w:left="0" w:right="0" w:hanging="290"/>
              <w:jc w:val="left"/>
              <w:rPr/>
            </w:pPr>
            <w:r>
              <w:rPr/>
              <w:t>●</w:t>
            </w:r>
            <w:r>
              <w:rPr>
                <w:rFonts w:ascii="Arial" w:hAnsi="Arial"/>
                <w:sz w:val="20"/>
              </w:rPr>
              <w:t>If one-year performance period ends early, Operational Component deemed achieved at target, subject to Absolute TSR modifier</w:t>
            </w:r>
          </w:p>
          <w:p>
            <w:pPr>
              <w:pStyle w:val="TableContents"/>
              <w:spacing w:before="0" w:after="0"/>
              <w:ind w:left="0" w:right="0" w:hanging="290"/>
              <w:jc w:val="left"/>
              <w:rPr/>
            </w:pPr>
            <w:r>
              <w:rPr/>
              <w:t>●</w:t>
            </w:r>
            <w:r>
              <w:rPr>
                <w:rFonts w:ascii="Arial" w:hAnsi="Arial"/>
                <w:sz w:val="20"/>
              </w:rPr>
              <w:t>Relative Component determined as of date of CiC</w:t>
            </w:r>
          </w:p>
          <w:p>
            <w:pPr>
              <w:pStyle w:val="TableContents"/>
              <w:spacing w:before="0" w:after="0"/>
              <w:ind w:left="0" w:right="0" w:hanging="290"/>
              <w:jc w:val="left"/>
              <w:rPr/>
            </w:pPr>
            <w:r>
              <w:rPr/>
              <w:t>●</w:t>
            </w:r>
            <w:r>
              <w:rPr>
                <w:rFonts w:ascii="Arial" w:hAnsi="Arial"/>
                <w:sz w:val="20"/>
              </w:rPr>
              <w:t>Earned awards remain subject to time-based vesting</w:t>
            </w:r>
          </w:p>
        </w:tc>
        <w:tc>
          <w:tcPr>
            <w:tcW w:w="300" w:type="dxa"/>
            <w:tcBorders>
              <w:bottom w:val="single" w:sz="8" w:space="0" w:color="5B5975"/>
            </w:tcBorders>
            <w:shd w:fill="auto" w:val="clear"/>
            <w:tcMar>
              <w:bottom w:w="120" w:type="dxa"/>
            </w:tcMar>
            <w:vAlign w:val="center"/>
          </w:tcPr>
          <w:p>
            <w:pPr>
              <w:pStyle w:val="TableContents"/>
              <w:spacing w:before="0" w:after="283"/>
              <w:rPr>
                <w:sz w:val="4"/>
                <w:szCs w:val="4"/>
              </w:rPr>
            </w:pPr>
            <w:r>
              <w:rPr>
                <w:sz w:val="4"/>
                <w:szCs w:val="4"/>
              </w:rPr>
            </w:r>
          </w:p>
        </w:tc>
        <w:tc>
          <w:tcPr>
            <w:tcW w:w="2573" w:type="dxa"/>
            <w:tcBorders>
              <w:bottom w:val="single" w:sz="8" w:space="0" w:color="5B5975"/>
            </w:tcBorders>
            <w:shd w:fill="auto" w:val="clear"/>
            <w:tcMar>
              <w:bottom w:w="120" w:type="dxa"/>
            </w:tcMar>
            <w:vAlign w:val="center"/>
          </w:tcPr>
          <w:p>
            <w:pPr>
              <w:pStyle w:val="TableContents"/>
              <w:spacing w:before="0" w:after="0"/>
              <w:ind w:left="0" w:right="0" w:hanging="290"/>
              <w:jc w:val="left"/>
              <w:rPr/>
            </w:pPr>
            <w:r>
              <w:rPr/>
              <w:t>●</w:t>
            </w:r>
            <w:r>
              <w:rPr>
                <w:rFonts w:ascii="Arial" w:hAnsi="Arial"/>
                <w:sz w:val="20"/>
              </w:rPr>
              <w:t>If one-year performance period ends early, Operational Component deemed achieved at maximum (200%), subject to Absolute TSR modifier</w:t>
            </w:r>
          </w:p>
          <w:p>
            <w:pPr>
              <w:pStyle w:val="TableContents"/>
              <w:spacing w:before="0" w:after="0"/>
              <w:ind w:left="0" w:right="0" w:hanging="290"/>
              <w:jc w:val="left"/>
              <w:rPr/>
            </w:pPr>
            <w:r>
              <w:rPr/>
              <w:t>●</w:t>
            </w:r>
            <w:r>
              <w:rPr>
                <w:rFonts w:ascii="Arial" w:hAnsi="Arial"/>
                <w:sz w:val="20"/>
              </w:rPr>
              <w:t>Relative Component determined as of date of CiC</w:t>
            </w:r>
          </w:p>
          <w:p>
            <w:pPr>
              <w:pStyle w:val="TableContents"/>
              <w:spacing w:before="0" w:after="0"/>
              <w:ind w:left="0" w:right="0" w:hanging="290"/>
              <w:jc w:val="left"/>
              <w:rPr/>
            </w:pPr>
            <w:r>
              <w:rPr/>
              <w:t>●</w:t>
            </w:r>
            <w:r>
              <w:rPr>
                <w:rFonts w:ascii="Arial" w:hAnsi="Arial"/>
                <w:sz w:val="20"/>
              </w:rPr>
              <w:t>Earned awards vest in full</w:t>
            </w:r>
          </w:p>
        </w:tc>
        <w:tc>
          <w:tcPr>
            <w:tcW w:w="300" w:type="dxa"/>
            <w:tcBorders>
              <w:bottom w:val="single" w:sz="8" w:space="0" w:color="5B5975"/>
            </w:tcBorders>
            <w:shd w:fill="auto" w:val="clear"/>
            <w:tcMar>
              <w:bottom w:w="120" w:type="dxa"/>
            </w:tcMar>
            <w:vAlign w:val="center"/>
          </w:tcPr>
          <w:p>
            <w:pPr>
              <w:pStyle w:val="TableContents"/>
              <w:spacing w:before="0" w:after="283"/>
              <w:rPr>
                <w:sz w:val="4"/>
                <w:szCs w:val="4"/>
              </w:rPr>
            </w:pPr>
            <w:r>
              <w:rPr>
                <w:sz w:val="4"/>
                <w:szCs w:val="4"/>
              </w:rPr>
            </w:r>
          </w:p>
        </w:tc>
        <w:tc>
          <w:tcPr>
            <w:tcW w:w="3346" w:type="dxa"/>
            <w:tcBorders>
              <w:bottom w:val="single" w:sz="8" w:space="0" w:color="5B5975"/>
            </w:tcBorders>
            <w:shd w:fill="auto" w:val="clear"/>
            <w:tcMar>
              <w:bottom w:w="120" w:type="dxa"/>
            </w:tcMar>
            <w:vAlign w:val="center"/>
          </w:tcPr>
          <w:p>
            <w:pPr>
              <w:pStyle w:val="TableContents"/>
              <w:spacing w:before="0" w:after="0"/>
              <w:ind w:left="0" w:right="0" w:hanging="290"/>
              <w:jc w:val="left"/>
              <w:rPr/>
            </w:pPr>
            <w:r>
              <w:rPr/>
              <w:t>●</w:t>
            </w:r>
            <w:r>
              <w:rPr>
                <w:rFonts w:ascii="Arial" w:hAnsi="Arial"/>
                <w:sz w:val="20"/>
              </w:rPr>
              <w:t>Performance calculated as of end of performance period</w:t>
            </w:r>
          </w:p>
          <w:p>
            <w:pPr>
              <w:pStyle w:val="TableContents"/>
              <w:spacing w:before="0" w:after="0"/>
              <w:ind w:left="0" w:right="0" w:hanging="290"/>
              <w:jc w:val="left"/>
              <w:rPr/>
            </w:pPr>
            <w:r>
              <w:rPr/>
              <w:t>●</w:t>
            </w:r>
            <w:r>
              <w:rPr>
                <w:rFonts w:ascii="Arial" w:hAnsi="Arial"/>
                <w:sz w:val="20"/>
              </w:rPr>
              <w:t>Earned awards fully vested</w:t>
            </w:r>
          </w:p>
        </w:tc>
      </w:tr>
      <w:tr>
        <w:trPr/>
        <w:tc>
          <w:tcPr>
            <w:tcW w:w="934" w:type="dxa"/>
            <w:tcBorders>
              <w:bottom w:val="single" w:sz="8" w:space="0" w:color="5B5975"/>
            </w:tcBorders>
            <w:shd w:fill="auto" w:val="clear"/>
            <w:tcMar>
              <w:bottom w:w="120" w:type="dxa"/>
            </w:tcMar>
            <w:vAlign w:val="center"/>
          </w:tcPr>
          <w:p>
            <w:pPr>
              <w:pStyle w:val="TableContents"/>
              <w:spacing w:before="0" w:after="283"/>
              <w:jc w:val="left"/>
              <w:rPr>
                <w:rFonts w:ascii="Arial" w:hAnsi="Arial"/>
                <w:b/>
                <w:i w:val="false"/>
                <w:caps w:val="false"/>
                <w:smallCaps w:val="false"/>
                <w:color w:val="1A2343"/>
                <w:sz w:val="20"/>
              </w:rPr>
            </w:pPr>
            <w:r>
              <w:rPr>
                <w:rFonts w:ascii="Arial" w:hAnsi="Arial"/>
                <w:b/>
                <w:i w:val="false"/>
                <w:caps w:val="false"/>
                <w:smallCaps w:val="false"/>
                <w:color w:val="1A2343"/>
                <w:sz w:val="20"/>
              </w:rPr>
              <w:t>DiLiberto /</w:t>
              <w:br/>
              <w:t>Levine Awards</w:t>
            </w:r>
          </w:p>
        </w:tc>
        <w:tc>
          <w:tcPr>
            <w:tcW w:w="300" w:type="dxa"/>
            <w:tcBorders>
              <w:bottom w:val="single" w:sz="8" w:space="0" w:color="5B5975"/>
            </w:tcBorders>
            <w:shd w:fill="auto" w:val="clear"/>
            <w:tcMar>
              <w:bottom w:w="120" w:type="dxa"/>
            </w:tcMar>
            <w:vAlign w:val="center"/>
          </w:tcPr>
          <w:p>
            <w:pPr>
              <w:pStyle w:val="TableContents"/>
              <w:spacing w:before="0" w:after="283"/>
              <w:rPr>
                <w:sz w:val="4"/>
                <w:szCs w:val="4"/>
              </w:rPr>
            </w:pPr>
            <w:r>
              <w:rPr>
                <w:sz w:val="4"/>
                <w:szCs w:val="4"/>
              </w:rPr>
            </w:r>
          </w:p>
        </w:tc>
        <w:tc>
          <w:tcPr>
            <w:tcW w:w="2452" w:type="dxa"/>
            <w:tcBorders>
              <w:bottom w:val="single" w:sz="8" w:space="0" w:color="5B5975"/>
            </w:tcBorders>
            <w:shd w:fill="auto" w:val="clear"/>
            <w:tcMar>
              <w:bottom w:w="120" w:type="dxa"/>
            </w:tcMar>
            <w:vAlign w:val="center"/>
          </w:tcPr>
          <w:p>
            <w:pPr>
              <w:pStyle w:val="TableContents"/>
              <w:spacing w:before="0" w:after="0"/>
              <w:ind w:left="0" w:right="0" w:hanging="290"/>
              <w:jc w:val="left"/>
              <w:rPr/>
            </w:pPr>
            <w:r>
              <w:rPr/>
              <w:t>●</w:t>
            </w:r>
            <w:r>
              <w:rPr>
                <w:rFonts w:ascii="Arial" w:hAnsi="Arial"/>
                <w:sz w:val="20"/>
              </w:rPr>
              <w:t>If one-year performance period ends early, Operational Component deemed achieved at target, subject to Absolute TSR modifier</w:t>
            </w:r>
          </w:p>
          <w:p>
            <w:pPr>
              <w:pStyle w:val="TableContents"/>
              <w:spacing w:before="0" w:after="0"/>
              <w:ind w:left="0" w:right="0" w:hanging="290"/>
              <w:jc w:val="left"/>
              <w:rPr/>
            </w:pPr>
            <w:r>
              <w:rPr/>
              <w:t>●</w:t>
            </w:r>
            <w:r>
              <w:rPr>
                <w:rFonts w:ascii="Arial" w:hAnsi="Arial"/>
                <w:sz w:val="20"/>
              </w:rPr>
              <w:t>Relative Component determined as of date of CiC</w:t>
            </w:r>
          </w:p>
          <w:p>
            <w:pPr>
              <w:pStyle w:val="TableContents"/>
              <w:spacing w:before="0" w:after="0"/>
              <w:ind w:left="0" w:right="0" w:hanging="290"/>
              <w:jc w:val="left"/>
              <w:rPr/>
            </w:pPr>
            <w:r>
              <w:rPr/>
              <w:t>●</w:t>
            </w:r>
            <w:r>
              <w:rPr>
                <w:rFonts w:ascii="Arial" w:hAnsi="Arial"/>
                <w:sz w:val="20"/>
              </w:rPr>
              <w:t>Earned awards remain subject to time-based vesting</w:t>
            </w:r>
          </w:p>
        </w:tc>
        <w:tc>
          <w:tcPr>
            <w:tcW w:w="300" w:type="dxa"/>
            <w:tcBorders>
              <w:bottom w:val="single" w:sz="8" w:space="0" w:color="5B5975"/>
            </w:tcBorders>
            <w:shd w:fill="auto" w:val="clear"/>
            <w:tcMar>
              <w:bottom w:w="120" w:type="dxa"/>
            </w:tcMar>
            <w:vAlign w:val="center"/>
          </w:tcPr>
          <w:p>
            <w:pPr>
              <w:pStyle w:val="TableContents"/>
              <w:spacing w:before="0" w:after="283"/>
              <w:rPr>
                <w:sz w:val="4"/>
                <w:szCs w:val="4"/>
              </w:rPr>
            </w:pPr>
            <w:r>
              <w:rPr>
                <w:sz w:val="4"/>
                <w:szCs w:val="4"/>
              </w:rPr>
            </w:r>
          </w:p>
        </w:tc>
        <w:tc>
          <w:tcPr>
            <w:tcW w:w="2573" w:type="dxa"/>
            <w:tcBorders>
              <w:bottom w:val="single" w:sz="8" w:space="0" w:color="5B5975"/>
            </w:tcBorders>
            <w:shd w:fill="auto" w:val="clear"/>
            <w:tcMar>
              <w:bottom w:w="120" w:type="dxa"/>
            </w:tcMar>
            <w:vAlign w:val="center"/>
          </w:tcPr>
          <w:p>
            <w:pPr>
              <w:pStyle w:val="TableContents"/>
              <w:spacing w:before="0" w:after="0"/>
              <w:ind w:left="0" w:right="0" w:hanging="290"/>
              <w:jc w:val="left"/>
              <w:rPr/>
            </w:pPr>
            <w:r>
              <w:rPr/>
              <w:t>●</w:t>
            </w:r>
            <w:r>
              <w:rPr>
                <w:rFonts w:ascii="Arial" w:hAnsi="Arial"/>
                <w:sz w:val="20"/>
              </w:rPr>
              <w:t>If one-year performance period ends early, Operational Component deemed achieved at target, subject to Absolute TSR modifier</w:t>
            </w:r>
          </w:p>
          <w:p>
            <w:pPr>
              <w:pStyle w:val="TableContents"/>
              <w:spacing w:before="0" w:after="0"/>
              <w:ind w:left="0" w:right="0" w:hanging="290"/>
              <w:jc w:val="left"/>
              <w:rPr/>
            </w:pPr>
            <w:r>
              <w:rPr/>
              <w:t>●</w:t>
            </w:r>
            <w:r>
              <w:rPr>
                <w:rFonts w:ascii="Arial" w:hAnsi="Arial"/>
                <w:sz w:val="20"/>
              </w:rPr>
              <w:t>Relative Component determined as of date of CiC</w:t>
            </w:r>
          </w:p>
          <w:p>
            <w:pPr>
              <w:pStyle w:val="TableContents"/>
              <w:spacing w:before="0" w:after="0"/>
              <w:ind w:left="0" w:right="0" w:hanging="290"/>
              <w:jc w:val="left"/>
              <w:rPr/>
            </w:pPr>
            <w:r>
              <w:rPr/>
              <w:t>●</w:t>
            </w:r>
            <w:r>
              <w:rPr>
                <w:rFonts w:ascii="Arial" w:hAnsi="Arial"/>
                <w:sz w:val="20"/>
              </w:rPr>
              <w:t>Earned awards vest in full</w:t>
            </w:r>
          </w:p>
        </w:tc>
        <w:tc>
          <w:tcPr>
            <w:tcW w:w="300" w:type="dxa"/>
            <w:tcBorders>
              <w:bottom w:val="single" w:sz="8" w:space="0" w:color="5B5975"/>
            </w:tcBorders>
            <w:shd w:fill="auto" w:val="clear"/>
            <w:tcMar>
              <w:bottom w:w="120" w:type="dxa"/>
            </w:tcMar>
            <w:vAlign w:val="center"/>
          </w:tcPr>
          <w:p>
            <w:pPr>
              <w:pStyle w:val="TableContents"/>
              <w:spacing w:before="0" w:after="283"/>
              <w:rPr>
                <w:sz w:val="4"/>
                <w:szCs w:val="4"/>
              </w:rPr>
            </w:pPr>
            <w:r>
              <w:rPr>
                <w:sz w:val="4"/>
                <w:szCs w:val="4"/>
              </w:rPr>
            </w:r>
          </w:p>
        </w:tc>
        <w:tc>
          <w:tcPr>
            <w:tcW w:w="3346" w:type="dxa"/>
            <w:tcBorders>
              <w:bottom w:val="single" w:sz="8" w:space="0" w:color="5B5975"/>
            </w:tcBorders>
            <w:shd w:fill="auto" w:val="clear"/>
            <w:tcMar>
              <w:bottom w:w="120" w:type="dxa"/>
            </w:tcMar>
            <w:vAlign w:val="center"/>
          </w:tcPr>
          <w:p>
            <w:pPr>
              <w:pStyle w:val="TableContents"/>
              <w:spacing w:before="0" w:after="0"/>
              <w:ind w:left="0" w:right="0" w:hanging="290"/>
              <w:jc w:val="left"/>
              <w:rPr/>
            </w:pPr>
            <w:r>
              <w:rPr/>
              <w:t>●</w:t>
            </w:r>
            <w:r>
              <w:rPr>
                <w:rFonts w:ascii="Arial" w:hAnsi="Arial"/>
                <w:sz w:val="20"/>
              </w:rPr>
              <w:t>Performance calculated as of end of performance period</w:t>
            </w:r>
          </w:p>
          <w:p>
            <w:pPr>
              <w:pStyle w:val="TableContents"/>
              <w:spacing w:before="0" w:after="0"/>
              <w:ind w:left="0" w:right="0" w:hanging="290"/>
              <w:jc w:val="left"/>
              <w:rPr/>
            </w:pPr>
            <w:r>
              <w:rPr/>
              <w:t>●</w:t>
            </w:r>
            <w:r>
              <w:rPr>
                <w:rFonts w:ascii="Arial" w:hAnsi="Arial"/>
                <w:sz w:val="20"/>
              </w:rPr>
              <w:t>Earned awards fully vest, subject to proration such that no units vest if termination occurs during the first year, one-third vest if the termination occurs during the second year and two-thirds will vest if the termination occurs during the third year</w:t>
            </w:r>
          </w:p>
        </w:tc>
      </w:tr>
    </w:tbl>
    <w:tbl>
      <w:tblPr>
        <w:tblW w:w="10205" w:type="dxa"/>
        <w:jc w:val="left"/>
        <w:tblInd w:w="0" w:type="dxa"/>
        <w:tblCellMar>
          <w:top w:w="0" w:type="dxa"/>
          <w:left w:w="0" w:type="dxa"/>
          <w:bottom w:w="0" w:type="dxa"/>
          <w:right w:w="0" w:type="dxa"/>
        </w:tblCellMar>
      </w:tblPr>
      <w:tblGrid>
        <w:gridCol w:w="204"/>
        <w:gridCol w:w="10001"/>
      </w:tblGrid>
      <w:tr>
        <w:trPr/>
        <w:tc>
          <w:tcPr>
            <w:tcW w:w="204"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 </w:t>
            </w:r>
          </w:p>
        </w:tc>
        <w:tc>
          <w:tcPr>
            <w:tcW w:w="10001" w:type="dxa"/>
            <w:tcBorders/>
            <w:shd w:fill="auto" w:val="clear"/>
            <w:vAlign w:val="center"/>
          </w:tcPr>
          <w:p>
            <w:pPr>
              <w:pStyle w:val="TableContents"/>
              <w:spacing w:before="0" w:after="283"/>
              <w:jc w:val="left"/>
              <w:rPr>
                <w:rFonts w:ascii="Arial" w:hAnsi="Arial"/>
                <w:sz w:val="15"/>
              </w:rPr>
            </w:pPr>
            <w:r>
              <w:rPr>
                <w:rFonts w:ascii="Arial" w:hAnsi="Arial"/>
                <w:sz w:val="15"/>
              </w:rPr>
              <w:t>Accelerated vesting under the Annual Performance-Based Awards is generally subject to the effectiveness of a mutual release, except in upon a termination as a result of death or in connection with or within 18 months after a change in control.</w:t>
            </w:r>
          </w:p>
        </w:tc>
      </w:tr>
    </w:tbl>
    <w:p>
      <w:pPr>
        <w:pStyle w:val="TextBody"/>
        <w:spacing w:before="240" w:after="283"/>
        <w:jc w:val="left"/>
        <w:rPr>
          <w:rFonts w:ascii="Arial" w:hAnsi="Arial"/>
          <w:b/>
          <w:i w:val="false"/>
          <w:caps w:val="false"/>
          <w:smallCaps w:val="false"/>
          <w:color w:val="8EAD3C"/>
          <w:sz w:val="22"/>
        </w:rPr>
      </w:pPr>
      <w:r>
        <w:rPr>
          <w:rFonts w:ascii="Arial" w:hAnsi="Arial"/>
          <w:b/>
          <w:i w:val="false"/>
          <w:caps w:val="false"/>
          <w:smallCaps w:val="false"/>
          <w:color w:val="8EAD3C"/>
          <w:sz w:val="22"/>
        </w:rPr>
        <w:t>Hypothetical Illustration of Payments upon Termination or Change in Control</w:t>
      </w:r>
    </w:p>
    <w:p>
      <w:pPr>
        <w:pStyle w:val="TextBody"/>
        <w:jc w:val="left"/>
        <w:rPr>
          <w:rFonts w:ascii="Arial" w:hAnsi="Arial"/>
          <w:sz w:val="20"/>
        </w:rPr>
      </w:pPr>
      <w:r>
        <w:rPr>
          <w:rFonts w:ascii="Arial" w:hAnsi="Arial"/>
          <w:sz w:val="20"/>
        </w:rPr>
        <w:t>The following tables show the potential payments and estimated value of the benefits that our named executive officers would have been entitled to receive upon a termination of their employment by us without cause or by them for good reason or upon the death or disability as of December 31, 2022. Our named executive officers would not have been entitled to any payments or benefits other than those already accrued in the event of a termination of their employment by us for cause or by them without good reason (including upon retirement). The types of events constituting cause, good reason, disability and a change in control may differ in some respects among the different arrangements providing for benefits to the named executive officers; however, for consistency in presentation, the payments and estimated value of benefits have been grouped together based on these concepts without regard for any such differences. The potential payments and estimated values set forth below are based on the terms of the employment agreements in effect as of December 31, 2022.</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74</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b/>
          <w:i w:val="false"/>
          <w:caps w:val="false"/>
          <w:smallCaps w:val="false"/>
          <w:color w:val="1A2343"/>
          <w:sz w:val="15"/>
        </w:rPr>
      </w:pPr>
      <w:r>
        <w:rPr>
          <w:rFonts w:ascii="Arial" w:hAnsi="Arial"/>
          <w:b/>
          <w:i w:val="false"/>
          <w:caps w:val="false"/>
          <w:smallCaps w:val="false"/>
          <w:color w:val="1A2343"/>
          <w:sz w:val="15"/>
        </w:rPr>
        <w:t>Marc Holliday</w:t>
      </w:r>
    </w:p>
    <w:tbl>
      <w:tblPr>
        <w:tblW w:w="9780" w:type="dxa"/>
        <w:jc w:val="left"/>
        <w:tblInd w:w="0" w:type="dxa"/>
        <w:tblCellMar>
          <w:top w:w="0" w:type="dxa"/>
          <w:left w:w="0" w:type="dxa"/>
          <w:bottom w:w="40" w:type="dxa"/>
          <w:right w:w="0" w:type="dxa"/>
        </w:tblCellMar>
      </w:tblPr>
      <w:tblGrid>
        <w:gridCol w:w="3860"/>
        <w:gridCol w:w="300"/>
        <w:gridCol w:w="305"/>
        <w:gridCol w:w="980"/>
        <w:gridCol w:w="300"/>
        <w:gridCol w:w="185"/>
        <w:gridCol w:w="980"/>
        <w:gridCol w:w="300"/>
        <w:gridCol w:w="185"/>
        <w:gridCol w:w="980"/>
        <w:gridCol w:w="300"/>
        <w:gridCol w:w="125"/>
        <w:gridCol w:w="980"/>
      </w:tblGrid>
      <w:tr>
        <w:trPr/>
        <w:tc>
          <w:tcPr>
            <w:tcW w:w="386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Payment/Benefit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8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Termination</w:t>
              <w:br/>
              <w:t>without Cause or</w:t>
              <w:br/>
              <w:t>for Good Reason</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6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Termination</w:t>
              <w:br/>
              <w:t>w/ Change in</w:t>
              <w:br/>
              <w:t>Control</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6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Disability</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0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Death</w:t>
            </w:r>
            <w:r>
              <w:rPr>
                <w:rFonts w:ascii="Arial" w:hAnsi="Arial"/>
                <w:color w:val="1A2343"/>
                <w:position w:val="5"/>
                <w:sz w:val="12"/>
                <w:sz w:val="15"/>
              </w:rPr>
              <w:t>(1)</w:t>
            </w:r>
          </w:p>
        </w:tc>
      </w:tr>
      <w:tr>
        <w:trPr/>
        <w:tc>
          <w:tcPr>
            <w:tcW w:w="386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Pro-Rata Bonus</w:t>
            </w:r>
          </w:p>
        </w:tc>
        <w:tc>
          <w:tcPr>
            <w:tcW w:w="300" w:type="dxa"/>
            <w:tcBorders/>
            <w:shd w:fill="auto" w:val="clear"/>
            <w:tcMar>
              <w:bottom w:w="0" w:type="dxa"/>
            </w:tcMar>
            <w:vAlign w:val="center"/>
          </w:tcPr>
          <w:p>
            <w:pPr>
              <w:pStyle w:val="TableContents"/>
              <w:spacing w:before="0" w:after="283"/>
              <w:jc w:val="left"/>
              <w:rPr/>
            </w:pPr>
            <w:r>
              <w:rPr/>
              <w:t>     </w:t>
            </w:r>
          </w:p>
        </w:tc>
        <w:tc>
          <w:tcPr>
            <w:tcW w:w="305" w:type="dxa"/>
            <w:tcBorders>
              <w:bottom w:val="single" w:sz="8" w:space="0" w:color="5B5975"/>
            </w:tcBorders>
            <w:shd w:fill="auto" w:val="clear"/>
            <w:tcMar>
              <w:bottom w:w="28" w:type="dxa"/>
            </w:tcMar>
            <w:vAlign w:val="center"/>
          </w:tcPr>
          <w:p>
            <w:pPr>
              <w:pStyle w:val="TableContents"/>
              <w:spacing w:before="0" w:after="283"/>
              <w:jc w:val="right"/>
              <w:rPr/>
            </w:pPr>
            <w:r>
              <w:rPr/>
              <w:t>   </w:t>
            </w: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6,612,500</w:t>
            </w:r>
          </w:p>
        </w:tc>
        <w:tc>
          <w:tcPr>
            <w:tcW w:w="300" w:type="dxa"/>
            <w:tcBorders/>
            <w:shd w:fill="auto" w:val="clear"/>
            <w:tcMar>
              <w:bottom w:w="0" w:type="dxa"/>
            </w:tcMar>
            <w:vAlign w:val="center"/>
          </w:tcPr>
          <w:p>
            <w:pPr>
              <w:pStyle w:val="TableContents"/>
              <w:spacing w:before="0" w:after="283"/>
              <w:jc w:val="right"/>
              <w:rPr/>
            </w:pPr>
            <w:r>
              <w:rPr/>
              <w:t>     </w:t>
            </w:r>
          </w:p>
        </w:tc>
        <w:tc>
          <w:tcPr>
            <w:tcW w:w="185" w:type="dxa"/>
            <w:tcBorders>
              <w:bottom w:val="single" w:sz="8" w:space="0" w:color="5B5975"/>
            </w:tcBorders>
            <w:shd w:fill="auto" w:val="clear"/>
            <w:tcMar>
              <w:bottom w:w="28" w:type="dxa"/>
            </w:tcMar>
            <w:vAlign w:val="center"/>
          </w:tcPr>
          <w:p>
            <w:pPr>
              <w:pStyle w:val="TableContents"/>
              <w:spacing w:before="0" w:after="283"/>
              <w:jc w:val="right"/>
              <w:rPr/>
            </w:pPr>
            <w:r>
              <w:rPr/>
              <w:t> </w:t>
            </w: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6,612,500</w:t>
            </w:r>
          </w:p>
        </w:tc>
        <w:tc>
          <w:tcPr>
            <w:tcW w:w="300" w:type="dxa"/>
            <w:tcBorders/>
            <w:shd w:fill="auto" w:val="clear"/>
            <w:tcMar>
              <w:bottom w:w="0" w:type="dxa"/>
            </w:tcMar>
            <w:vAlign w:val="center"/>
          </w:tcPr>
          <w:p>
            <w:pPr>
              <w:pStyle w:val="TableContents"/>
              <w:spacing w:before="0" w:after="283"/>
              <w:jc w:val="right"/>
              <w:rPr/>
            </w:pPr>
            <w:r>
              <w:rPr/>
              <w:t>     </w:t>
            </w:r>
          </w:p>
        </w:tc>
        <w:tc>
          <w:tcPr>
            <w:tcW w:w="185" w:type="dxa"/>
            <w:tcBorders>
              <w:bottom w:val="single" w:sz="8" w:space="0" w:color="5B5975"/>
            </w:tcBorders>
            <w:shd w:fill="auto" w:val="clear"/>
            <w:tcMar>
              <w:bottom w:w="28" w:type="dxa"/>
            </w:tcMar>
            <w:vAlign w:val="center"/>
          </w:tcPr>
          <w:p>
            <w:pPr>
              <w:pStyle w:val="TableContents"/>
              <w:spacing w:before="0" w:after="283"/>
              <w:jc w:val="right"/>
              <w:rPr/>
            </w:pPr>
            <w:r>
              <w:rPr/>
              <w:t> </w:t>
            </w: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6,612,500</w:t>
            </w:r>
          </w:p>
        </w:tc>
        <w:tc>
          <w:tcPr>
            <w:tcW w:w="300" w:type="dxa"/>
            <w:tcBorders/>
            <w:shd w:fill="auto" w:val="clear"/>
            <w:tcMar>
              <w:bottom w:w="0" w:type="dxa"/>
            </w:tcMar>
            <w:vAlign w:val="center"/>
          </w:tcPr>
          <w:p>
            <w:pPr>
              <w:pStyle w:val="TableContents"/>
              <w:spacing w:before="0" w:after="283"/>
              <w:jc w:val="right"/>
              <w:rPr/>
            </w:pPr>
            <w:r>
              <w:rPr/>
              <w:t>     </w:t>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6,612,500</w:t>
            </w:r>
          </w:p>
        </w:tc>
      </w:tr>
      <w:tr>
        <w:trPr/>
        <w:tc>
          <w:tcPr>
            <w:tcW w:w="386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Cash Severance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19,000,000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28,500,000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9,500,000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r>
      <w:tr>
        <w:trPr/>
        <w:tc>
          <w:tcPr>
            <w:tcW w:w="386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Stock Option / Class O LTIP Unit Vesting</w:t>
            </w:r>
            <w:r>
              <w:rPr>
                <w:rFonts w:ascii="Arial" w:hAnsi="Arial"/>
                <w:position w:val="7"/>
                <w:sz w:val="16"/>
                <w:sz w:val="20"/>
              </w:rPr>
              <w:t>(2)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r>
      <w:tr>
        <w:trPr/>
        <w:tc>
          <w:tcPr>
            <w:tcW w:w="386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LTIP Unit / Stock Unit Vesting</w:t>
            </w:r>
            <w:r>
              <w:rPr>
                <w:rFonts w:ascii="Arial" w:hAnsi="Arial"/>
                <w:position w:val="7"/>
                <w:sz w:val="16"/>
                <w:sz w:val="20"/>
              </w:rPr>
              <w:t>(3)</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11,655,194</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11,655,194</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11,655,194</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11,655,194</w:t>
            </w:r>
          </w:p>
        </w:tc>
      </w:tr>
      <w:tr>
        <w:trPr/>
        <w:tc>
          <w:tcPr>
            <w:tcW w:w="3860" w:type="dxa"/>
            <w:tcBorders>
              <w:bottom w:val="single" w:sz="12" w:space="0" w:color="1A2343"/>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Benefits Continuation</w:t>
            </w:r>
            <w:r>
              <w:rPr>
                <w:rFonts w:ascii="Arial" w:hAnsi="Arial"/>
                <w:position w:val="7"/>
                <w:sz w:val="16"/>
                <w:sz w:val="20"/>
              </w:rPr>
              <w:t>(4)</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171,310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256,965</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256,965</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12" w:space="0" w:color="1A2343"/>
            </w:tcBorders>
            <w:shd w:fill="auto" w:val="clear"/>
            <w:tcMar>
              <w:bottom w:w="28" w:type="dxa"/>
            </w:tcMar>
            <w:vAlign w:val="center"/>
          </w:tcPr>
          <w:p>
            <w:pPr>
              <w:pStyle w:val="TableContents"/>
              <w:spacing w:before="0" w:after="283"/>
              <w:jc w:val="right"/>
              <w:rPr/>
            </w:pPr>
            <w:r>
              <w:rPr/>
              <w:t>—</w:t>
            </w:r>
          </w:p>
        </w:tc>
      </w:tr>
      <w:tr>
        <w:trPr/>
        <w:tc>
          <w:tcPr>
            <w:tcW w:w="386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jc w:val="right"/>
              <w:rPr/>
            </w:pPr>
            <w:r>
              <w:rPr/>
              <w:t> </w:t>
            </w:r>
          </w:p>
        </w:tc>
      </w:tr>
      <w:tr>
        <w:trPr/>
        <w:tc>
          <w:tcPr>
            <w:tcW w:w="3860" w:type="dxa"/>
            <w:tcBorders/>
            <w:shd w:fill="auto" w:val="clear"/>
            <w:tcMar>
              <w:bottom w:w="0" w:type="dxa"/>
            </w:tcMar>
            <w:vAlign w:val="center"/>
          </w:tcPr>
          <w:p>
            <w:pPr>
              <w:pStyle w:val="TableContents"/>
              <w:spacing w:before="0" w:after="283"/>
              <w:jc w:val="left"/>
              <w:rPr>
                <w:rFonts w:ascii="Arial" w:hAnsi="Arial"/>
                <w:b/>
                <w:i w:val="false"/>
                <w:caps w:val="false"/>
                <w:smallCaps w:val="false"/>
                <w:color w:val="1A2343"/>
                <w:sz w:val="15"/>
              </w:rPr>
            </w:pPr>
            <w:r>
              <w:rPr>
                <w:rFonts w:ascii="Arial" w:hAnsi="Arial"/>
                <w:b/>
                <w:i w:val="false"/>
                <w:caps w:val="false"/>
                <w:smallCaps w:val="false"/>
                <w:color w:val="1A2343"/>
                <w:sz w:val="15"/>
              </w:rPr>
              <w:t>Andrew Mathias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shd w:fill="auto" w:val="clear"/>
            <w:tcMar>
              <w:bottom w:w="0" w:type="dxa"/>
            </w:tcMar>
            <w:vAlign w:val="center"/>
          </w:tcPr>
          <w:p>
            <w:pPr>
              <w:pStyle w:val="TableContents"/>
              <w:spacing w:before="0" w:after="283"/>
              <w:jc w:val="right"/>
              <w:rPr/>
            </w:pPr>
            <w:r>
              <w:rPr/>
              <w:t> </w:t>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386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jc w:val="right"/>
              <w:rPr/>
            </w:pPr>
            <w:r>
              <w:rPr/>
              <w:t> </w:t>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386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Payment/Benefit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8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Termination</w:t>
              <w:br/>
              <w:t>without Cause or</w:t>
              <w:br/>
              <w:t>for Good Reason</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6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Termination</w:t>
              <w:br/>
              <w:t>w/ Change in</w:t>
              <w:br/>
              <w:t>Control</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6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Disability</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0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Death</w:t>
            </w:r>
          </w:p>
        </w:tc>
      </w:tr>
      <w:tr>
        <w:trPr/>
        <w:tc>
          <w:tcPr>
            <w:tcW w:w="386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Pro-Rata Bonus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4,863,250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4,863,250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4,863,250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4,863,250</w:t>
            </w:r>
          </w:p>
        </w:tc>
      </w:tr>
      <w:tr>
        <w:trPr/>
        <w:tc>
          <w:tcPr>
            <w:tcW w:w="386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Cash Severance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10,237,500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17,062,500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6,825,000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r>
      <w:tr>
        <w:trPr/>
        <w:tc>
          <w:tcPr>
            <w:tcW w:w="386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Stock Option / Class O LTIP Unit Vesting</w:t>
            </w:r>
            <w:r>
              <w:rPr>
                <w:rFonts w:ascii="Arial" w:hAnsi="Arial"/>
                <w:position w:val="7"/>
                <w:sz w:val="16"/>
                <w:sz w:val="20"/>
              </w:rPr>
              <w:t>(2)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r>
      <w:tr>
        <w:trPr/>
        <w:tc>
          <w:tcPr>
            <w:tcW w:w="386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LTIP Unit / Stock Unit Vesting</w:t>
            </w:r>
            <w:r>
              <w:rPr>
                <w:rFonts w:ascii="Arial" w:hAnsi="Arial"/>
                <w:position w:val="7"/>
                <w:sz w:val="16"/>
                <w:sz w:val="20"/>
              </w:rPr>
              <w:t>(3)</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9,190,622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9,190,622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9,190,622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9,190,622</w:t>
            </w:r>
          </w:p>
        </w:tc>
      </w:tr>
      <w:tr>
        <w:trPr/>
        <w:tc>
          <w:tcPr>
            <w:tcW w:w="3860" w:type="dxa"/>
            <w:tcBorders>
              <w:bottom w:val="single" w:sz="12" w:space="0" w:color="1A2343"/>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Benefits Continuation</w:t>
            </w:r>
            <w:r>
              <w:rPr>
                <w:rFonts w:ascii="Arial" w:hAnsi="Arial"/>
                <w:position w:val="7"/>
                <w:sz w:val="16"/>
                <w:sz w:val="20"/>
              </w:rPr>
              <w:t>(4)</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94,198</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156,997</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188,396</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12" w:space="0" w:color="1A2343"/>
            </w:tcBorders>
            <w:shd w:fill="auto" w:val="clear"/>
            <w:tcMar>
              <w:bottom w:w="28" w:type="dxa"/>
            </w:tcMar>
            <w:vAlign w:val="center"/>
          </w:tcPr>
          <w:p>
            <w:pPr>
              <w:pStyle w:val="TableContents"/>
              <w:spacing w:before="0" w:after="283"/>
              <w:jc w:val="right"/>
              <w:rPr/>
            </w:pPr>
            <w:r>
              <w:rPr/>
              <w:t>—</w:t>
            </w:r>
          </w:p>
        </w:tc>
      </w:tr>
      <w:tr>
        <w:trPr/>
        <w:tc>
          <w:tcPr>
            <w:tcW w:w="386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jc w:val="right"/>
              <w:rPr/>
            </w:pPr>
            <w:r>
              <w:rPr/>
              <w:t> </w:t>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3860" w:type="dxa"/>
            <w:tcBorders/>
            <w:shd w:fill="auto" w:val="clear"/>
            <w:tcMar>
              <w:bottom w:w="0" w:type="dxa"/>
            </w:tcMar>
            <w:vAlign w:val="center"/>
          </w:tcPr>
          <w:p>
            <w:pPr>
              <w:pStyle w:val="TableContents"/>
              <w:spacing w:before="0" w:after="283"/>
              <w:jc w:val="left"/>
              <w:rPr>
                <w:rFonts w:ascii="Arial" w:hAnsi="Arial"/>
                <w:b/>
                <w:i w:val="false"/>
                <w:caps w:val="false"/>
                <w:smallCaps w:val="false"/>
                <w:color w:val="1A2343"/>
                <w:sz w:val="15"/>
              </w:rPr>
            </w:pPr>
            <w:r>
              <w:rPr>
                <w:rFonts w:ascii="Arial" w:hAnsi="Arial"/>
                <w:b/>
                <w:i w:val="false"/>
                <w:caps w:val="false"/>
                <w:smallCaps w:val="false"/>
                <w:color w:val="1A2343"/>
                <w:sz w:val="15"/>
              </w:rPr>
              <w:t>Matthew J. DiLiberto</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386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shd w:fill="auto" w:val="clear"/>
            <w:tcMar>
              <w:bottom w:w="0" w:type="dxa"/>
            </w:tcMar>
            <w:vAlign w:val="center"/>
          </w:tcPr>
          <w:p>
            <w:pPr>
              <w:pStyle w:val="TableContents"/>
              <w:spacing w:before="0" w:after="283"/>
              <w:jc w:val="right"/>
              <w:rPr/>
            </w:pPr>
            <w:r>
              <w:rPr/>
              <w:t> </w:t>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386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Payment/Benefit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8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Termination</w:t>
              <w:br/>
              <w:t>without Cause or</w:t>
              <w:br/>
              <w:t>for Good Reason</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6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Termination</w:t>
              <w:br/>
              <w:t>w/ Change in</w:t>
              <w:br/>
              <w:t>Control</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6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Disability</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0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Death</w:t>
            </w:r>
          </w:p>
        </w:tc>
      </w:tr>
      <w:tr>
        <w:trPr/>
        <w:tc>
          <w:tcPr>
            <w:tcW w:w="386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Pro-Rata Bonus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1,786,667</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1,786,667</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1,786,667</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1,786,667</w:t>
            </w:r>
          </w:p>
        </w:tc>
      </w:tr>
      <w:tr>
        <w:trPr/>
        <w:tc>
          <w:tcPr>
            <w:tcW w:w="386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Cash Severance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2,361,667</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4,723,333</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2,361,667</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r>
      <w:tr>
        <w:trPr/>
        <w:tc>
          <w:tcPr>
            <w:tcW w:w="386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Stock Option / Class O LTIP Unit Vesting</w:t>
            </w:r>
            <w:r>
              <w:rPr>
                <w:rFonts w:ascii="Arial" w:hAnsi="Arial"/>
                <w:position w:val="7"/>
                <w:sz w:val="16"/>
                <w:sz w:val="20"/>
              </w:rPr>
              <w:t>(2)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r>
      <w:tr>
        <w:trPr/>
        <w:tc>
          <w:tcPr>
            <w:tcW w:w="386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LTIP Unit / Stock Unit Vesting</w:t>
            </w:r>
            <w:r>
              <w:rPr>
                <w:rFonts w:ascii="Arial" w:hAnsi="Arial"/>
                <w:position w:val="7"/>
                <w:sz w:val="16"/>
                <w:sz w:val="20"/>
              </w:rPr>
              <w:t>(3)</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834,160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834,160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834,160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834,160</w:t>
            </w:r>
          </w:p>
        </w:tc>
      </w:tr>
      <w:tr>
        <w:trPr/>
        <w:tc>
          <w:tcPr>
            <w:tcW w:w="3860" w:type="dxa"/>
            <w:tcBorders>
              <w:bottom w:val="single" w:sz="12" w:space="0" w:color="1A2343"/>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Benefits Continuation</w:t>
            </w:r>
            <w:r>
              <w:rPr>
                <w:rFonts w:ascii="Arial" w:hAnsi="Arial"/>
                <w:position w:val="7"/>
                <w:sz w:val="16"/>
                <w:sz w:val="20"/>
              </w:rPr>
              <w:t>(4)</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47,078</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94,157</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141,235</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12" w:space="0" w:color="1A2343"/>
            </w:tcBorders>
            <w:shd w:fill="auto" w:val="clear"/>
            <w:tcMar>
              <w:bottom w:w="28" w:type="dxa"/>
            </w:tcMar>
            <w:vAlign w:val="center"/>
          </w:tcPr>
          <w:p>
            <w:pPr>
              <w:pStyle w:val="TableContents"/>
              <w:spacing w:before="0" w:after="283"/>
              <w:jc w:val="right"/>
              <w:rPr/>
            </w:pPr>
            <w:r>
              <w:rPr/>
              <w:t>—</w:t>
            </w:r>
          </w:p>
        </w:tc>
      </w:tr>
      <w:tr>
        <w:trPr/>
        <w:tc>
          <w:tcPr>
            <w:tcW w:w="386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jc w:val="right"/>
              <w:rPr/>
            </w:pPr>
            <w:r>
              <w:rPr/>
              <w:t> </w:t>
            </w:r>
          </w:p>
        </w:tc>
      </w:tr>
      <w:tr>
        <w:trPr/>
        <w:tc>
          <w:tcPr>
            <w:tcW w:w="3860" w:type="dxa"/>
            <w:tcBorders/>
            <w:shd w:fill="auto" w:val="clear"/>
            <w:tcMar>
              <w:bottom w:w="0" w:type="dxa"/>
            </w:tcMar>
            <w:vAlign w:val="center"/>
          </w:tcPr>
          <w:p>
            <w:pPr>
              <w:pStyle w:val="TableContents"/>
              <w:spacing w:before="0" w:after="283"/>
              <w:jc w:val="left"/>
              <w:rPr>
                <w:rFonts w:ascii="Arial" w:hAnsi="Arial"/>
                <w:b/>
                <w:i w:val="false"/>
                <w:caps w:val="false"/>
                <w:smallCaps w:val="false"/>
                <w:color w:val="1A2343"/>
                <w:sz w:val="15"/>
              </w:rPr>
            </w:pPr>
            <w:r>
              <w:rPr>
                <w:rFonts w:ascii="Arial" w:hAnsi="Arial"/>
                <w:b/>
                <w:i w:val="false"/>
                <w:caps w:val="false"/>
                <w:smallCaps w:val="false"/>
                <w:color w:val="1A2343"/>
                <w:sz w:val="15"/>
              </w:rPr>
              <w:t>Andrew S. Levine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3860" w:type="dxa"/>
            <w:tcBorders/>
            <w:shd w:fill="auto" w:val="clear"/>
            <w:tcMar>
              <w:bottom w:w="0" w:type="dxa"/>
            </w:tcMar>
            <w:vAlign w:val="center"/>
          </w:tcPr>
          <w:p>
            <w:pPr>
              <w:pStyle w:val="TableContents"/>
              <w:spacing w:before="0" w:after="283"/>
              <w:jc w:val="left"/>
              <w:rPr/>
            </w:pPr>
            <w:r>
              <w:rPr/>
              <w:t> </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98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386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Payment/Benefit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8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Termination</w:t>
              <w:br/>
              <w:t>without Cause or</w:t>
              <w:br/>
              <w:t>for Good Reason</w:t>
            </w:r>
          </w:p>
        </w:tc>
        <w:tc>
          <w:tcPr>
            <w:tcW w:w="300"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116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Termination</w:t>
              <w:br/>
              <w:t>w/ Change in</w:t>
              <w:br/>
              <w:t>Control</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6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Disability</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05" w:type="dxa"/>
            <w:gridSpan w:val="2"/>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Death</w:t>
            </w:r>
          </w:p>
        </w:tc>
      </w:tr>
      <w:tr>
        <w:trPr/>
        <w:tc>
          <w:tcPr>
            <w:tcW w:w="386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Pro-Rata Bonus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1,125,000</w:t>
            </w:r>
          </w:p>
        </w:tc>
        <w:tc>
          <w:tcPr>
            <w:tcW w:w="300"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1,125,000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1,125,000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1,125,000</w:t>
            </w:r>
          </w:p>
        </w:tc>
      </w:tr>
      <w:tr>
        <w:trPr/>
        <w:tc>
          <w:tcPr>
            <w:tcW w:w="386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Cash Severance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4,305,000</w:t>
            </w:r>
          </w:p>
        </w:tc>
        <w:tc>
          <w:tcPr>
            <w:tcW w:w="300"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6,010,000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3,005,000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1,300,000</w:t>
            </w:r>
          </w:p>
        </w:tc>
      </w:tr>
      <w:tr>
        <w:trPr/>
        <w:tc>
          <w:tcPr>
            <w:tcW w:w="386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Stock Option / Class O LTIP Unit Vesting</w:t>
            </w:r>
            <w:r>
              <w:rPr>
                <w:rFonts w:ascii="Arial" w:hAnsi="Arial"/>
                <w:position w:val="7"/>
                <w:sz w:val="16"/>
                <w:sz w:val="20"/>
              </w:rPr>
              <w:t>(2)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28" w:type="dxa"/>
            </w:tcMar>
            <w:vAlign w:val="center"/>
          </w:tcPr>
          <w:p>
            <w:pPr>
              <w:pStyle w:val="TableContents"/>
              <w:spacing w:before="0" w:after="283"/>
              <w:jc w:val="right"/>
              <w:rPr/>
            </w:pPr>
            <w:r>
              <w:rPr/>
              <w:t>—</w:t>
            </w:r>
          </w:p>
        </w:tc>
      </w:tr>
      <w:tr>
        <w:trPr/>
        <w:tc>
          <w:tcPr>
            <w:tcW w:w="386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LTIP Unit / Stock Unit Vesting</w:t>
            </w:r>
            <w:r>
              <w:rPr>
                <w:rFonts w:ascii="Arial" w:hAnsi="Arial"/>
                <w:position w:val="7"/>
                <w:sz w:val="16"/>
                <w:sz w:val="20"/>
              </w:rPr>
              <w:t>(3)</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1,062,242</w:t>
            </w:r>
          </w:p>
        </w:tc>
        <w:tc>
          <w:tcPr>
            <w:tcW w:w="300"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1,062,242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1,062,242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1,062,242</w:t>
            </w:r>
          </w:p>
        </w:tc>
      </w:tr>
      <w:tr>
        <w:trPr/>
        <w:tc>
          <w:tcPr>
            <w:tcW w:w="3860" w:type="dxa"/>
            <w:tcBorders>
              <w:bottom w:val="single" w:sz="12" w:space="0" w:color="1A2343"/>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Benefits Continuation</w:t>
            </w:r>
            <w:r>
              <w:rPr>
                <w:rFonts w:ascii="Arial" w:hAnsi="Arial"/>
                <w:position w:val="7"/>
                <w:sz w:val="16"/>
                <w:sz w:val="20"/>
              </w:rPr>
              <w:t>(4)</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0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47,160</w:t>
            </w:r>
          </w:p>
        </w:tc>
        <w:tc>
          <w:tcPr>
            <w:tcW w:w="300"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c>
          <w:tcPr>
            <w:tcW w:w="18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94,319</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8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98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141,479</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12" w:space="0" w:color="1A2343"/>
            </w:tcBorders>
            <w:shd w:fill="auto" w:val="clear"/>
            <w:tcMar>
              <w:bottom w:w="28" w:type="dxa"/>
            </w:tcMar>
            <w:vAlign w:val="center"/>
          </w:tcPr>
          <w:p>
            <w:pPr>
              <w:pStyle w:val="TableContents"/>
              <w:spacing w:before="0" w:after="283"/>
              <w:jc w:val="right"/>
              <w:rPr/>
            </w:pPr>
            <w:r>
              <w:rPr/>
              <w:t>—</w:t>
            </w:r>
          </w:p>
        </w:tc>
      </w:tr>
    </w:tbl>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 </w:t>
            </w:r>
          </w:p>
        </w:tc>
        <w:tc>
          <w:tcPr>
            <w:tcW w:w="10022" w:type="dxa"/>
            <w:tcBorders/>
            <w:shd w:fill="auto" w:val="clear"/>
            <w:vAlign w:val="center"/>
          </w:tcPr>
          <w:p>
            <w:pPr>
              <w:pStyle w:val="TableContents"/>
              <w:spacing w:before="0" w:after="283"/>
              <w:jc w:val="left"/>
              <w:rPr>
                <w:rFonts w:ascii="Arial" w:hAnsi="Arial"/>
                <w:sz w:val="15"/>
              </w:rPr>
            </w:pPr>
            <w:r>
              <w:rPr>
                <w:rFonts w:ascii="Arial" w:hAnsi="Arial"/>
                <w:sz w:val="15"/>
              </w:rPr>
              <w:t>As we maintained life insurance policies for the benefit of the beneficiaries of Mr. Holliday in the amount of $10 million, as of December 31, 2022, the amount of the payments and benefits to be received by Mr. Holliday in the event of a termination upon death will be reduced by these amounts in accordance with his employment agreement.</w:t>
            </w:r>
          </w:p>
        </w:tc>
      </w:tr>
      <w:tr>
        <w:trPr/>
        <w:tc>
          <w:tcPr>
            <w:tcW w:w="183" w:type="dxa"/>
            <w:tcBorders/>
            <w:shd w:fill="auto" w:val="clear"/>
            <w:vAlign w:val="center"/>
          </w:tcPr>
          <w:p>
            <w:pPr>
              <w:pStyle w:val="TableContents"/>
              <w:spacing w:before="0" w:after="283"/>
              <w:jc w:val="left"/>
              <w:rPr>
                <w:rFonts w:ascii="Arial" w:hAnsi="Arial"/>
                <w:sz w:val="15"/>
              </w:rPr>
            </w:pPr>
            <w:r>
              <w:rPr>
                <w:rFonts w:ascii="Arial" w:hAnsi="Arial"/>
                <w:sz w:val="15"/>
              </w:rPr>
              <w:t xml:space="preserve">(2) </w:t>
            </w:r>
          </w:p>
        </w:tc>
        <w:tc>
          <w:tcPr>
            <w:tcW w:w="10022" w:type="dxa"/>
            <w:tcBorders/>
            <w:shd w:fill="auto" w:val="clear"/>
            <w:vAlign w:val="center"/>
          </w:tcPr>
          <w:p>
            <w:pPr>
              <w:pStyle w:val="TableContents"/>
              <w:spacing w:before="0" w:after="283"/>
              <w:jc w:val="left"/>
              <w:rPr>
                <w:rFonts w:ascii="Arial" w:hAnsi="Arial"/>
                <w:sz w:val="15"/>
              </w:rPr>
            </w:pPr>
            <w:r>
              <w:rPr>
                <w:rFonts w:ascii="Arial" w:hAnsi="Arial"/>
                <w:sz w:val="15"/>
              </w:rPr>
              <w:t>Represents the value of the stock options or Class O LTIP units, if any, that would vest. Assumes that the per share value of the stock options or Class O LTIP units that vest equals (i) $33.72 per share, which was the closing price on the NYSE of one share of our common stock on December 30, 2022, less (ii) the exercise price per share of such stock options or the conversion threshold of such Class O LTIP units.</w:t>
            </w:r>
          </w:p>
        </w:tc>
      </w:tr>
      <w:tr>
        <w:trPr/>
        <w:tc>
          <w:tcPr>
            <w:tcW w:w="183" w:type="dxa"/>
            <w:tcBorders/>
            <w:shd w:fill="auto" w:val="clear"/>
            <w:vAlign w:val="center"/>
          </w:tcPr>
          <w:p>
            <w:pPr>
              <w:pStyle w:val="TableContents"/>
              <w:spacing w:before="0" w:after="283"/>
              <w:jc w:val="left"/>
              <w:rPr>
                <w:rFonts w:ascii="Arial" w:hAnsi="Arial"/>
                <w:sz w:val="15"/>
              </w:rPr>
            </w:pPr>
            <w:r>
              <w:rPr>
                <w:rFonts w:ascii="Arial" w:hAnsi="Arial"/>
                <w:sz w:val="15"/>
              </w:rPr>
              <w:t xml:space="preserve">(3) </w:t>
            </w:r>
          </w:p>
        </w:tc>
        <w:tc>
          <w:tcPr>
            <w:tcW w:w="10022" w:type="dxa"/>
            <w:tcBorders/>
            <w:shd w:fill="auto" w:val="clear"/>
            <w:vAlign w:val="center"/>
          </w:tcPr>
          <w:p>
            <w:pPr>
              <w:pStyle w:val="TableContents"/>
              <w:spacing w:before="0" w:after="283"/>
              <w:jc w:val="left"/>
              <w:rPr>
                <w:rFonts w:ascii="Arial" w:hAnsi="Arial"/>
                <w:sz w:val="15"/>
              </w:rPr>
            </w:pPr>
            <w:r>
              <w:rPr>
                <w:rFonts w:ascii="Arial" w:hAnsi="Arial"/>
                <w:sz w:val="15"/>
              </w:rPr>
              <w:t>Represents the value of the LTIP units, if any, that would vest based on a price of $33.72 per unit, which was the closing price on the NYSE of one share of our common stock on December 30, 2022. Assumes that the value of LTIP units on a per unit basis is equal to the per share value of our common stock. Does not include performance-based LTIP units that would only vest to the extent earned based</w:t>
            </w:r>
          </w:p>
        </w:tc>
      </w:tr>
      <w:tr>
        <w:trPr/>
        <w:tc>
          <w:tcPr>
            <w:tcW w:w="183" w:type="dxa"/>
            <w:tcBorders/>
            <w:shd w:fill="auto" w:val="clear"/>
            <w:vAlign w:val="center"/>
          </w:tcPr>
          <w:p>
            <w:pPr>
              <w:pStyle w:val="TableContents"/>
              <w:spacing w:before="0" w:after="283"/>
              <w:jc w:val="left"/>
              <w:rPr/>
            </w:pPr>
            <w:r>
              <w:rPr/>
              <w:t> </w:t>
            </w:r>
          </w:p>
        </w:tc>
        <w:tc>
          <w:tcPr>
            <w:tcW w:w="10022" w:type="dxa"/>
            <w:tcBorders/>
            <w:shd w:fill="auto" w:val="clear"/>
            <w:vAlign w:val="center"/>
          </w:tcPr>
          <w:p>
            <w:pPr>
              <w:pStyle w:val="TableContents"/>
              <w:spacing w:before="0" w:after="283"/>
              <w:jc w:val="left"/>
              <w:rPr/>
            </w:pPr>
            <w:r>
              <w:rPr/>
              <w:t> </w:t>
            </w:r>
          </w:p>
        </w:tc>
      </w:tr>
    </w:tbl>
    <w:p>
      <w:pPr>
        <w:pStyle w:val="HorizontalLine"/>
        <w:rPr/>
      </w:pPr>
      <w:r>
        <w:rPr/>
      </w:r>
    </w:p>
    <w:p>
      <w:pPr>
        <w:pStyle w:val="TextBody"/>
        <w:jc w:val="left"/>
        <w:rPr/>
      </w:pPr>
      <w:hyperlink w:anchor="toc">
        <w:r>
          <w:rPr>
            <w:rStyle w:val="InternetLink"/>
            <w:rFonts w:ascii="Arial" w:hAnsi="Arial"/>
            <w:b/>
            <w:sz w:val="20"/>
          </w:rPr>
          <w:t>Table of Contents</w:t>
        </w:r>
      </w:hyperlink>
    </w:p>
    <w:tbl>
      <w:tblPr>
        <w:tblW w:w="2500" w:type="dxa"/>
        <w:jc w:val="left"/>
        <w:tblInd w:w="0" w:type="dxa"/>
        <w:tblCellMar>
          <w:top w:w="0" w:type="dxa"/>
          <w:left w:w="0" w:type="dxa"/>
          <w:bottom w:w="0" w:type="dxa"/>
          <w:right w:w="0" w:type="dxa"/>
        </w:tblCellMar>
      </w:tblPr>
      <w:tblGrid>
        <w:gridCol w:w="2210"/>
        <w:gridCol w:w="290"/>
      </w:tblGrid>
      <w:tr>
        <w:trPr/>
        <w:tc>
          <w:tcPr>
            <w:tcW w:w="2210" w:type="dxa"/>
            <w:tcBorders/>
            <w:shd w:fill="auto" w:val="clear"/>
            <w:vAlign w:val="center"/>
          </w:tcPr>
          <w:p>
            <w:pPr>
              <w:pStyle w:val="TableContents"/>
              <w:spacing w:before="0" w:after="283"/>
              <w:jc w:val="left"/>
              <w:rPr>
                <w:rFonts w:ascii="Arial" w:hAnsi="Arial"/>
                <w:sz w:val="15"/>
              </w:rPr>
            </w:pPr>
            <w:r>
              <w:rPr>
                <w:rFonts w:ascii="Arial" w:hAnsi="Arial"/>
                <w:b/>
                <w:sz w:val="15"/>
              </w:rPr>
              <w:t>EXECUTIVE COMPENSATION</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75</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66"/>
        <w:gridCol w:w="10039"/>
      </w:tblGrid>
      <w:tr>
        <w:trPr/>
        <w:tc>
          <w:tcPr>
            <w:tcW w:w="166" w:type="dxa"/>
            <w:tcBorders/>
            <w:shd w:fill="auto" w:val="clear"/>
            <w:vAlign w:val="center"/>
          </w:tcPr>
          <w:p>
            <w:pPr>
              <w:pStyle w:val="TableContents"/>
              <w:spacing w:before="0" w:after="283"/>
              <w:rPr>
                <w:sz w:val="4"/>
                <w:szCs w:val="4"/>
              </w:rPr>
            </w:pPr>
            <w:r>
              <w:rPr>
                <w:sz w:val="4"/>
                <w:szCs w:val="4"/>
              </w:rPr>
            </w:r>
          </w:p>
        </w:tc>
        <w:tc>
          <w:tcPr>
            <w:tcW w:w="10039" w:type="dxa"/>
            <w:tcBorders/>
            <w:shd w:fill="auto" w:val="clear"/>
            <w:vAlign w:val="center"/>
          </w:tcPr>
          <w:p>
            <w:pPr>
              <w:pStyle w:val="TableContents"/>
              <w:spacing w:before="0" w:after="283"/>
              <w:jc w:val="left"/>
              <w:rPr>
                <w:rFonts w:ascii="Arial" w:hAnsi="Arial"/>
                <w:sz w:val="15"/>
              </w:rPr>
            </w:pPr>
            <w:r>
              <w:rPr>
                <w:rFonts w:ascii="Arial" w:hAnsi="Arial"/>
                <w:sz w:val="15"/>
              </w:rPr>
              <w:t>on the achievement of performance-based vesting criteria through the end of the performance period. Based on our performance as of December 31, 2022, our named executive officers would have (i) earned a portion of the performance-based LTIP units granted in 2021 and 2022 subject to operational performance hurdles and (ii) forfeited all of the performance-based LTIP units granted in 2021 and 2022 subject to relative TSR performance. See “—Compensation Discussion and Analysis —Other Compensation Policies and Information — Outstanding Annual Equity Award Performance Summary (2020-2022).” Had Mr. DiLiberto’s new employment agreement, entered into in March 2023, been in effect as of December 31, 2022, Mr. DiLiberto would have been entitled to vest in an additional 4,580 LTIP units with a value of $155,438 that were subject to time-based vesting conditions and would have been forfeited under the terms of his prior employment agreement.</w:t>
            </w:r>
          </w:p>
        </w:tc>
      </w:tr>
      <w:tr>
        <w:trPr/>
        <w:tc>
          <w:tcPr>
            <w:tcW w:w="166" w:type="dxa"/>
            <w:tcBorders/>
            <w:shd w:fill="auto" w:val="clear"/>
            <w:vAlign w:val="center"/>
          </w:tcPr>
          <w:p>
            <w:pPr>
              <w:pStyle w:val="TableContents"/>
              <w:spacing w:before="0" w:after="283"/>
              <w:jc w:val="left"/>
              <w:rPr>
                <w:rFonts w:ascii="Arial" w:hAnsi="Arial"/>
                <w:sz w:val="15"/>
              </w:rPr>
            </w:pPr>
            <w:r>
              <w:rPr>
                <w:rFonts w:ascii="Arial" w:hAnsi="Arial"/>
                <w:sz w:val="15"/>
              </w:rPr>
              <w:t xml:space="preserve">(4) </w:t>
            </w:r>
          </w:p>
        </w:tc>
        <w:tc>
          <w:tcPr>
            <w:tcW w:w="10039" w:type="dxa"/>
            <w:tcBorders/>
            <w:shd w:fill="auto" w:val="clear"/>
            <w:vAlign w:val="center"/>
          </w:tcPr>
          <w:p>
            <w:pPr>
              <w:pStyle w:val="TableContents"/>
              <w:spacing w:before="0" w:after="283"/>
              <w:jc w:val="left"/>
              <w:rPr>
                <w:rFonts w:ascii="Arial" w:hAnsi="Arial"/>
                <w:sz w:val="15"/>
              </w:rPr>
            </w:pPr>
            <w:r>
              <w:rPr>
                <w:rFonts w:ascii="Arial" w:hAnsi="Arial"/>
                <w:sz w:val="15"/>
              </w:rPr>
              <w:t>Benefits continuation amounts are based on the actual expense for financial reporting purposes for the year ended December 31, 2022 for covering an employee under each of our group health plans during the applicable severance period.</w:t>
            </w:r>
          </w:p>
        </w:tc>
      </w:tr>
    </w:tbl>
    <w:p>
      <w:pPr>
        <w:pStyle w:val="TextBody"/>
        <w:spacing w:before="240" w:after="283"/>
        <w:jc w:val="left"/>
        <w:rPr>
          <w:rFonts w:ascii="Arial" w:hAnsi="Arial"/>
          <w:sz w:val="20"/>
        </w:rPr>
      </w:pPr>
      <w:r>
        <w:rPr>
          <w:rFonts w:ascii="Arial" w:hAnsi="Arial"/>
          <w:sz w:val="20"/>
        </w:rPr>
        <w:t>In the event a change in control had occurred on December 31, 2022 without the termination of the employment of our named executive officers, Messrs. Holliday, Mathias and Levine would have been entitled to the pro-rata bonus payments set forth in the table above. Mr. DiLiberto would have also been entitled to such payment under his new employment agreement, entered into in March 2023. In addition, TSR performance would have been measured pursuant to the Annual Performance-Based Awards, which would have resulted in all of the awards granted in 2021 and 2022 subject to both the absolute TSR modifier and relative TSR being forfeited.</w:t>
      </w:r>
    </w:p>
    <w:p>
      <w:pPr>
        <w:pStyle w:val="TextBody"/>
        <w:jc w:val="left"/>
        <w:rPr>
          <w:rFonts w:ascii="Arial" w:hAnsi="Arial"/>
          <w:sz w:val="20"/>
        </w:rPr>
      </w:pPr>
      <w:r>
        <w:rPr>
          <w:rFonts w:ascii="Arial" w:hAnsi="Arial"/>
          <w:sz w:val="20"/>
        </w:rPr>
        <w:t>The amounts described above do not include payments and benefits to the extent they have been earned prior to the termination of employment or change in 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 As a result of provisions in the named executive officers’ employment agreements, in the event that any payment or benefit to be paid or provided to an executive set forth above would have been subject to the excise tax under Sections 280G of the IRC, the payments and benefits to such executive would have been reduced to the extent necessary to avoid the imposition of such excise tax, but only if such reduction would result in a greater after-tax benefit to the executive. The amounts set forth in the table above have not been adjusted to reflect any such reduction that might be applicable.</w:t>
      </w:r>
    </w:p>
    <w:p>
      <w:pPr>
        <w:pStyle w:val="TextBody"/>
        <w:jc w:val="left"/>
        <w:rPr>
          <w:rFonts w:ascii="Arial" w:hAnsi="Arial"/>
          <w:b/>
          <w:i w:val="false"/>
          <w:caps w:val="false"/>
          <w:smallCaps w:val="false"/>
          <w:color w:val="1A2343"/>
          <w:sz w:val="26"/>
        </w:rPr>
      </w:pPr>
      <w:r>
        <w:rPr>
          <w:rFonts w:ascii="Arial" w:hAnsi="Arial"/>
          <w:b/>
          <w:i w:val="false"/>
          <w:caps w:val="false"/>
          <w:smallCaps w:val="false"/>
          <w:color w:val="1A2343"/>
          <w:sz w:val="26"/>
        </w:rPr>
        <w:t>Compensation Committee Interlocks and Insider Participation</w:t>
      </w:r>
    </w:p>
    <w:p>
      <w:pPr>
        <w:pStyle w:val="TextBody"/>
        <w:jc w:val="left"/>
        <w:rPr>
          <w:rFonts w:ascii="Arial" w:hAnsi="Arial"/>
          <w:sz w:val="20"/>
        </w:rPr>
      </w:pPr>
      <w:r>
        <w:rPr>
          <w:rFonts w:ascii="Arial" w:hAnsi="Arial"/>
          <w:sz w:val="20"/>
        </w:rPr>
        <w:t>Lauren B. Dillard (Chair), Edwin T. Burton, III and John S. Levy each served on the Compensation Committee during 2022. There are no Compensation Committee interlocks and none of our employees is a member of our Compensation Committee.</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76</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283"/>
        <w:jc w:val="left"/>
        <w:rPr>
          <w:rFonts w:ascii="Arial" w:hAnsi="Arial"/>
          <w:b/>
          <w:i w:val="false"/>
          <w:caps w:val="false"/>
          <w:smallCaps w:val="false"/>
          <w:color w:val="1A2343"/>
          <w:sz w:val="26"/>
        </w:rPr>
      </w:pPr>
      <w:r>
        <w:rPr>
          <w:rFonts w:ascii="Arial" w:hAnsi="Arial"/>
          <w:b/>
          <w:i w:val="false"/>
          <w:caps w:val="false"/>
          <w:smallCaps w:val="false"/>
          <w:color w:val="1A2343"/>
          <w:sz w:val="26"/>
        </w:rPr>
        <w:t>Pay Versus Performance</w:t>
      </w:r>
    </w:p>
    <w:p>
      <w:pPr>
        <w:pStyle w:val="TextBody"/>
        <w:jc w:val="left"/>
        <w:rPr>
          <w:rFonts w:ascii="Arial" w:hAnsi="Arial"/>
          <w:sz w:val="20"/>
        </w:rPr>
      </w:pPr>
      <w:r>
        <w:rPr>
          <w:rFonts w:ascii="Arial" w:hAnsi="Arial"/>
          <w:sz w:val="20"/>
        </w:rPr>
        <w:t>The information below presents the relationship between the compensation of our named executive officer and certain performance measures in accordance with Item 402(v) of Regulation S-K. For a discussion of our compensation programs and pay for performance philosophy, please refer to the section captioned “Compensation Discussion and Analysis,” above.</w:t>
      </w:r>
    </w:p>
    <w:p>
      <w:pPr>
        <w:pStyle w:val="TextBody"/>
        <w:jc w:val="left"/>
        <w:rPr>
          <w:rFonts w:ascii="Arial" w:hAnsi="Arial"/>
          <w:b/>
          <w:i w:val="false"/>
          <w:caps w:val="false"/>
          <w:smallCaps w:val="false"/>
          <w:color w:val="8EAD3C"/>
          <w:sz w:val="22"/>
        </w:rPr>
      </w:pPr>
      <w:r>
        <w:rPr>
          <w:rFonts w:ascii="Arial" w:hAnsi="Arial"/>
          <w:b/>
          <w:i w:val="false"/>
          <w:caps w:val="false"/>
          <w:smallCaps w:val="false"/>
          <w:color w:val="8EAD3C"/>
          <w:sz w:val="22"/>
        </w:rPr>
        <w:t>Pay Versus Performance Table</w:t>
      </w:r>
    </w:p>
    <w:p>
      <w:pPr>
        <w:pStyle w:val="Normal"/>
        <w:spacing w:before="0" w:after="0"/>
        <w:rPr>
          <w:sz w:val="4"/>
          <w:szCs w:val="4"/>
        </w:rPr>
      </w:pPr>
      <w:r>
        <w:rPr>
          <w:sz w:val="4"/>
          <w:szCs w:val="4"/>
        </w:rPr>
      </w:r>
      <w:bookmarkStart w:id="23" w:name="xdx_305_zKvF4nrJ6wc1"/>
      <w:bookmarkStart w:id="24" w:name="xdx_305_zKvF4nrJ6wc1"/>
      <w:bookmarkEnd w:id="24"/>
    </w:p>
    <w:tbl>
      <w:tblPr>
        <w:tblW w:w="9148" w:type="dxa"/>
        <w:jc w:val="left"/>
        <w:tblInd w:w="0" w:type="dxa"/>
        <w:tblCellMar>
          <w:top w:w="0" w:type="dxa"/>
          <w:left w:w="0" w:type="dxa"/>
          <w:bottom w:w="0" w:type="dxa"/>
          <w:right w:w="0" w:type="dxa"/>
        </w:tblCellMar>
      </w:tblPr>
      <w:tblGrid>
        <w:gridCol w:w="440"/>
        <w:gridCol w:w="60"/>
        <w:gridCol w:w="1025"/>
        <w:gridCol w:w="60"/>
        <w:gridCol w:w="1040"/>
        <w:gridCol w:w="80"/>
        <w:gridCol w:w="60"/>
        <w:gridCol w:w="1025"/>
        <w:gridCol w:w="290"/>
        <w:gridCol w:w="60"/>
        <w:gridCol w:w="1044"/>
        <w:gridCol w:w="85"/>
        <w:gridCol w:w="290"/>
        <w:gridCol w:w="60"/>
        <w:gridCol w:w="886"/>
        <w:gridCol w:w="62"/>
        <w:gridCol w:w="886"/>
        <w:gridCol w:w="60"/>
        <w:gridCol w:w="710"/>
        <w:gridCol w:w="80"/>
        <w:gridCol w:w="60"/>
        <w:gridCol w:w="785"/>
      </w:tblGrid>
      <w:tr>
        <w:trPr/>
        <w:tc>
          <w:tcPr>
            <w:tcW w:w="4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25" w:name="xdx_48E_eecd--PeoTotalCompAmt_zH6r3dPS0O"/>
            <w:bookmarkEnd w:id="25"/>
          </w:p>
        </w:tc>
        <w:tc>
          <w:tcPr>
            <w:tcW w:w="10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26" w:name="xdx_482_eecd--PeoActuallyPaidCompAmt_zhM"/>
            <w:bookmarkEnd w:id="26"/>
          </w:p>
        </w:tc>
        <w:tc>
          <w:tcPr>
            <w:tcW w:w="104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27" w:name="xdx_48F_eecd--NonPeoNeoAvgTotalCompAmt_z"/>
            <w:bookmarkEnd w:id="27"/>
          </w:p>
        </w:tc>
        <w:tc>
          <w:tcPr>
            <w:tcW w:w="102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28" w:name="xdx_48A_eecd--NonPeoNeoAvgCompActuallyPa"/>
            <w:bookmarkEnd w:id="28"/>
          </w:p>
        </w:tc>
        <w:tc>
          <w:tcPr>
            <w:tcW w:w="1044"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29" w:name="xdx_482_eecd--TotalShareholderRtnAmt_zqi"/>
            <w:bookmarkEnd w:id="29"/>
          </w:p>
        </w:tc>
        <w:tc>
          <w:tcPr>
            <w:tcW w:w="88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bookmarkStart w:id="30" w:name="xdx_48D_eecd--PeerGroupTotalShareholderR"/>
            <w:bookmarkEnd w:id="30"/>
          </w:p>
        </w:tc>
        <w:tc>
          <w:tcPr>
            <w:tcW w:w="88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1" w:name="xdx_485_eus-gaap--NetIncomeLoss_pdn3_zc7"/>
            <w:bookmarkEnd w:id="31"/>
          </w:p>
        </w:tc>
        <w:tc>
          <w:tcPr>
            <w:tcW w:w="71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bookmarkStart w:id="32" w:name="xdx_48A_eecd--CoSelectedMeasureAmt_pp2d_"/>
            <w:bookmarkEnd w:id="32"/>
          </w:p>
        </w:tc>
        <w:tc>
          <w:tcPr>
            <w:tcW w:w="785" w:type="dxa"/>
            <w:tcBorders/>
            <w:shd w:fill="auto" w:val="clear"/>
            <w:vAlign w:val="center"/>
          </w:tcPr>
          <w:p>
            <w:pPr>
              <w:pStyle w:val="TableContents"/>
              <w:spacing w:before="0" w:after="283"/>
              <w:rPr/>
            </w:pPr>
            <w:r>
              <w:rPr/>
              <w:t> </w:t>
            </w:r>
          </w:p>
        </w:tc>
      </w:tr>
      <w:tr>
        <w:trPr/>
        <w:tc>
          <w:tcPr>
            <w:tcW w:w="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34" w:type="dxa"/>
            <w:gridSpan w:val="3"/>
            <w:tcBorders>
              <w:bottom w:val="single" w:sz="12" w:space="0" w:color="1A2343"/>
            </w:tcBorders>
            <w:shd w:fill="auto" w:val="clear"/>
            <w:tcMar>
              <w:bottom w:w="40" w:type="dxa"/>
            </w:tcMar>
            <w:vAlign w:val="center"/>
          </w:tcPr>
          <w:p>
            <w:pPr>
              <w:pStyle w:val="TableContents"/>
              <w:spacing w:before="0" w:after="283"/>
              <w:jc w:val="center"/>
              <w:rPr>
                <w:rFonts w:ascii="Arial" w:hAnsi="Arial"/>
                <w:color w:val="1A2343"/>
                <w:sz w:val="15"/>
              </w:rPr>
            </w:pPr>
            <w:r>
              <w:rPr>
                <w:rFonts w:ascii="Arial" w:hAnsi="Arial"/>
                <w:color w:val="1A2343"/>
                <w:sz w:val="15"/>
              </w:rPr>
              <w:t>Value of Initial Fixed $100</w:t>
              <w:br/>
              <w:t>Investment Based On:</w:t>
            </w:r>
          </w:p>
        </w:tc>
        <w:tc>
          <w:tcPr>
            <w:tcW w:w="6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r>
      <w:tr>
        <w:trPr/>
        <w:tc>
          <w:tcPr>
            <w:tcW w:w="440" w:type="dxa"/>
            <w:tcBorders>
              <w:bottom w:val="single" w:sz="8" w:space="0" w:color="5B5975"/>
            </w:tcBorders>
            <w:shd w:fill="auto" w:val="clear"/>
            <w:tcMar>
              <w:bottom w:w="40" w:type="dxa"/>
            </w:tcMar>
            <w:vAlign w:val="center"/>
          </w:tcPr>
          <w:p>
            <w:pPr>
              <w:pStyle w:val="TableContents"/>
              <w:spacing w:before="0" w:after="283"/>
              <w:jc w:val="left"/>
              <w:rPr>
                <w:rFonts w:ascii="Arial" w:hAnsi="Arial"/>
                <w:color w:val="1A2343"/>
                <w:sz w:val="15"/>
              </w:rPr>
            </w:pPr>
            <w:r>
              <w:rPr>
                <w:rFonts w:ascii="Arial" w:hAnsi="Arial"/>
                <w:color w:val="1A2343"/>
                <w:sz w:val="15"/>
              </w:rPr>
              <w:t>Year</w:t>
            </w:r>
          </w:p>
        </w:tc>
        <w:tc>
          <w:tcPr>
            <w:tcW w:w="60" w:type="dxa"/>
            <w:tcBorders/>
            <w:shd w:fill="auto" w:val="clear"/>
            <w:vAlign w:val="center"/>
          </w:tcPr>
          <w:p>
            <w:pPr>
              <w:pStyle w:val="TableContents"/>
              <w:spacing w:before="0" w:after="283"/>
              <w:rPr>
                <w:sz w:val="4"/>
                <w:szCs w:val="4"/>
              </w:rPr>
            </w:pPr>
            <w:r>
              <w:rPr>
                <w:sz w:val="4"/>
                <w:szCs w:val="4"/>
              </w:rPr>
            </w:r>
          </w:p>
        </w:tc>
        <w:tc>
          <w:tcPr>
            <w:tcW w:w="1025" w:type="dxa"/>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Summary</w:t>
              <w:br/>
              <w:t>Compensation</w:t>
              <w:br/>
              <w:t>Table Total</w:t>
              <w:br/>
              <w:t>for PEO</w:t>
              <w:br/>
              <w:t>($)</w:t>
            </w:r>
          </w:p>
        </w:tc>
        <w:tc>
          <w:tcPr>
            <w:tcW w:w="60" w:type="dxa"/>
            <w:tcBorders/>
            <w:shd w:fill="auto" w:val="clear"/>
            <w:vAlign w:val="center"/>
          </w:tcPr>
          <w:p>
            <w:pPr>
              <w:pStyle w:val="TableContents"/>
              <w:spacing w:before="0" w:after="283"/>
              <w:rPr>
                <w:sz w:val="4"/>
                <w:szCs w:val="4"/>
              </w:rPr>
            </w:pPr>
            <w:r>
              <w:rPr>
                <w:sz w:val="4"/>
                <w:szCs w:val="4"/>
              </w:rPr>
            </w:r>
          </w:p>
        </w:tc>
        <w:tc>
          <w:tcPr>
            <w:tcW w:w="1120" w:type="dxa"/>
            <w:gridSpan w:val="2"/>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Compensation</w:t>
              <w:br/>
              <w:t>Actually Paid</w:t>
              <w:br/>
              <w:t>to PEO</w:t>
              <w:br/>
              <w:t>($)</w:t>
            </w:r>
            <w:r>
              <w:rPr>
                <w:rFonts w:ascii="Arial" w:hAnsi="Arial"/>
                <w:color w:val="1A2343"/>
                <w:position w:val="5"/>
                <w:sz w:val="12"/>
                <w:sz w:val="15"/>
              </w:rPr>
              <w:t>(1)</w:t>
            </w:r>
          </w:p>
        </w:tc>
        <w:tc>
          <w:tcPr>
            <w:tcW w:w="60" w:type="dxa"/>
            <w:tcBorders/>
            <w:shd w:fill="auto" w:val="clear"/>
            <w:vAlign w:val="center"/>
          </w:tcPr>
          <w:p>
            <w:pPr>
              <w:pStyle w:val="TableContents"/>
              <w:spacing w:before="0" w:after="283"/>
              <w:rPr/>
            </w:pPr>
            <w:r>
              <w:rPr/>
              <w:t> </w:t>
            </w:r>
          </w:p>
        </w:tc>
        <w:tc>
          <w:tcPr>
            <w:tcW w:w="1025" w:type="dxa"/>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Average</w:t>
              <w:br/>
              <w:t>Summary</w:t>
              <w:br/>
              <w:t>Compensation</w:t>
              <w:br/>
              <w:t>Table Total</w:t>
              <w:br/>
              <w:t>for Non-PEO</w:t>
              <w:br/>
              <w:t>NEOs</w:t>
              <w:br/>
              <w:t>($)</w:t>
            </w:r>
          </w:p>
        </w:tc>
        <w:tc>
          <w:tcPr>
            <w:tcW w:w="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29" w:type="dxa"/>
            <w:gridSpan w:val="2"/>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Average</w:t>
              <w:br/>
              <w:t>Compensation</w:t>
              <w:br/>
              <w:t>Actually Paid to</w:t>
              <w:br/>
              <w:t>Non-PEO NEOs</w:t>
              <w:br/>
              <w:t>($)</w:t>
            </w:r>
          </w:p>
        </w:tc>
        <w:tc>
          <w:tcPr>
            <w:tcW w:w="290" w:type="dxa"/>
            <w:tcBorders/>
            <w:shd w:fill="auto" w:val="clear"/>
            <w:vAlign w:val="center"/>
          </w:tcPr>
          <w:p>
            <w:pPr>
              <w:pStyle w:val="TableContents"/>
              <w:spacing w:before="0" w:after="283"/>
              <w:jc w:val="left"/>
              <w:rPr>
                <w:rFonts w:ascii="Arial" w:hAnsi="Arial"/>
                <w:color w:val="1A2343"/>
                <w:position w:val="5"/>
                <w:sz w:val="12"/>
                <w:sz w:val="15"/>
              </w:rPr>
            </w:pPr>
            <w:r>
              <w:rPr>
                <w:rFonts w:ascii="Arial" w:hAnsi="Arial"/>
                <w:color w:val="1A2343"/>
                <w:position w:val="5"/>
                <w:sz w:val="12"/>
                <w:sz w:val="15"/>
              </w:rPr>
              <w:t>(2)</w:t>
            </w:r>
          </w:p>
        </w:tc>
        <w:tc>
          <w:tcPr>
            <w:tcW w:w="60" w:type="dxa"/>
            <w:tcBorders/>
            <w:shd w:fill="auto" w:val="clear"/>
            <w:vAlign w:val="center"/>
          </w:tcPr>
          <w:p>
            <w:pPr>
              <w:pStyle w:val="TableContents"/>
              <w:spacing w:before="0" w:after="283"/>
              <w:rPr>
                <w:sz w:val="4"/>
                <w:szCs w:val="4"/>
              </w:rPr>
            </w:pPr>
            <w:r>
              <w:rPr>
                <w:sz w:val="4"/>
                <w:szCs w:val="4"/>
              </w:rPr>
            </w:r>
          </w:p>
        </w:tc>
        <w:tc>
          <w:tcPr>
            <w:tcW w:w="886" w:type="dxa"/>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Total</w:t>
              <w:br/>
              <w:t>Stockholder</w:t>
              <w:br/>
              <w:t>Return</w:t>
              <w:br/>
              <w:t>($)</w:t>
            </w:r>
            <w:r>
              <w:rPr>
                <w:rFonts w:ascii="Arial" w:hAnsi="Arial"/>
                <w:color w:val="1A2343"/>
                <w:position w:val="5"/>
                <w:sz w:val="12"/>
                <w:sz w:val="15"/>
              </w:rPr>
              <w:t>(3)</w:t>
            </w:r>
          </w:p>
        </w:tc>
        <w:tc>
          <w:tcPr>
            <w:tcW w:w="62" w:type="dxa"/>
            <w:tcBorders/>
            <w:shd w:fill="auto" w:val="clear"/>
            <w:vAlign w:val="center"/>
          </w:tcPr>
          <w:p>
            <w:pPr>
              <w:pStyle w:val="TableContents"/>
              <w:spacing w:before="0" w:after="283"/>
              <w:rPr>
                <w:sz w:val="4"/>
                <w:szCs w:val="4"/>
              </w:rPr>
            </w:pPr>
            <w:r>
              <w:rPr>
                <w:sz w:val="4"/>
                <w:szCs w:val="4"/>
              </w:rPr>
            </w:r>
          </w:p>
        </w:tc>
        <w:tc>
          <w:tcPr>
            <w:tcW w:w="886" w:type="dxa"/>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Peer Group</w:t>
              <w:br/>
              <w:t>Total</w:t>
              <w:br/>
              <w:t>Stockholder</w:t>
              <w:br/>
              <w:t>Return</w:t>
              <w:br/>
              <w:t>($)</w:t>
            </w:r>
            <w:r>
              <w:rPr>
                <w:rFonts w:ascii="Arial" w:hAnsi="Arial"/>
                <w:color w:val="1A2343"/>
                <w:position w:val="5"/>
                <w:sz w:val="12"/>
                <w:sz w:val="15"/>
              </w:rPr>
              <w:t>(4)</w:t>
            </w:r>
          </w:p>
        </w:tc>
        <w:tc>
          <w:tcPr>
            <w:tcW w:w="60" w:type="dxa"/>
            <w:tcBorders/>
            <w:shd w:fill="auto" w:val="clear"/>
            <w:vAlign w:val="center"/>
          </w:tcPr>
          <w:p>
            <w:pPr>
              <w:pStyle w:val="TableContents"/>
              <w:spacing w:before="0" w:after="283"/>
              <w:rPr>
                <w:sz w:val="4"/>
                <w:szCs w:val="4"/>
              </w:rPr>
            </w:pPr>
            <w:r>
              <w:rPr>
                <w:sz w:val="4"/>
                <w:szCs w:val="4"/>
              </w:rPr>
            </w:r>
          </w:p>
        </w:tc>
        <w:tc>
          <w:tcPr>
            <w:tcW w:w="790" w:type="dxa"/>
            <w:gridSpan w:val="2"/>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Net (Loss)</w:t>
              <w:br/>
              <w:t>Income, in</w:t>
              <w:br/>
              <w:t>thousands</w:t>
              <w:br/>
              <w:t>($)</w:t>
            </w:r>
          </w:p>
        </w:tc>
        <w:tc>
          <w:tcPr>
            <w:tcW w:w="60" w:type="dxa"/>
            <w:tcBorders/>
            <w:shd w:fill="auto" w:val="clear"/>
            <w:vAlign w:val="center"/>
          </w:tcPr>
          <w:p>
            <w:pPr>
              <w:pStyle w:val="TableContents"/>
              <w:spacing w:before="0" w:after="283"/>
              <w:rPr>
                <w:sz w:val="4"/>
                <w:szCs w:val="4"/>
              </w:rPr>
            </w:pPr>
            <w:r>
              <w:rPr>
                <w:sz w:val="4"/>
                <w:szCs w:val="4"/>
              </w:rPr>
            </w:r>
          </w:p>
        </w:tc>
        <w:tc>
          <w:tcPr>
            <w:tcW w:w="785" w:type="dxa"/>
            <w:tcBorders>
              <w:bottom w:val="single" w:sz="8" w:space="0" w:color="5B5975"/>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Normalized</w:t>
              <w:br/>
              <w:t>FFO per</w:t>
              <w:br/>
              <w:t>Share</w:t>
              <w:br/>
              <w:t>($)</w:t>
            </w:r>
            <w:r>
              <w:rPr>
                <w:rFonts w:ascii="Arial" w:hAnsi="Arial"/>
                <w:color w:val="1A2343"/>
                <w:position w:val="5"/>
                <w:sz w:val="12"/>
                <w:sz w:val="15"/>
              </w:rPr>
              <w:t>(5)</w:t>
            </w:r>
            <w:bookmarkStart w:id="33" w:name="xdx_410_20220101__20221231_zSa36MzbKLy2"/>
            <w:bookmarkEnd w:id="33"/>
          </w:p>
        </w:tc>
      </w:tr>
      <w:tr>
        <w:trPr/>
        <w:tc>
          <w:tcPr>
            <w:tcW w:w="440" w:type="dxa"/>
            <w:tcBorders>
              <w:bottom w:val="single" w:sz="8" w:space="0" w:color="5B5975"/>
            </w:tcBorders>
            <w:shd w:fill="auto" w:val="clear"/>
            <w:tcMar>
              <w:bottom w:w="28" w:type="dxa"/>
            </w:tcMar>
            <w:vAlign w:val="center"/>
          </w:tcPr>
          <w:p>
            <w:pPr>
              <w:pStyle w:val="TableContents"/>
              <w:spacing w:before="0" w:after="283"/>
              <w:jc w:val="left"/>
              <w:rPr>
                <w:rFonts w:ascii="Arial" w:hAnsi="Arial"/>
                <w:b/>
                <w:i w:val="false"/>
                <w:caps w:val="false"/>
                <w:smallCaps w:val="false"/>
                <w:color w:val="1A2343"/>
                <w:sz w:val="20"/>
              </w:rPr>
            </w:pPr>
            <w:r>
              <w:rPr>
                <w:rFonts w:ascii="Arial" w:hAnsi="Arial"/>
                <w:b/>
                <w:i w:val="false"/>
                <w:caps w:val="false"/>
                <w:smallCaps w:val="false"/>
                <w:color w:val="1A2343"/>
                <w:sz w:val="20"/>
              </w:rPr>
              <w:t>2022</w:t>
            </w:r>
          </w:p>
        </w:tc>
        <w:tc>
          <w:tcPr>
            <w:tcW w:w="60" w:type="dxa"/>
            <w:tcBorders/>
            <w:shd w:fill="auto" w:val="clear"/>
            <w:vAlign w:val="center"/>
          </w:tcPr>
          <w:p>
            <w:pPr>
              <w:pStyle w:val="TableContents"/>
              <w:spacing w:before="0" w:after="283"/>
              <w:jc w:val="left"/>
              <w:rPr/>
            </w:pPr>
            <w:r>
              <w:rPr/>
              <w:t> </w:t>
            </w:r>
          </w:p>
        </w:tc>
        <w:tc>
          <w:tcPr>
            <w:tcW w:w="10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16,660,855</w:t>
            </w:r>
          </w:p>
        </w:tc>
        <w:tc>
          <w:tcPr>
            <w:tcW w:w="60" w:type="dxa"/>
            <w:tcBorders/>
            <w:shd w:fill="auto" w:val="clear"/>
            <w:vAlign w:val="center"/>
          </w:tcPr>
          <w:p>
            <w:pPr>
              <w:pStyle w:val="TableContents"/>
              <w:spacing w:before="0" w:after="283"/>
              <w:jc w:val="right"/>
              <w:rPr/>
            </w:pPr>
            <w:r>
              <w:rPr/>
              <w:t> </w:t>
            </w:r>
          </w:p>
        </w:tc>
        <w:tc>
          <w:tcPr>
            <w:tcW w:w="104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(11,758,654</w:t>
            </w:r>
          </w:p>
        </w:tc>
        <w:tc>
          <w:tcPr>
            <w:tcW w:w="80" w:type="dxa"/>
            <w:tcBorders>
              <w:bottom w:val="single" w:sz="8" w:space="0" w:color="5B5975"/>
            </w:tcBorders>
            <w:shd w:fill="auto" w:val="clear"/>
            <w:tcMar>
              <w:bottom w:w="28" w:type="dxa"/>
            </w:tcMar>
            <w:vAlign w:val="center"/>
          </w:tcPr>
          <w:p>
            <w:pPr>
              <w:pStyle w:val="TableContents"/>
              <w:spacing w:before="0" w:after="283"/>
              <w:rPr>
                <w:rFonts w:ascii="Arial" w:hAnsi="Arial"/>
                <w:sz w:val="20"/>
              </w:rPr>
            </w:pPr>
            <w:r>
              <w:rPr>
                <w:rFonts w:ascii="Arial" w:hAnsi="Arial"/>
                <w:sz w:val="20"/>
              </w:rPr>
              <w:t>)</w:t>
            </w:r>
          </w:p>
        </w:tc>
        <w:tc>
          <w:tcPr>
            <w:tcW w:w="60" w:type="dxa"/>
            <w:tcBorders/>
            <w:shd w:fill="auto" w:val="clear"/>
            <w:vAlign w:val="center"/>
          </w:tcPr>
          <w:p>
            <w:pPr>
              <w:pStyle w:val="TableContents"/>
              <w:spacing w:before="0" w:after="283"/>
              <w:jc w:val="left"/>
              <w:rPr/>
            </w:pPr>
            <w:r>
              <w:rPr/>
              <w:t> </w:t>
            </w:r>
          </w:p>
        </w:tc>
        <w:tc>
          <w:tcPr>
            <w:tcW w:w="10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7,006,710</w:t>
            </w:r>
          </w:p>
        </w:tc>
        <w:tc>
          <w:tcPr>
            <w:tcW w:w="290" w:type="dxa"/>
            <w:tcBorders/>
            <w:shd w:fill="auto" w:val="clear"/>
            <w:vAlign w:val="center"/>
          </w:tcPr>
          <w:p>
            <w:pPr>
              <w:pStyle w:val="TableContents"/>
              <w:spacing w:before="0" w:after="283"/>
              <w:jc w:val="left"/>
              <w:rPr>
                <w:rFonts w:ascii="Arial" w:hAnsi="Arial"/>
                <w:sz w:val="20"/>
              </w:rPr>
            </w:pPr>
            <w:r>
              <w:rPr>
                <w:rFonts w:ascii="Arial" w:hAnsi="Arial"/>
                <w:position w:val="7"/>
                <w:sz w:val="16"/>
                <w:sz w:val="20"/>
              </w:rPr>
              <w:t>(6)</w:t>
            </w:r>
            <w:r>
              <w:rPr>
                <w:rFonts w:ascii="Arial" w:hAnsi="Arial"/>
                <w:sz w:val="20"/>
              </w:rPr>
              <w:t> </w:t>
            </w:r>
          </w:p>
        </w:tc>
        <w:tc>
          <w:tcPr>
            <w:tcW w:w="60" w:type="dxa"/>
            <w:tcBorders/>
            <w:shd w:fill="auto" w:val="clear"/>
            <w:vAlign w:val="center"/>
          </w:tcPr>
          <w:p>
            <w:pPr>
              <w:pStyle w:val="TableContents"/>
              <w:spacing w:before="0" w:after="283"/>
              <w:jc w:val="right"/>
              <w:rPr/>
            </w:pPr>
            <w:r>
              <w:rPr/>
              <w:t> </w:t>
            </w:r>
          </w:p>
        </w:tc>
        <w:tc>
          <w:tcPr>
            <w:tcW w:w="1044"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(2,389,306</w:t>
            </w:r>
          </w:p>
        </w:tc>
        <w:tc>
          <w:tcPr>
            <w:tcW w:w="85" w:type="dxa"/>
            <w:tcBorders>
              <w:bottom w:val="single" w:sz="8" w:space="0" w:color="5B5975"/>
            </w:tcBorders>
            <w:shd w:fill="auto" w:val="clear"/>
            <w:tcMar>
              <w:bottom w:w="28" w:type="dxa"/>
            </w:tcMar>
            <w:vAlign w:val="center"/>
          </w:tcPr>
          <w:p>
            <w:pPr>
              <w:pStyle w:val="TableContents"/>
              <w:spacing w:before="0" w:after="283"/>
              <w:rPr>
                <w:rFonts w:ascii="Arial" w:hAnsi="Arial"/>
                <w:sz w:val="20"/>
              </w:rPr>
            </w:pPr>
            <w:r>
              <w:rPr>
                <w:rFonts w:ascii="Arial" w:hAnsi="Arial"/>
                <w:sz w:val="20"/>
              </w:rPr>
              <w:t>)</w:t>
            </w:r>
          </w:p>
        </w:tc>
        <w:tc>
          <w:tcPr>
            <w:tcW w:w="290" w:type="dxa"/>
            <w:tcBorders/>
            <w:shd w:fill="auto" w:val="clear"/>
            <w:vAlign w:val="center"/>
          </w:tcPr>
          <w:p>
            <w:pPr>
              <w:pStyle w:val="TableContents"/>
              <w:spacing w:before="0" w:after="283"/>
              <w:jc w:val="left"/>
              <w:rPr>
                <w:rFonts w:ascii="Arial" w:hAnsi="Arial"/>
                <w:sz w:val="20"/>
              </w:rPr>
            </w:pPr>
            <w:r>
              <w:rPr>
                <w:rFonts w:ascii="Arial" w:hAnsi="Arial"/>
                <w:position w:val="7"/>
                <w:sz w:val="16"/>
                <w:sz w:val="20"/>
              </w:rPr>
              <w:t>(6)</w:t>
            </w:r>
            <w:r>
              <w:rPr>
                <w:rFonts w:ascii="Arial" w:hAnsi="Arial"/>
                <w:sz w:val="20"/>
              </w:rPr>
              <w:t> </w:t>
            </w:r>
          </w:p>
        </w:tc>
        <w:tc>
          <w:tcPr>
            <w:tcW w:w="60" w:type="dxa"/>
            <w:tcBorders/>
            <w:shd w:fill="auto" w:val="clear"/>
            <w:vAlign w:val="center"/>
          </w:tcPr>
          <w:p>
            <w:pPr>
              <w:pStyle w:val="TableContents"/>
              <w:spacing w:before="0" w:after="283"/>
              <w:rPr>
                <w:sz w:val="4"/>
                <w:szCs w:val="4"/>
              </w:rPr>
            </w:pPr>
            <w:r>
              <w:rPr>
                <w:sz w:val="4"/>
                <w:szCs w:val="4"/>
              </w:rPr>
            </w:r>
          </w:p>
        </w:tc>
        <w:tc>
          <w:tcPr>
            <w:tcW w:w="886"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44</w:t>
            </w:r>
          </w:p>
        </w:tc>
        <w:tc>
          <w:tcPr>
            <w:tcW w:w="62" w:type="dxa"/>
            <w:tcBorders/>
            <w:shd w:fill="auto" w:val="clear"/>
            <w:vAlign w:val="center"/>
          </w:tcPr>
          <w:p>
            <w:pPr>
              <w:pStyle w:val="TableContents"/>
              <w:spacing w:before="0" w:after="283"/>
              <w:jc w:val="right"/>
              <w:rPr/>
            </w:pPr>
            <w:r>
              <w:rPr/>
              <w:t> </w:t>
            </w:r>
          </w:p>
        </w:tc>
        <w:tc>
          <w:tcPr>
            <w:tcW w:w="886"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68</w:t>
            </w:r>
          </w:p>
        </w:tc>
        <w:tc>
          <w:tcPr>
            <w:tcW w:w="60" w:type="dxa"/>
            <w:tcBorders/>
            <w:shd w:fill="auto" w:val="clear"/>
            <w:vAlign w:val="center"/>
          </w:tcPr>
          <w:p>
            <w:pPr>
              <w:pStyle w:val="TableContents"/>
              <w:spacing w:before="0" w:after="283"/>
              <w:jc w:val="left"/>
              <w:rPr/>
            </w:pPr>
            <w:r>
              <w:rPr/>
              <w:t> </w:t>
            </w:r>
          </w:p>
        </w:tc>
        <w:tc>
          <w:tcPr>
            <w:tcW w:w="71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(76,303</w:t>
            </w:r>
          </w:p>
        </w:tc>
        <w:tc>
          <w:tcPr>
            <w:tcW w:w="80" w:type="dxa"/>
            <w:tcBorders>
              <w:bottom w:val="single" w:sz="8" w:space="0" w:color="5B5975"/>
            </w:tcBorders>
            <w:shd w:fill="auto" w:val="clear"/>
            <w:tcMar>
              <w:bottom w:w="28" w:type="dxa"/>
            </w:tcMar>
            <w:vAlign w:val="center"/>
          </w:tcPr>
          <w:p>
            <w:pPr>
              <w:pStyle w:val="TableContents"/>
              <w:spacing w:before="0" w:after="283"/>
              <w:rPr>
                <w:rFonts w:ascii="Arial" w:hAnsi="Arial"/>
                <w:sz w:val="20"/>
              </w:rPr>
            </w:pPr>
            <w:r>
              <w:rPr>
                <w:rFonts w:ascii="Arial" w:hAnsi="Arial"/>
                <w:sz w:val="20"/>
              </w:rPr>
              <w:t>)</w:t>
            </w:r>
          </w:p>
        </w:tc>
        <w:tc>
          <w:tcPr>
            <w:tcW w:w="60" w:type="dxa"/>
            <w:tcBorders/>
            <w:shd w:fill="auto" w:val="clear"/>
            <w:vAlign w:val="center"/>
          </w:tcPr>
          <w:p>
            <w:pPr>
              <w:pStyle w:val="TableContents"/>
              <w:spacing w:before="0" w:after="283"/>
              <w:jc w:val="left"/>
              <w:rPr/>
            </w:pPr>
            <w:r>
              <w:rPr/>
              <w:t> </w:t>
            </w:r>
          </w:p>
        </w:tc>
        <w:tc>
          <w:tcPr>
            <w:tcW w:w="7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6.76</w:t>
            </w:r>
            <w:bookmarkStart w:id="34" w:name="xdx_411_20210101__20211231_zPx2VQbcCzDf"/>
            <w:bookmarkEnd w:id="34"/>
          </w:p>
        </w:tc>
      </w:tr>
      <w:tr>
        <w:trPr/>
        <w:tc>
          <w:tcPr>
            <w:tcW w:w="440" w:type="dxa"/>
            <w:tcBorders>
              <w:bottom w:val="single" w:sz="8" w:space="0" w:color="5B5975"/>
            </w:tcBorders>
            <w:shd w:fill="auto" w:val="clear"/>
            <w:tcMar>
              <w:bottom w:w="28" w:type="dxa"/>
            </w:tcMar>
            <w:vAlign w:val="center"/>
          </w:tcPr>
          <w:p>
            <w:pPr>
              <w:pStyle w:val="TableContents"/>
              <w:spacing w:before="0" w:after="283"/>
              <w:jc w:val="left"/>
              <w:rPr>
                <w:rFonts w:ascii="Arial" w:hAnsi="Arial"/>
                <w:b/>
                <w:i w:val="false"/>
                <w:caps w:val="false"/>
                <w:smallCaps w:val="false"/>
                <w:color w:val="1A2343"/>
                <w:sz w:val="20"/>
              </w:rPr>
            </w:pPr>
            <w:r>
              <w:rPr>
                <w:rFonts w:ascii="Arial" w:hAnsi="Arial"/>
                <w:b/>
                <w:i w:val="false"/>
                <w:caps w:val="false"/>
                <w:smallCaps w:val="false"/>
                <w:color w:val="1A2343"/>
                <w:sz w:val="20"/>
              </w:rPr>
              <w:t>2021</w:t>
            </w:r>
          </w:p>
        </w:tc>
        <w:tc>
          <w:tcPr>
            <w:tcW w:w="60" w:type="dxa"/>
            <w:tcBorders/>
            <w:shd w:fill="auto" w:val="clear"/>
            <w:vAlign w:val="center"/>
          </w:tcPr>
          <w:p>
            <w:pPr>
              <w:pStyle w:val="TableContents"/>
              <w:spacing w:before="0" w:after="283"/>
              <w:rPr>
                <w:sz w:val="4"/>
                <w:szCs w:val="4"/>
              </w:rPr>
            </w:pPr>
            <w:r>
              <w:rPr>
                <w:sz w:val="4"/>
                <w:szCs w:val="4"/>
              </w:rPr>
            </w:r>
          </w:p>
        </w:tc>
        <w:tc>
          <w:tcPr>
            <w:tcW w:w="10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21,088,057</w:t>
            </w:r>
          </w:p>
        </w:tc>
        <w:tc>
          <w:tcPr>
            <w:tcW w:w="60" w:type="dxa"/>
            <w:tcBorders/>
            <w:shd w:fill="auto" w:val="clear"/>
            <w:vAlign w:val="center"/>
          </w:tcPr>
          <w:p>
            <w:pPr>
              <w:pStyle w:val="TableContents"/>
              <w:spacing w:before="0" w:after="283"/>
              <w:rPr>
                <w:sz w:val="4"/>
                <w:szCs w:val="4"/>
              </w:rPr>
            </w:pPr>
            <w:r>
              <w:rPr>
                <w:sz w:val="4"/>
                <w:szCs w:val="4"/>
              </w:rPr>
            </w:r>
          </w:p>
        </w:tc>
        <w:tc>
          <w:tcPr>
            <w:tcW w:w="104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32,642,206 </w:t>
            </w:r>
          </w:p>
        </w:tc>
        <w:tc>
          <w:tcPr>
            <w:tcW w:w="80" w:type="dxa"/>
            <w:tcBorders>
              <w:bottom w:val="single" w:sz="8" w:space="0" w:color="5B5975"/>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0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7,711,773</w:t>
            </w:r>
          </w:p>
        </w:tc>
        <w:tc>
          <w:tcPr>
            <w:tcW w:w="290" w:type="dxa"/>
            <w:tcBorders/>
            <w:shd w:fill="auto" w:val="clear"/>
            <w:vAlign w:val="center"/>
          </w:tcPr>
          <w:p>
            <w:pPr>
              <w:pStyle w:val="TableContents"/>
              <w:spacing w:before="0" w:after="283"/>
              <w:jc w:val="left"/>
              <w:rPr>
                <w:rFonts w:ascii="Arial" w:hAnsi="Arial"/>
                <w:sz w:val="20"/>
              </w:rPr>
            </w:pPr>
            <w:r>
              <w:rPr>
                <w:rFonts w:ascii="Arial" w:hAnsi="Arial"/>
                <w:position w:val="7"/>
                <w:sz w:val="16"/>
                <w:sz w:val="20"/>
              </w:rPr>
              <w:t>(6)</w:t>
            </w:r>
            <w:r>
              <w:rPr>
                <w:rFonts w:ascii="Arial" w:hAnsi="Arial"/>
                <w:sz w:val="20"/>
              </w:rPr>
              <w:t> </w:t>
            </w:r>
          </w:p>
        </w:tc>
        <w:tc>
          <w:tcPr>
            <w:tcW w:w="60" w:type="dxa"/>
            <w:tcBorders/>
            <w:shd w:fill="auto" w:val="clear"/>
            <w:vAlign w:val="center"/>
          </w:tcPr>
          <w:p>
            <w:pPr>
              <w:pStyle w:val="TableContents"/>
              <w:spacing w:before="0" w:after="283"/>
              <w:rPr>
                <w:sz w:val="4"/>
                <w:szCs w:val="4"/>
              </w:rPr>
            </w:pPr>
            <w:r>
              <w:rPr>
                <w:sz w:val="4"/>
                <w:szCs w:val="4"/>
              </w:rPr>
            </w:r>
          </w:p>
        </w:tc>
        <w:tc>
          <w:tcPr>
            <w:tcW w:w="1044"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11,892,497</w:t>
            </w:r>
          </w:p>
        </w:tc>
        <w:tc>
          <w:tcPr>
            <w:tcW w:w="85" w:type="dxa"/>
            <w:tcBorders>
              <w:bottom w:val="single" w:sz="8" w:space="0" w:color="5B5975"/>
            </w:tcBorders>
            <w:shd w:fill="auto" w:val="clear"/>
            <w:tcMar>
              <w:bottom w:w="28" w:type="dxa"/>
            </w:tcM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rFonts w:ascii="Arial" w:hAnsi="Arial"/>
                <w:sz w:val="20"/>
              </w:rPr>
            </w:pPr>
            <w:r>
              <w:rPr>
                <w:rFonts w:ascii="Arial" w:hAnsi="Arial"/>
                <w:position w:val="7"/>
                <w:sz w:val="16"/>
                <w:sz w:val="20"/>
              </w:rPr>
              <w:t>(6)</w:t>
            </w:r>
            <w:r>
              <w:rPr>
                <w:rFonts w:ascii="Arial" w:hAnsi="Arial"/>
                <w:sz w:val="20"/>
              </w:rPr>
              <w:t> </w:t>
            </w:r>
          </w:p>
        </w:tc>
        <w:tc>
          <w:tcPr>
            <w:tcW w:w="60" w:type="dxa"/>
            <w:tcBorders/>
            <w:shd w:fill="auto" w:val="clear"/>
            <w:vAlign w:val="center"/>
          </w:tcPr>
          <w:p>
            <w:pPr>
              <w:pStyle w:val="TableContents"/>
              <w:spacing w:before="0" w:after="283"/>
              <w:rPr>
                <w:sz w:val="4"/>
                <w:szCs w:val="4"/>
              </w:rPr>
            </w:pPr>
            <w:r>
              <w:rPr>
                <w:sz w:val="4"/>
                <w:szCs w:val="4"/>
              </w:rPr>
            </w:r>
          </w:p>
        </w:tc>
        <w:tc>
          <w:tcPr>
            <w:tcW w:w="886"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90</w:t>
            </w:r>
          </w:p>
        </w:tc>
        <w:tc>
          <w:tcPr>
            <w:tcW w:w="62" w:type="dxa"/>
            <w:tcBorders/>
            <w:shd w:fill="auto" w:val="clear"/>
            <w:vAlign w:val="center"/>
          </w:tcPr>
          <w:p>
            <w:pPr>
              <w:pStyle w:val="TableContents"/>
              <w:spacing w:before="0" w:after="283"/>
              <w:rPr>
                <w:sz w:val="4"/>
                <w:szCs w:val="4"/>
              </w:rPr>
            </w:pPr>
            <w:r>
              <w:rPr>
                <w:sz w:val="4"/>
                <w:szCs w:val="4"/>
              </w:rPr>
            </w:r>
          </w:p>
        </w:tc>
        <w:tc>
          <w:tcPr>
            <w:tcW w:w="886"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103</w:t>
            </w:r>
          </w:p>
        </w:tc>
        <w:tc>
          <w:tcPr>
            <w:tcW w:w="60" w:type="dxa"/>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480,632</w:t>
            </w:r>
          </w:p>
        </w:tc>
        <w:tc>
          <w:tcPr>
            <w:tcW w:w="80" w:type="dxa"/>
            <w:tcBorders>
              <w:bottom w:val="single" w:sz="8" w:space="0" w:color="5B5975"/>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6.58</w:t>
            </w:r>
            <w:bookmarkStart w:id="35" w:name="xdx_416_20200101__20201231_zFGlUFpNhshb"/>
            <w:bookmarkEnd w:id="35"/>
          </w:p>
        </w:tc>
      </w:tr>
      <w:tr>
        <w:trPr/>
        <w:tc>
          <w:tcPr>
            <w:tcW w:w="440" w:type="dxa"/>
            <w:tcBorders>
              <w:bottom w:val="single" w:sz="12" w:space="0" w:color="1A2343"/>
            </w:tcBorders>
            <w:shd w:fill="auto" w:val="clear"/>
            <w:tcMar>
              <w:bottom w:w="28" w:type="dxa"/>
            </w:tcMar>
            <w:vAlign w:val="center"/>
          </w:tcPr>
          <w:p>
            <w:pPr>
              <w:pStyle w:val="TableContents"/>
              <w:spacing w:before="0" w:after="283"/>
              <w:jc w:val="left"/>
              <w:rPr>
                <w:rFonts w:ascii="Arial" w:hAnsi="Arial"/>
                <w:b/>
                <w:i w:val="false"/>
                <w:caps w:val="false"/>
                <w:smallCaps w:val="false"/>
                <w:color w:val="1A2343"/>
                <w:sz w:val="20"/>
              </w:rPr>
            </w:pPr>
            <w:r>
              <w:rPr>
                <w:rFonts w:ascii="Arial" w:hAnsi="Arial"/>
                <w:b/>
                <w:i w:val="false"/>
                <w:caps w:val="false"/>
                <w:smallCaps w:val="false"/>
                <w:color w:val="1A2343"/>
                <w:sz w:val="20"/>
              </w:rPr>
              <w:t>2020</w:t>
            </w:r>
          </w:p>
        </w:tc>
        <w:tc>
          <w:tcPr>
            <w:tcW w:w="60" w:type="dxa"/>
            <w:tcBorders/>
            <w:shd w:fill="auto" w:val="clear"/>
            <w:vAlign w:val="center"/>
          </w:tcPr>
          <w:p>
            <w:pPr>
              <w:pStyle w:val="TableContents"/>
              <w:spacing w:before="0" w:after="283"/>
              <w:rPr>
                <w:sz w:val="4"/>
                <w:szCs w:val="4"/>
              </w:rPr>
            </w:pPr>
            <w:r>
              <w:rPr>
                <w:sz w:val="4"/>
                <w:szCs w:val="4"/>
              </w:rPr>
            </w:r>
          </w:p>
        </w:tc>
        <w:tc>
          <w:tcPr>
            <w:tcW w:w="102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15,194,726</w:t>
            </w:r>
          </w:p>
        </w:tc>
        <w:tc>
          <w:tcPr>
            <w:tcW w:w="60" w:type="dxa"/>
            <w:tcBorders/>
            <w:shd w:fill="auto" w:val="clear"/>
            <w:vAlign w:val="center"/>
          </w:tcPr>
          <w:p>
            <w:pPr>
              <w:pStyle w:val="TableContents"/>
              <w:spacing w:before="0" w:after="283"/>
              <w:rPr>
                <w:sz w:val="4"/>
                <w:szCs w:val="4"/>
              </w:rPr>
            </w:pPr>
            <w:r>
              <w:rPr>
                <w:sz w:val="4"/>
                <w:szCs w:val="4"/>
              </w:rPr>
            </w:r>
          </w:p>
        </w:tc>
        <w:tc>
          <w:tcPr>
            <w:tcW w:w="104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9,617,334 </w:t>
            </w:r>
          </w:p>
        </w:tc>
        <w:tc>
          <w:tcPr>
            <w:tcW w:w="80" w:type="dxa"/>
            <w:tcBorders>
              <w:bottom w:val="single" w:sz="12" w:space="0" w:color="1A2343"/>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02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6,741,540</w:t>
            </w:r>
          </w:p>
        </w:tc>
        <w:tc>
          <w:tcPr>
            <w:tcW w:w="290" w:type="dxa"/>
            <w:tcBorders/>
            <w:shd w:fill="auto" w:val="clear"/>
            <w:vAlign w:val="center"/>
          </w:tcPr>
          <w:p>
            <w:pPr>
              <w:pStyle w:val="TableContents"/>
              <w:spacing w:before="0" w:after="283"/>
              <w:jc w:val="left"/>
              <w:rPr>
                <w:rFonts w:ascii="Arial" w:hAnsi="Arial"/>
                <w:sz w:val="20"/>
              </w:rPr>
            </w:pPr>
            <w:r>
              <w:rPr>
                <w:rFonts w:ascii="Arial" w:hAnsi="Arial"/>
                <w:position w:val="7"/>
                <w:sz w:val="16"/>
                <w:sz w:val="20"/>
              </w:rPr>
              <w:t>(6)</w:t>
            </w:r>
            <w:r>
              <w:rPr>
                <w:rFonts w:ascii="Arial" w:hAnsi="Arial"/>
                <w:sz w:val="20"/>
              </w:rPr>
              <w:t> </w:t>
            </w:r>
          </w:p>
        </w:tc>
        <w:tc>
          <w:tcPr>
            <w:tcW w:w="60" w:type="dxa"/>
            <w:tcBorders/>
            <w:shd w:fill="auto" w:val="clear"/>
            <w:vAlign w:val="center"/>
          </w:tcPr>
          <w:p>
            <w:pPr>
              <w:pStyle w:val="TableContents"/>
              <w:spacing w:before="0" w:after="283"/>
              <w:rPr>
                <w:sz w:val="4"/>
                <w:szCs w:val="4"/>
              </w:rPr>
            </w:pPr>
            <w:r>
              <w:rPr>
                <w:sz w:val="4"/>
                <w:szCs w:val="4"/>
              </w:rPr>
            </w:r>
          </w:p>
        </w:tc>
        <w:tc>
          <w:tcPr>
            <w:tcW w:w="1044"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4,241,771</w:t>
            </w:r>
          </w:p>
        </w:tc>
        <w:tc>
          <w:tcPr>
            <w:tcW w:w="85" w:type="dxa"/>
            <w:tcBorders>
              <w:bottom w:val="single" w:sz="12" w:space="0" w:color="1A2343"/>
            </w:tcBorders>
            <w:shd w:fill="auto" w:val="clear"/>
            <w:tcMar>
              <w:bottom w:w="28" w:type="dxa"/>
            </w:tcM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rFonts w:ascii="Arial" w:hAnsi="Arial"/>
                <w:sz w:val="20"/>
              </w:rPr>
            </w:pPr>
            <w:r>
              <w:rPr>
                <w:rFonts w:ascii="Arial" w:hAnsi="Arial"/>
                <w:position w:val="7"/>
                <w:sz w:val="16"/>
                <w:sz w:val="20"/>
              </w:rPr>
              <w:t>(6)</w:t>
            </w:r>
            <w:r>
              <w:rPr>
                <w:rFonts w:ascii="Arial" w:hAnsi="Arial"/>
                <w:sz w:val="20"/>
              </w:rPr>
              <w:t> </w:t>
            </w:r>
          </w:p>
        </w:tc>
        <w:tc>
          <w:tcPr>
            <w:tcW w:w="60" w:type="dxa"/>
            <w:tcBorders/>
            <w:shd w:fill="auto" w:val="clear"/>
            <w:vAlign w:val="center"/>
          </w:tcPr>
          <w:p>
            <w:pPr>
              <w:pStyle w:val="TableContents"/>
              <w:spacing w:before="0" w:after="283"/>
              <w:rPr>
                <w:sz w:val="4"/>
                <w:szCs w:val="4"/>
              </w:rPr>
            </w:pPr>
            <w:r>
              <w:rPr>
                <w:sz w:val="4"/>
                <w:szCs w:val="4"/>
              </w:rPr>
            </w:r>
          </w:p>
        </w:tc>
        <w:tc>
          <w:tcPr>
            <w:tcW w:w="886"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71</w:t>
            </w:r>
          </w:p>
        </w:tc>
        <w:tc>
          <w:tcPr>
            <w:tcW w:w="62" w:type="dxa"/>
            <w:tcBorders/>
            <w:shd w:fill="auto" w:val="clear"/>
            <w:vAlign w:val="center"/>
          </w:tcPr>
          <w:p>
            <w:pPr>
              <w:pStyle w:val="TableContents"/>
              <w:spacing w:before="0" w:after="283"/>
              <w:rPr>
                <w:sz w:val="4"/>
                <w:szCs w:val="4"/>
              </w:rPr>
            </w:pPr>
            <w:r>
              <w:rPr>
                <w:sz w:val="4"/>
                <w:szCs w:val="4"/>
              </w:rPr>
            </w:r>
          </w:p>
        </w:tc>
        <w:tc>
          <w:tcPr>
            <w:tcW w:w="886"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78</w:t>
            </w:r>
          </w:p>
        </w:tc>
        <w:tc>
          <w:tcPr>
            <w:tcW w:w="60" w:type="dxa"/>
            <w:tcBorders/>
            <w:shd w:fill="auto" w:val="clear"/>
            <w:vAlign w:val="center"/>
          </w:tcPr>
          <w:p>
            <w:pPr>
              <w:pStyle w:val="TableContents"/>
              <w:spacing w:before="0" w:after="283"/>
              <w:rPr>
                <w:sz w:val="4"/>
                <w:szCs w:val="4"/>
              </w:rPr>
            </w:pPr>
            <w:r>
              <w:rPr>
                <w:sz w:val="4"/>
                <w:szCs w:val="4"/>
              </w:rPr>
            </w:r>
          </w:p>
        </w:tc>
        <w:tc>
          <w:tcPr>
            <w:tcW w:w="71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414,758</w:t>
            </w:r>
          </w:p>
        </w:tc>
        <w:tc>
          <w:tcPr>
            <w:tcW w:w="80" w:type="dxa"/>
            <w:tcBorders>
              <w:bottom w:val="single" w:sz="12" w:space="0" w:color="1A2343"/>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6.85</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168"/>
        <w:gridCol w:w="10037"/>
      </w:tblGrid>
      <w:tr>
        <w:trPr/>
        <w:tc>
          <w:tcPr>
            <w:tcW w:w="168"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10037" w:type="dxa"/>
            <w:tcBorders/>
            <w:shd w:fill="auto" w:val="clear"/>
            <w:vAlign w:val="center"/>
          </w:tcPr>
          <w:p>
            <w:pPr>
              <w:pStyle w:val="TableContents"/>
              <w:spacing w:before="0" w:after="283"/>
              <w:jc w:val="left"/>
              <w:rPr>
                <w:rFonts w:ascii="Arial" w:hAnsi="Arial"/>
                <w:sz w:val="15"/>
              </w:rPr>
            </w:pPr>
            <w:r>
              <w:rPr>
                <w:rFonts w:ascii="Arial" w:hAnsi="Arial"/>
                <w:sz w:val="15"/>
              </w:rPr>
              <w:t xml:space="preserve">Represents amounts of “compensation actually paid” as computed in accordance with Item 402(v) of Regulation S-K, not the actual amount of compensation earned by or paid to </w:t>
            </w:r>
            <w:bookmarkStart w:id="36" w:name="xdx_90A_eecd--PeoName_c20200101__2020123"/>
            <w:bookmarkStart w:id="37" w:name="xdx_90D_eecd--PeoName_c20210101__2021123"/>
            <w:bookmarkStart w:id="38" w:name="xdx_907_eecd--PeoName_c20220101__2022123"/>
            <w:bookmarkEnd w:id="36"/>
            <w:bookmarkEnd w:id="37"/>
            <w:bookmarkEnd w:id="38"/>
            <w:r>
              <w:rPr>
                <w:rFonts w:ascii="Arial" w:hAnsi="Arial"/>
                <w:sz w:val="15"/>
              </w:rPr>
              <w:t>Mr. Holliday during each year. The table below reflects the adjustments made from the amounts reported in the “Total” column of the Summary Compensation Table for each year to calculate the amounts set forth in “Compensation Actually Paid to PEO” column in the table above.</w:t>
            </w:r>
          </w:p>
        </w:tc>
      </w:tr>
    </w:tbl>
    <w:p>
      <w:pPr>
        <w:pStyle w:val="TextBody"/>
        <w:spacing w:before="0" w:after="0"/>
        <w:rPr/>
      </w:pPr>
      <w:r>
        <w:rPr/>
      </w:r>
    </w:p>
    <w:p>
      <w:pPr>
        <w:pStyle w:val="Normal"/>
        <w:spacing w:before="0" w:after="0"/>
        <w:rPr>
          <w:sz w:val="4"/>
          <w:szCs w:val="4"/>
        </w:rPr>
      </w:pPr>
      <w:r>
        <w:rPr>
          <w:sz w:val="4"/>
          <w:szCs w:val="4"/>
        </w:rPr>
      </w:r>
      <w:bookmarkStart w:id="39" w:name="xdx_302_z9C7xFJ6yei4"/>
      <w:bookmarkStart w:id="40" w:name="xdx_302_z9C7xFJ6yei4"/>
      <w:bookmarkEnd w:id="40"/>
    </w:p>
    <w:tbl>
      <w:tblPr>
        <w:tblW w:w="5605" w:type="dxa"/>
        <w:jc w:val="left"/>
        <w:tblInd w:w="0" w:type="dxa"/>
        <w:tblCellMar>
          <w:top w:w="0" w:type="dxa"/>
          <w:left w:w="0" w:type="dxa"/>
          <w:bottom w:w="40" w:type="dxa"/>
          <w:right w:w="0" w:type="dxa"/>
        </w:tblCellMar>
      </w:tblPr>
      <w:tblGrid>
        <w:gridCol w:w="380"/>
        <w:gridCol w:w="300"/>
        <w:gridCol w:w="1025"/>
        <w:gridCol w:w="300"/>
        <w:gridCol w:w="1040"/>
        <w:gridCol w:w="300"/>
        <w:gridCol w:w="935"/>
        <w:gridCol w:w="300"/>
        <w:gridCol w:w="1025"/>
      </w:tblGrid>
      <w:tr>
        <w:trPr/>
        <w:tc>
          <w:tcPr>
            <w:tcW w:w="38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Year</w:t>
            </w:r>
          </w:p>
        </w:tc>
        <w:tc>
          <w:tcPr>
            <w:tcW w:w="300" w:type="dxa"/>
            <w:tcBorders/>
            <w:shd w:fill="auto" w:val="clear"/>
            <w:tcMar>
              <w:bottom w:w="0" w:type="dxa"/>
            </w:tcMar>
            <w:vAlign w:val="center"/>
          </w:tcPr>
          <w:p>
            <w:pPr>
              <w:pStyle w:val="TableContents"/>
              <w:spacing w:before="0" w:after="283"/>
              <w:jc w:val="left"/>
              <w:rPr/>
            </w:pPr>
            <w:r>
              <w:rPr/>
              <w:t>     </w:t>
            </w:r>
            <w:bookmarkStart w:id="41" w:name="xdx_48E_eecd--PeoTotalCompAmt_zsdxdZTnkZ"/>
            <w:bookmarkEnd w:id="41"/>
          </w:p>
        </w:tc>
        <w:tc>
          <w:tcPr>
            <w:tcW w:w="1025"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Summary</w:t>
              <w:br/>
              <w:t>Compensation</w:t>
              <w:br/>
              <w:t>Table Total</w:t>
              <w:br/>
              <w:t>for PEO</w:t>
              <w:br/>
              <w:t>($)</w:t>
            </w:r>
          </w:p>
        </w:tc>
        <w:tc>
          <w:tcPr>
            <w:tcW w:w="300" w:type="dxa"/>
            <w:tcBorders/>
            <w:shd w:fill="auto" w:val="clear"/>
            <w:tcMar>
              <w:bottom w:w="0" w:type="dxa"/>
            </w:tcMar>
            <w:vAlign w:val="center"/>
          </w:tcPr>
          <w:p>
            <w:pPr>
              <w:pStyle w:val="TableContents"/>
              <w:spacing w:before="0" w:after="283"/>
              <w:jc w:val="right"/>
              <w:rPr/>
            </w:pPr>
            <w:r>
              <w:rPr/>
              <w:t>     </w:t>
            </w:r>
            <w:bookmarkStart w:id="42" w:name="xdx_488_eecd--AdjToCompAmt_hecd--AdjToCo"/>
            <w:bookmarkEnd w:id="42"/>
          </w:p>
        </w:tc>
        <w:tc>
          <w:tcPr>
            <w:tcW w:w="1040"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Less Summary</w:t>
              <w:br/>
              <w:t>Compensation</w:t>
              <w:br/>
              <w:t>Table Value of</w:t>
              <w:br/>
              <w:t>Equity Awards</w:t>
              <w:br/>
              <w:t>($)</w:t>
            </w:r>
            <w:r>
              <w:rPr>
                <w:rFonts w:ascii="Arial" w:hAnsi="Arial"/>
                <w:color w:val="1A2343"/>
                <w:position w:val="5"/>
                <w:sz w:val="12"/>
                <w:sz w:val="15"/>
              </w:rPr>
              <w:t>(a)</w:t>
            </w:r>
          </w:p>
        </w:tc>
        <w:tc>
          <w:tcPr>
            <w:tcW w:w="300" w:type="dxa"/>
            <w:tcBorders/>
            <w:shd w:fill="auto" w:val="clear"/>
            <w:tcMar>
              <w:bottom w:w="0" w:type="dxa"/>
            </w:tcMar>
            <w:vAlign w:val="center"/>
          </w:tcPr>
          <w:p>
            <w:pPr>
              <w:pStyle w:val="TableContents"/>
              <w:spacing w:before="0" w:after="283"/>
              <w:jc w:val="right"/>
              <w:rPr/>
            </w:pPr>
            <w:r>
              <w:rPr/>
              <w:t>     </w:t>
            </w:r>
            <w:bookmarkStart w:id="43" w:name="xdx_48B_eecd--AdjToCompAmt_hecd--AdjToCo"/>
            <w:bookmarkEnd w:id="43"/>
          </w:p>
        </w:tc>
        <w:tc>
          <w:tcPr>
            <w:tcW w:w="935"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Fair Value of</w:t>
              <w:br/>
              <w:t>Equity Award</w:t>
              <w:br/>
              <w:t>Adjustments</w:t>
              <w:br/>
              <w:t>($)</w:t>
            </w:r>
            <w:r>
              <w:rPr>
                <w:rFonts w:ascii="Arial" w:hAnsi="Arial"/>
                <w:color w:val="1A2343"/>
                <w:position w:val="5"/>
                <w:sz w:val="12"/>
                <w:sz w:val="15"/>
              </w:rPr>
              <w:t>(b)</w:t>
            </w:r>
          </w:p>
        </w:tc>
        <w:tc>
          <w:tcPr>
            <w:tcW w:w="300" w:type="dxa"/>
            <w:tcBorders/>
            <w:shd w:fill="auto" w:val="clear"/>
            <w:tcMar>
              <w:bottom w:w="0" w:type="dxa"/>
            </w:tcMar>
            <w:vAlign w:val="center"/>
          </w:tcPr>
          <w:p>
            <w:pPr>
              <w:pStyle w:val="TableContents"/>
              <w:spacing w:before="0" w:after="283"/>
              <w:jc w:val="left"/>
              <w:rPr/>
            </w:pPr>
            <w:r>
              <w:rPr/>
              <w:t>     </w:t>
            </w:r>
            <w:bookmarkStart w:id="44" w:name="xdx_482_eecd--PeoActuallyPaidCompAmt_zxC"/>
            <w:bookmarkEnd w:id="44"/>
          </w:p>
        </w:tc>
        <w:tc>
          <w:tcPr>
            <w:tcW w:w="1025"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Compensation</w:t>
              <w:br/>
              <w:t>Actually Paid</w:t>
              <w:br/>
              <w:t>to PEO</w:t>
              <w:br/>
              <w:t>($)</w:t>
            </w:r>
            <w:bookmarkStart w:id="45" w:name="xdx_410_20220101__20221231_zeQN4LrNO237"/>
            <w:bookmarkEnd w:id="45"/>
          </w:p>
        </w:tc>
      </w:tr>
      <w:tr>
        <w:trPr/>
        <w:tc>
          <w:tcPr>
            <w:tcW w:w="380" w:type="dxa"/>
            <w:tcBorders>
              <w:bottom w:val="single" w:sz="8" w:space="0" w:color="5B5975"/>
            </w:tcBorders>
            <w:shd w:fill="auto" w:val="clear"/>
            <w:tcMar>
              <w:bottom w:w="28" w:type="dxa"/>
            </w:tcMar>
            <w:vAlign w:val="center"/>
          </w:tcPr>
          <w:p>
            <w:pPr>
              <w:pStyle w:val="TableContents"/>
              <w:spacing w:before="0" w:after="283"/>
              <w:jc w:val="left"/>
              <w:rPr>
                <w:rFonts w:ascii="Arial" w:hAnsi="Arial"/>
                <w:b/>
                <w:i w:val="false"/>
                <w:caps w:val="false"/>
                <w:smallCaps w:val="false"/>
                <w:color w:val="1A2343"/>
                <w:sz w:val="15"/>
              </w:rPr>
            </w:pPr>
            <w:r>
              <w:rPr>
                <w:rFonts w:ascii="Arial" w:hAnsi="Arial"/>
                <w:b/>
                <w:i w:val="false"/>
                <w:caps w:val="false"/>
                <w:smallCaps w:val="false"/>
                <w:color w:val="1A2343"/>
                <w:sz w:val="15"/>
              </w:rPr>
              <w:t>2022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0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16,660,855</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04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(14,284,701)</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3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(14,134,808)</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0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(11,758,654)</w:t>
            </w:r>
            <w:bookmarkStart w:id="46" w:name="xdx_411_20210101__20211231_zRSlEhoeuG5e"/>
            <w:bookmarkEnd w:id="46"/>
          </w:p>
        </w:tc>
      </w:tr>
      <w:tr>
        <w:trPr/>
        <w:tc>
          <w:tcPr>
            <w:tcW w:w="380" w:type="dxa"/>
            <w:tcBorders>
              <w:bottom w:val="single" w:sz="8" w:space="0" w:color="5B5975"/>
            </w:tcBorders>
            <w:shd w:fill="auto" w:val="clear"/>
            <w:tcMar>
              <w:bottom w:w="28" w:type="dxa"/>
            </w:tcMar>
            <w:vAlign w:val="center"/>
          </w:tcPr>
          <w:p>
            <w:pPr>
              <w:pStyle w:val="TableContents"/>
              <w:spacing w:before="0" w:after="283"/>
              <w:jc w:val="left"/>
              <w:rPr>
                <w:rFonts w:ascii="Arial" w:hAnsi="Arial"/>
                <w:b/>
                <w:i w:val="false"/>
                <w:caps w:val="false"/>
                <w:smallCaps w:val="false"/>
                <w:color w:val="1A2343"/>
                <w:sz w:val="15"/>
              </w:rPr>
            </w:pPr>
            <w:r>
              <w:rPr>
                <w:rFonts w:ascii="Arial" w:hAnsi="Arial"/>
                <w:b/>
                <w:i w:val="false"/>
                <w:caps w:val="false"/>
                <w:smallCaps w:val="false"/>
                <w:color w:val="1A2343"/>
                <w:sz w:val="15"/>
              </w:rPr>
              <w:t>2021</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0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21,088,057</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04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(18,099,677)</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3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29,653,826 </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02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32,642,206</w:t>
            </w:r>
            <w:bookmarkStart w:id="47" w:name="xdx_416_20200101__20201231_zL9SwvYgiUfl"/>
            <w:bookmarkEnd w:id="47"/>
          </w:p>
        </w:tc>
      </w:tr>
      <w:tr>
        <w:trPr/>
        <w:tc>
          <w:tcPr>
            <w:tcW w:w="380" w:type="dxa"/>
            <w:tcBorders>
              <w:bottom w:val="single" w:sz="12" w:space="0" w:color="1A2343"/>
            </w:tcBorders>
            <w:shd w:fill="auto" w:val="clear"/>
            <w:tcMar>
              <w:bottom w:w="28" w:type="dxa"/>
            </w:tcMar>
            <w:vAlign w:val="center"/>
          </w:tcPr>
          <w:p>
            <w:pPr>
              <w:pStyle w:val="TableContents"/>
              <w:spacing w:before="0" w:after="283"/>
              <w:jc w:val="left"/>
              <w:rPr>
                <w:rFonts w:ascii="Arial" w:hAnsi="Arial"/>
                <w:b/>
                <w:i w:val="false"/>
                <w:caps w:val="false"/>
                <w:smallCaps w:val="false"/>
                <w:color w:val="1A2343"/>
                <w:sz w:val="15"/>
              </w:rPr>
            </w:pPr>
            <w:r>
              <w:rPr>
                <w:rFonts w:ascii="Arial" w:hAnsi="Arial"/>
                <w:b/>
                <w:i w:val="false"/>
                <w:caps w:val="false"/>
                <w:smallCaps w:val="false"/>
                <w:color w:val="1A2343"/>
                <w:sz w:val="15"/>
              </w:rPr>
              <w:t>2020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02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15,194,726</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04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(12,643,310)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3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7,065,918 </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02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9,617,334</w:t>
            </w:r>
          </w:p>
        </w:tc>
      </w:tr>
    </w:tbl>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vAlign w:val="center"/>
          </w:tcPr>
          <w:p>
            <w:pPr>
              <w:pStyle w:val="TableContents"/>
              <w:spacing w:before="0" w:after="283"/>
              <w:jc w:val="left"/>
              <w:rPr>
                <w:rFonts w:ascii="Arial" w:hAnsi="Arial"/>
                <w:sz w:val="15"/>
              </w:rPr>
            </w:pPr>
            <w:r>
              <w:rPr>
                <w:rFonts w:ascii="Arial" w:hAnsi="Arial"/>
                <w:sz w:val="15"/>
              </w:rPr>
              <w:t xml:space="preserve">(a) </w:t>
            </w:r>
          </w:p>
        </w:tc>
        <w:tc>
          <w:tcPr>
            <w:tcW w:w="10041" w:type="dxa"/>
            <w:tcBorders/>
            <w:shd w:fill="auto" w:val="clear"/>
            <w:vAlign w:val="center"/>
          </w:tcPr>
          <w:p>
            <w:pPr>
              <w:pStyle w:val="TableContents"/>
              <w:spacing w:before="0" w:after="283"/>
              <w:jc w:val="left"/>
              <w:rPr>
                <w:rFonts w:ascii="Arial" w:hAnsi="Arial"/>
                <w:sz w:val="15"/>
              </w:rPr>
            </w:pPr>
            <w:r>
              <w:rPr>
                <w:rFonts w:ascii="Arial" w:hAnsi="Arial"/>
                <w:sz w:val="15"/>
              </w:rPr>
              <w:t>Represents the sum of the amounts reported in the “Stock Awards” column of the Summary Compensation Table for the applicable fiscal year.</w:t>
            </w:r>
          </w:p>
        </w:tc>
      </w:tr>
      <w:tr>
        <w:trPr/>
        <w:tc>
          <w:tcPr>
            <w:tcW w:w="164" w:type="dxa"/>
            <w:tcBorders/>
            <w:shd w:fill="auto" w:val="clear"/>
            <w:vAlign w:val="center"/>
          </w:tcPr>
          <w:p>
            <w:pPr>
              <w:pStyle w:val="TableContents"/>
              <w:spacing w:before="0" w:after="283"/>
              <w:jc w:val="left"/>
              <w:rPr>
                <w:rFonts w:ascii="Arial" w:hAnsi="Arial"/>
                <w:sz w:val="15"/>
              </w:rPr>
            </w:pPr>
            <w:r>
              <w:rPr>
                <w:rFonts w:ascii="Arial" w:hAnsi="Arial"/>
                <w:sz w:val="15"/>
              </w:rPr>
              <w:t xml:space="preserve">(b) </w:t>
            </w:r>
          </w:p>
        </w:tc>
        <w:tc>
          <w:tcPr>
            <w:tcW w:w="10041" w:type="dxa"/>
            <w:tcBorders/>
            <w:shd w:fill="auto" w:val="clear"/>
            <w:vAlign w:val="center"/>
          </w:tcPr>
          <w:p>
            <w:pPr>
              <w:pStyle w:val="TableContents"/>
              <w:spacing w:before="0" w:after="283"/>
              <w:jc w:val="left"/>
              <w:rPr>
                <w:rFonts w:ascii="Arial" w:hAnsi="Arial"/>
                <w:sz w:val="15"/>
              </w:rPr>
            </w:pPr>
            <w:r>
              <w:rPr>
                <w:rFonts w:ascii="Arial" w:hAnsi="Arial"/>
                <w:sz w:val="15"/>
              </w:rPr>
              <w:t>The equity award adjustments for each fiscal year include the following: (i) the addition of the year-end fair value of any equity awards granted in the year that are outstanding and unvested as of the end of the year; (ii) for any awards granted in prior years that are outstanding and unvested as of the end of the fiscal year, the addition (or subtraction, if applicable) of the change in fair value of between the end of the prior fiscal year the end of the applicable fiscal year; (iii) for awards that are granted and vest in the same fiscal year, the addition of the fair value of such awards as of the vesting date; (iv) for awards granted in prior years that vest during the fiscal year, the addition (or subtraction, if applicable) of the change in fair value between the end of the prior fiscal year and the vesting date of such awards; (v) for awards granted in prior years that fail to meet the applicable vesting conditions during the fiscal year, the subtraction of the fair value of such awards at the end of the prior fiscal year; and (vi) the dollar value of any dividends or other earnings paid on such awards in the applicable year prior to the vesting date. The amounts deducted or added in calculating the equity award adjustments are as follows:</w:t>
            </w:r>
          </w:p>
        </w:tc>
      </w:tr>
    </w:tbl>
    <w:p>
      <w:pPr>
        <w:pStyle w:val="TextBody"/>
        <w:spacing w:before="0" w:after="0"/>
        <w:rPr/>
      </w:pPr>
      <w:r>
        <w:rPr/>
      </w:r>
    </w:p>
    <w:p>
      <w:pPr>
        <w:pStyle w:val="Normal"/>
        <w:spacing w:before="0" w:after="0"/>
        <w:rPr>
          <w:sz w:val="4"/>
          <w:szCs w:val="4"/>
        </w:rPr>
      </w:pPr>
      <w:r>
        <w:rPr>
          <w:sz w:val="4"/>
          <w:szCs w:val="4"/>
        </w:rPr>
      </w:r>
      <w:bookmarkStart w:id="48" w:name="xdx_305_zzUykIkNS5xh"/>
      <w:bookmarkStart w:id="49" w:name="xdx_305_zzUykIkNS5xh"/>
      <w:bookmarkEnd w:id="49"/>
    </w:p>
    <w:tbl>
      <w:tblPr>
        <w:tblW w:w="10205" w:type="dxa"/>
        <w:jc w:val="left"/>
        <w:tblInd w:w="0" w:type="dxa"/>
        <w:tblCellMar>
          <w:top w:w="0" w:type="dxa"/>
          <w:left w:w="0" w:type="dxa"/>
          <w:bottom w:w="40" w:type="dxa"/>
          <w:right w:w="0" w:type="dxa"/>
        </w:tblCellMar>
      </w:tblPr>
      <w:tblGrid>
        <w:gridCol w:w="380"/>
        <w:gridCol w:w="300"/>
        <w:gridCol w:w="1108"/>
        <w:gridCol w:w="300"/>
        <w:gridCol w:w="1153"/>
        <w:gridCol w:w="300"/>
        <w:gridCol w:w="1071"/>
        <w:gridCol w:w="300"/>
        <w:gridCol w:w="1408"/>
        <w:gridCol w:w="300"/>
        <w:gridCol w:w="997"/>
        <w:gridCol w:w="300"/>
        <w:gridCol w:w="1071"/>
        <w:gridCol w:w="300"/>
        <w:gridCol w:w="917"/>
      </w:tblGrid>
      <w:tr>
        <w:trPr/>
        <w:tc>
          <w:tcPr>
            <w:tcW w:w="380" w:type="dxa"/>
            <w:tcBorders>
              <w:bottom w:val="single" w:sz="12" w:space="0" w:color="1A2343"/>
            </w:tcBorders>
            <w:shd w:fill="auto" w:val="clear"/>
            <w:vAlign w:val="center"/>
          </w:tcPr>
          <w:p>
            <w:pPr>
              <w:pStyle w:val="TableContents"/>
              <w:spacing w:before="0" w:after="283"/>
              <w:jc w:val="left"/>
              <w:rPr>
                <w:rFonts w:ascii="Arial" w:hAnsi="Arial"/>
                <w:color w:val="1A2343"/>
                <w:sz w:val="15"/>
              </w:rPr>
            </w:pPr>
            <w:r>
              <w:rPr>
                <w:rFonts w:ascii="Arial" w:hAnsi="Arial"/>
                <w:color w:val="1A2343"/>
                <w:sz w:val="15"/>
              </w:rPr>
              <w:t>Year</w:t>
            </w:r>
          </w:p>
        </w:tc>
        <w:tc>
          <w:tcPr>
            <w:tcW w:w="300" w:type="dxa"/>
            <w:tcBorders/>
            <w:shd w:fill="auto" w:val="clear"/>
            <w:tcMar>
              <w:bottom w:w="0" w:type="dxa"/>
            </w:tcMar>
            <w:vAlign w:val="center"/>
          </w:tcPr>
          <w:p>
            <w:pPr>
              <w:pStyle w:val="TableContents"/>
              <w:spacing w:before="0" w:after="283"/>
              <w:rPr>
                <w:sz w:val="4"/>
                <w:szCs w:val="4"/>
              </w:rPr>
            </w:pPr>
            <w:r>
              <w:rPr>
                <w:sz w:val="4"/>
                <w:szCs w:val="4"/>
              </w:rPr>
            </w:r>
            <w:bookmarkStart w:id="50" w:name="xdx_48F_eecd--AdjToCompAmt_hecd--AdjToCo"/>
            <w:bookmarkStart w:id="51" w:name="xdx_48F_eecd--AdjToCompAmt_hecd--AdjToCo"/>
            <w:bookmarkEnd w:id="51"/>
          </w:p>
        </w:tc>
        <w:tc>
          <w:tcPr>
            <w:tcW w:w="1108"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Year End Fair</w:t>
              <w:br/>
              <w:t>Value of Equity</w:t>
              <w:br/>
              <w:t>Awards Granted</w:t>
              <w:br/>
              <w:t>in the Year</w:t>
              <w:br/>
              <w:t>and Unvested</w:t>
              <w:b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bookmarkStart w:id="52" w:name="xdx_480_eecd--AdjToCompAmt_hecd--AdjToCo"/>
            <w:bookmarkStart w:id="53" w:name="xdx_480_eecd--AdjToCompAmt_hecd--AdjToCo"/>
            <w:bookmarkEnd w:id="53"/>
          </w:p>
        </w:tc>
        <w:tc>
          <w:tcPr>
            <w:tcW w:w="1153"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Year over Year</w:t>
              <w:br/>
              <w:t>Change in</w:t>
              <w:br/>
              <w:t>Fair Value of</w:t>
              <w:br/>
              <w:t>Outstanding and</w:t>
              <w:br/>
              <w:t>Unvested Equity</w:t>
              <w:br/>
              <w:t>Awards</w:t>
              <w:b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bookmarkStart w:id="54" w:name="xdx_48C_eecd--AdjToCompAmt_hecd--AdjToCo"/>
            <w:bookmarkStart w:id="55" w:name="xdx_48C_eecd--AdjToCompAmt_hecd--AdjToCo"/>
            <w:bookmarkEnd w:id="55"/>
          </w:p>
        </w:tc>
        <w:tc>
          <w:tcPr>
            <w:tcW w:w="1071"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Fair Value as of</w:t>
              <w:br/>
              <w:t>Vesting Date of</w:t>
              <w:br/>
              <w:t>Equity Awards</w:t>
              <w:br/>
              <w:t>Granted and</w:t>
              <w:br/>
              <w:t>Vested in</w:t>
              <w:br/>
              <w:t>the Year</w:t>
              <w:b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bookmarkStart w:id="56" w:name="xdx_484_eecd--AdjToCompAmt_d0_hecd--AdjT"/>
            <w:bookmarkStart w:id="57" w:name="xdx_484_eecd--AdjToCompAmt_d0_hecd--AdjT"/>
            <w:bookmarkEnd w:id="57"/>
          </w:p>
        </w:tc>
        <w:tc>
          <w:tcPr>
            <w:tcW w:w="1408"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Year over Year</w:t>
              <w:br/>
              <w:t>Change in Fair Value</w:t>
              <w:br/>
              <w:t>of Equity Awards</w:t>
              <w:br/>
              <w:t>Granted in Prior</w:t>
              <w:br/>
              <w:t>Years that Vested in</w:t>
              <w:br/>
              <w:t>the Year</w:t>
              <w:b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bookmarkStart w:id="58" w:name="xdx_48E_eecd--AdjToCompAmt_d0_hecd--AdjT"/>
            <w:bookmarkStart w:id="59" w:name="xdx_48E_eecd--AdjToCompAmt_d0_hecd--AdjT"/>
            <w:bookmarkEnd w:id="59"/>
          </w:p>
        </w:tc>
        <w:tc>
          <w:tcPr>
            <w:tcW w:w="997"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Fair Value at</w:t>
              <w:br/>
              <w:t>the End of the</w:t>
              <w:br/>
              <w:t>Prior Year of</w:t>
              <w:br/>
              <w:t>Equity Awards</w:t>
              <w:br/>
              <w:t>that Failed to</w:t>
              <w:br/>
              <w:t>Meet Vesting</w:t>
              <w:br/>
              <w:t>Conditions in</w:t>
              <w:br/>
              <w:t>the Year</w:t>
              <w:b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bookmarkStart w:id="60" w:name="xdx_48A_eecd--AdjToCompAmt_hecd--AdjToCo"/>
            <w:bookmarkStart w:id="61" w:name="xdx_48A_eecd--AdjToCompAmt_hecd--AdjToCo"/>
            <w:bookmarkEnd w:id="61"/>
          </w:p>
        </w:tc>
        <w:tc>
          <w:tcPr>
            <w:tcW w:w="1071"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Value of</w:t>
              <w:br/>
              <w:t>Dividends or</w:t>
              <w:br/>
              <w:t>other Earnings</w:t>
              <w:br/>
              <w:t>Paid on Awards</w:t>
              <w:b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bookmarkStart w:id="62" w:name="xdx_48D_eecd--AdjToCompAmt_hecd--AdjToCo"/>
            <w:bookmarkStart w:id="63" w:name="xdx_48D_eecd--AdjToCompAmt_hecd--AdjToCo"/>
            <w:bookmarkEnd w:id="63"/>
          </w:p>
        </w:tc>
        <w:tc>
          <w:tcPr>
            <w:tcW w:w="917"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Total Equity</w:t>
              <w:br/>
              <w:t>Award</w:t>
              <w:br/>
              <w:t>Adjustments</w:t>
              <w:br/>
              <w:t>($)</w:t>
            </w:r>
            <w:r>
              <w:rPr>
                <w:rFonts w:ascii="Arial" w:hAnsi="Arial"/>
                <w:color w:val="1A2343"/>
                <w:position w:val="5"/>
                <w:sz w:val="12"/>
                <w:sz w:val="15"/>
              </w:rPr>
              <w:t>(i)</w:t>
            </w:r>
            <w:bookmarkStart w:id="64" w:name="xdx_410_20220101__20221231_zyoM8eucNyY5"/>
            <w:bookmarkEnd w:id="64"/>
          </w:p>
        </w:tc>
      </w:tr>
      <w:tr>
        <w:trPr/>
        <w:tc>
          <w:tcPr>
            <w:tcW w:w="380" w:type="dxa"/>
            <w:tcBorders>
              <w:bottom w:val="single" w:sz="8" w:space="0" w:color="5B5975"/>
            </w:tcBorders>
            <w:shd w:fill="auto" w:val="clear"/>
            <w:tcMar>
              <w:bottom w:w="28" w:type="dxa"/>
            </w:tcMar>
            <w:vAlign w:val="center"/>
          </w:tcPr>
          <w:p>
            <w:pPr>
              <w:pStyle w:val="TableContents"/>
              <w:spacing w:before="0" w:after="283"/>
              <w:jc w:val="left"/>
              <w:rPr>
                <w:rFonts w:ascii="Arial" w:hAnsi="Arial"/>
                <w:b/>
                <w:i w:val="false"/>
                <w:caps w:val="false"/>
                <w:smallCaps w:val="false"/>
                <w:color w:val="1A2343"/>
                <w:sz w:val="15"/>
              </w:rPr>
            </w:pPr>
            <w:r>
              <w:rPr>
                <w:rFonts w:ascii="Arial" w:hAnsi="Arial"/>
                <w:b/>
                <w:i w:val="false"/>
                <w:caps w:val="false"/>
                <w:smallCaps w:val="false"/>
                <w:color w:val="1A2343"/>
                <w:sz w:val="15"/>
              </w:rPr>
              <w:t>2022</w:t>
            </w:r>
          </w:p>
        </w:tc>
        <w:tc>
          <w:tcPr>
            <w:tcW w:w="300" w:type="dxa"/>
            <w:tcBorders/>
            <w:shd w:fill="auto" w:val="clear"/>
            <w:tcMar>
              <w:bottom w:w="0" w:type="dxa"/>
            </w:tcMar>
            <w:vAlign w:val="center"/>
          </w:tcPr>
          <w:p>
            <w:pPr>
              <w:pStyle w:val="TableContents"/>
              <w:spacing w:before="0" w:after="283"/>
              <w:jc w:val="left"/>
              <w:rPr/>
            </w:pPr>
            <w:r>
              <w:rPr/>
              <w:t>     </w:t>
            </w:r>
          </w:p>
        </w:tc>
        <w:tc>
          <w:tcPr>
            <w:tcW w:w="1108"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4,807,388</w:t>
            </w:r>
          </w:p>
        </w:tc>
        <w:tc>
          <w:tcPr>
            <w:tcW w:w="300" w:type="dxa"/>
            <w:tcBorders/>
            <w:shd w:fill="auto" w:val="clear"/>
            <w:tcMar>
              <w:bottom w:w="0" w:type="dxa"/>
            </w:tcMar>
            <w:vAlign w:val="center"/>
          </w:tcPr>
          <w:p>
            <w:pPr>
              <w:pStyle w:val="TableContents"/>
              <w:spacing w:before="0" w:after="283"/>
              <w:jc w:val="right"/>
              <w:rPr/>
            </w:pPr>
            <w:r>
              <w:rPr/>
              <w:t>     </w:t>
            </w:r>
          </w:p>
        </w:tc>
        <w:tc>
          <w:tcPr>
            <w:tcW w:w="1153"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(14,493,069)</w:t>
            </w:r>
          </w:p>
        </w:tc>
        <w:tc>
          <w:tcPr>
            <w:tcW w:w="300" w:type="dxa"/>
            <w:tcBorders/>
            <w:shd w:fill="auto" w:val="clear"/>
            <w:tcMar>
              <w:bottom w:w="0" w:type="dxa"/>
            </w:tcMar>
            <w:vAlign w:val="center"/>
          </w:tcPr>
          <w:p>
            <w:pPr>
              <w:pStyle w:val="TableContents"/>
              <w:spacing w:before="0" w:after="283"/>
              <w:jc w:val="left"/>
              <w:rPr/>
            </w:pPr>
            <w:r>
              <w:rPr/>
              <w:t>     </w:t>
            </w:r>
          </w:p>
        </w:tc>
        <w:tc>
          <w:tcPr>
            <w:tcW w:w="1071"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683,334</w:t>
            </w:r>
          </w:p>
        </w:tc>
        <w:tc>
          <w:tcPr>
            <w:tcW w:w="300" w:type="dxa"/>
            <w:tcBorders/>
            <w:shd w:fill="auto" w:val="clear"/>
            <w:tcMar>
              <w:bottom w:w="0" w:type="dxa"/>
            </w:tcMar>
            <w:vAlign w:val="center"/>
          </w:tcPr>
          <w:p>
            <w:pPr>
              <w:pStyle w:val="TableContents"/>
              <w:spacing w:before="0" w:after="283"/>
              <w:jc w:val="right"/>
              <w:rPr/>
            </w:pPr>
            <w:r>
              <w:rPr/>
              <w:t>     </w:t>
            </w:r>
          </w:p>
        </w:tc>
        <w:tc>
          <w:tcPr>
            <w:tcW w:w="1408"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(2,002,870)</w:t>
            </w:r>
          </w:p>
        </w:tc>
        <w:tc>
          <w:tcPr>
            <w:tcW w:w="300" w:type="dxa"/>
            <w:tcBorders/>
            <w:shd w:fill="auto" w:val="clear"/>
            <w:tcMar>
              <w:bottom w:w="0" w:type="dxa"/>
            </w:tcMar>
            <w:vAlign w:val="center"/>
          </w:tcPr>
          <w:p>
            <w:pPr>
              <w:pStyle w:val="TableContents"/>
              <w:spacing w:before="0" w:after="283"/>
              <w:jc w:val="left"/>
              <w:rPr/>
            </w:pPr>
            <w:r>
              <w:rPr/>
              <w:t>     </w:t>
            </w:r>
          </w:p>
        </w:tc>
        <w:tc>
          <w:tcPr>
            <w:tcW w:w="997"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(4,842,970)</w:t>
            </w:r>
          </w:p>
        </w:tc>
        <w:tc>
          <w:tcPr>
            <w:tcW w:w="300" w:type="dxa"/>
            <w:tcBorders/>
            <w:shd w:fill="auto" w:val="clear"/>
            <w:tcMar>
              <w:bottom w:w="0" w:type="dxa"/>
            </w:tcMar>
            <w:vAlign w:val="center"/>
          </w:tcPr>
          <w:p>
            <w:pPr>
              <w:pStyle w:val="TableContents"/>
              <w:spacing w:before="0" w:after="283"/>
              <w:jc w:val="left"/>
              <w:rPr/>
            </w:pPr>
            <w:r>
              <w:rPr/>
              <w:t>     </w:t>
            </w:r>
          </w:p>
        </w:tc>
        <w:tc>
          <w:tcPr>
            <w:tcW w:w="1071"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1,713,380</w:t>
            </w:r>
          </w:p>
        </w:tc>
        <w:tc>
          <w:tcPr>
            <w:tcW w:w="300" w:type="dxa"/>
            <w:tcBorders/>
            <w:shd w:fill="auto" w:val="clear"/>
            <w:tcMar>
              <w:bottom w:w="0" w:type="dxa"/>
            </w:tcMar>
            <w:vAlign w:val="center"/>
          </w:tcPr>
          <w:p>
            <w:pPr>
              <w:pStyle w:val="TableContents"/>
              <w:spacing w:before="0" w:after="283"/>
              <w:jc w:val="right"/>
              <w:rPr/>
            </w:pPr>
            <w:r>
              <w:rPr/>
              <w:t>     </w:t>
            </w:r>
          </w:p>
        </w:tc>
        <w:tc>
          <w:tcPr>
            <w:tcW w:w="917"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(14,134,808)</w:t>
            </w:r>
            <w:bookmarkStart w:id="65" w:name="xdx_411_20210101__20211231_zw0aLmA2gmU5"/>
            <w:bookmarkEnd w:id="65"/>
          </w:p>
        </w:tc>
      </w:tr>
      <w:tr>
        <w:trPr/>
        <w:tc>
          <w:tcPr>
            <w:tcW w:w="380" w:type="dxa"/>
            <w:tcBorders>
              <w:bottom w:val="single" w:sz="8" w:space="0" w:color="5B5975"/>
            </w:tcBorders>
            <w:shd w:fill="auto" w:val="clear"/>
            <w:tcMar>
              <w:bottom w:w="28" w:type="dxa"/>
            </w:tcMar>
            <w:vAlign w:val="center"/>
          </w:tcPr>
          <w:p>
            <w:pPr>
              <w:pStyle w:val="TableContents"/>
              <w:spacing w:before="0" w:after="283"/>
              <w:jc w:val="left"/>
              <w:rPr>
                <w:rFonts w:ascii="Arial" w:hAnsi="Arial"/>
                <w:b/>
                <w:i w:val="false"/>
                <w:caps w:val="false"/>
                <w:smallCaps w:val="false"/>
                <w:color w:val="1A2343"/>
                <w:sz w:val="15"/>
              </w:rPr>
            </w:pPr>
            <w:r>
              <w:rPr>
                <w:rFonts w:ascii="Arial" w:hAnsi="Arial"/>
                <w:b/>
                <w:i w:val="false"/>
                <w:caps w:val="false"/>
                <w:smallCaps w:val="false"/>
                <w:color w:val="1A2343"/>
                <w:sz w:val="15"/>
              </w:rPr>
              <w:t>2021</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08"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25,933,302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53"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2,631,512 </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071"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1,318,015</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408"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(1,636,532)</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97" w:type="dxa"/>
            <w:tcBorders>
              <w:bottom w:val="single" w:sz="8" w:space="0" w:color="5B5975"/>
            </w:tcBorders>
            <w:shd w:fill="auto" w:val="clear"/>
            <w:tcMar>
              <w:bottom w:w="28" w:type="dxa"/>
            </w:tcMar>
            <w:vAlign w:val="center"/>
          </w:tcPr>
          <w:p>
            <w:pPr>
              <w:pStyle w:val="TableContents"/>
              <w:spacing w:before="0" w:after="283"/>
              <w:jc w:val="right"/>
              <w:rPr/>
            </w:pPr>
            <w:r>
              <w:rPr/>
              <w:t>— </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071"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1,407,529</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17"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29,653,826</w:t>
            </w:r>
            <w:bookmarkStart w:id="66" w:name="xdx_416_20200101__20201231_z72UYtZVpwOb"/>
            <w:bookmarkEnd w:id="66"/>
          </w:p>
        </w:tc>
      </w:tr>
      <w:tr>
        <w:trPr/>
        <w:tc>
          <w:tcPr>
            <w:tcW w:w="380" w:type="dxa"/>
            <w:tcBorders>
              <w:bottom w:val="single" w:sz="12" w:space="0" w:color="1A2343"/>
            </w:tcBorders>
            <w:shd w:fill="auto" w:val="clear"/>
            <w:tcMar>
              <w:bottom w:w="28" w:type="dxa"/>
            </w:tcMar>
            <w:vAlign w:val="center"/>
          </w:tcPr>
          <w:p>
            <w:pPr>
              <w:pStyle w:val="TableContents"/>
              <w:spacing w:before="0" w:after="283"/>
              <w:jc w:val="left"/>
              <w:rPr>
                <w:rFonts w:ascii="Arial" w:hAnsi="Arial"/>
                <w:b/>
                <w:i w:val="false"/>
                <w:caps w:val="false"/>
                <w:smallCaps w:val="false"/>
                <w:color w:val="1A2343"/>
                <w:sz w:val="15"/>
              </w:rPr>
            </w:pPr>
            <w:r>
              <w:rPr>
                <w:rFonts w:ascii="Arial" w:hAnsi="Arial"/>
                <w:b/>
                <w:i w:val="false"/>
                <w:caps w:val="false"/>
                <w:smallCaps w:val="false"/>
                <w:color w:val="1A2343"/>
                <w:sz w:val="15"/>
              </w:rPr>
              <w:t>2020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08"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8,918,153</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153"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(3,385,784)</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071"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982,595</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408" w:type="dxa"/>
            <w:tcBorders>
              <w:bottom w:val="single" w:sz="12" w:space="0" w:color="1A2343"/>
            </w:tcBorders>
            <w:shd w:fill="auto" w:val="clear"/>
            <w:tcMar>
              <w:bottom w:w="28" w:type="dxa"/>
            </w:tcMar>
            <w:vAlign w:val="center"/>
          </w:tcPr>
          <w:p>
            <w:pPr>
              <w:pStyle w:val="TableContents"/>
              <w:spacing w:before="0" w:after="283"/>
              <w:jc w:val="right"/>
              <w:rPr/>
            </w:pPr>
            <w:r>
              <w:rPr/>
              <w:t>— </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97" w:type="dxa"/>
            <w:tcBorders>
              <w:bottom w:val="single" w:sz="12" w:space="0" w:color="1A2343"/>
            </w:tcBorders>
            <w:shd w:fill="auto" w:val="clear"/>
            <w:tcMar>
              <w:bottom w:w="28" w:type="dxa"/>
            </w:tcMar>
            <w:vAlign w:val="center"/>
          </w:tcPr>
          <w:p>
            <w:pPr>
              <w:pStyle w:val="TableContents"/>
              <w:spacing w:before="0" w:after="283"/>
              <w:jc w:val="right"/>
              <w:rPr/>
            </w:pPr>
            <w:r>
              <w:rPr/>
              <w:t>— </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071"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550,954</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917"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7,065,918</w:t>
            </w:r>
          </w:p>
        </w:tc>
      </w:tr>
    </w:tbl>
    <w:tbl>
      <w:tblPr>
        <w:tblW w:w="10205" w:type="dxa"/>
        <w:jc w:val="left"/>
        <w:tblInd w:w="0" w:type="dxa"/>
        <w:tblCellMar>
          <w:top w:w="0" w:type="dxa"/>
          <w:left w:w="0" w:type="dxa"/>
          <w:bottom w:w="0" w:type="dxa"/>
          <w:right w:w="0" w:type="dxa"/>
        </w:tblCellMar>
      </w:tblPr>
      <w:tblGrid>
        <w:gridCol w:w="139"/>
        <w:gridCol w:w="10066"/>
      </w:tblGrid>
      <w:tr>
        <w:trPr/>
        <w:tc>
          <w:tcPr>
            <w:tcW w:w="139" w:type="dxa"/>
            <w:tcBorders/>
            <w:shd w:fill="auto" w:val="clear"/>
            <w:vAlign w:val="center"/>
          </w:tcPr>
          <w:p>
            <w:pPr>
              <w:pStyle w:val="TableContents"/>
              <w:spacing w:before="0" w:after="283"/>
              <w:jc w:val="left"/>
              <w:rPr>
                <w:rFonts w:ascii="Arial" w:hAnsi="Arial"/>
                <w:sz w:val="15"/>
              </w:rPr>
            </w:pPr>
            <w:r>
              <w:rPr>
                <w:rFonts w:ascii="Arial" w:hAnsi="Arial"/>
                <w:sz w:val="15"/>
              </w:rPr>
              <w:t xml:space="preserve">(i) </w:t>
            </w:r>
          </w:p>
        </w:tc>
        <w:tc>
          <w:tcPr>
            <w:tcW w:w="10066" w:type="dxa"/>
            <w:tcBorders/>
            <w:shd w:fill="auto" w:val="clear"/>
            <w:vAlign w:val="center"/>
          </w:tcPr>
          <w:p>
            <w:pPr>
              <w:pStyle w:val="TableContents"/>
              <w:spacing w:before="0" w:after="283"/>
              <w:jc w:val="left"/>
              <w:rPr>
                <w:rFonts w:ascii="Arial" w:hAnsi="Arial"/>
                <w:sz w:val="15"/>
              </w:rPr>
            </w:pPr>
            <w:r>
              <w:rPr>
                <w:rFonts w:ascii="Arial" w:hAnsi="Arial"/>
                <w:sz w:val="15"/>
              </w:rPr>
              <w:t>The fair values of time-based equity awards are based on the closing price of our shares of common stock as reported on the NYSE on the relevant valuation date. Performance-based restricted share units were valued on the relevant valuation date using a Monte Carlo simulation model in accordance with the provisions of ASC Topic 718.</w:t>
            </w:r>
          </w:p>
        </w:tc>
      </w:tr>
      <w:tr>
        <w:trPr/>
        <w:tc>
          <w:tcPr>
            <w:tcW w:w="139" w:type="dxa"/>
            <w:tcBorders/>
            <w:shd w:fill="auto" w:val="clear"/>
            <w:vAlign w:val="center"/>
          </w:tcPr>
          <w:p>
            <w:pPr>
              <w:pStyle w:val="TableContents"/>
              <w:spacing w:before="0" w:after="283"/>
              <w:jc w:val="left"/>
              <w:rPr/>
            </w:pPr>
            <w:r>
              <w:rPr/>
              <w:t> </w:t>
            </w:r>
          </w:p>
        </w:tc>
        <w:tc>
          <w:tcPr>
            <w:tcW w:w="10066" w:type="dxa"/>
            <w:tcBorders/>
            <w:shd w:fill="auto" w:val="clear"/>
            <w:vAlign w:val="center"/>
          </w:tcPr>
          <w:p>
            <w:pPr>
              <w:pStyle w:val="TableContents"/>
              <w:spacing w:before="0" w:after="283"/>
              <w:jc w:val="left"/>
              <w:rPr/>
            </w:pPr>
            <w:r>
              <w:rPr/>
              <w:t>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500" w:type="dxa"/>
        <w:jc w:val="left"/>
        <w:tblInd w:w="0" w:type="dxa"/>
        <w:tblCellMar>
          <w:top w:w="0" w:type="dxa"/>
          <w:left w:w="0" w:type="dxa"/>
          <w:bottom w:w="0" w:type="dxa"/>
          <w:right w:w="0" w:type="dxa"/>
        </w:tblCellMar>
      </w:tblPr>
      <w:tblGrid>
        <w:gridCol w:w="2210"/>
        <w:gridCol w:w="290"/>
      </w:tblGrid>
      <w:tr>
        <w:trPr/>
        <w:tc>
          <w:tcPr>
            <w:tcW w:w="2210" w:type="dxa"/>
            <w:tcBorders/>
            <w:shd w:fill="auto" w:val="clear"/>
            <w:vAlign w:val="center"/>
          </w:tcPr>
          <w:p>
            <w:pPr>
              <w:pStyle w:val="TableContents"/>
              <w:spacing w:before="0" w:after="283"/>
              <w:jc w:val="left"/>
              <w:rPr>
                <w:rFonts w:ascii="Arial" w:hAnsi="Arial"/>
                <w:sz w:val="15"/>
              </w:rPr>
            </w:pPr>
            <w:r>
              <w:rPr>
                <w:rFonts w:ascii="Arial" w:hAnsi="Arial"/>
                <w:b/>
                <w:sz w:val="15"/>
              </w:rPr>
              <w:t>EXECUTIVE COMPENSATION</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77</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vAlign w:val="center"/>
          </w:tcPr>
          <w:p>
            <w:pPr>
              <w:pStyle w:val="TableContents"/>
              <w:spacing w:before="0" w:after="283"/>
              <w:jc w:val="left"/>
              <w:rPr>
                <w:rFonts w:ascii="Arial" w:hAnsi="Arial"/>
                <w:sz w:val="15"/>
              </w:rPr>
            </w:pPr>
            <w:r>
              <w:rPr>
                <w:rFonts w:ascii="Arial" w:hAnsi="Arial"/>
                <w:sz w:val="15"/>
              </w:rPr>
              <w:t>(2)</w:t>
            </w:r>
          </w:p>
        </w:tc>
        <w:tc>
          <w:tcPr>
            <w:tcW w:w="10041" w:type="dxa"/>
            <w:tcBorders/>
            <w:shd w:fill="auto" w:val="clear"/>
            <w:vAlign w:val="center"/>
          </w:tcPr>
          <w:p>
            <w:pPr>
              <w:pStyle w:val="TableContents"/>
              <w:spacing w:before="0" w:after="283"/>
              <w:jc w:val="left"/>
              <w:rPr>
                <w:rFonts w:ascii="Arial" w:hAnsi="Arial"/>
                <w:sz w:val="15"/>
              </w:rPr>
            </w:pPr>
            <w:r>
              <w:rPr>
                <w:rFonts w:ascii="Arial" w:hAnsi="Arial"/>
                <w:sz w:val="15"/>
              </w:rPr>
              <w:t>Represents amounts of average “compensation actually paid” as computed in accordance with Item 402(v) of Regulation S-K, not the actual average amount of compensation earned by or paid to our named executive officers other than Mr. Holliday as a group. The table below reflects the adjustments made from the amounts reported in the “Total” column of the Summary Compensation Table for the named executive officers as a group (excluding Mr. Holliday) each year to calculate the amounts set forth in “Compensation Actually Paid to non-PEO NEOs” column in the table above, using the same methodology as set forth in footnote 1(b), above.</w:t>
            </w:r>
          </w:p>
        </w:tc>
      </w:tr>
    </w:tbl>
    <w:p>
      <w:pPr>
        <w:pStyle w:val="TextBody"/>
        <w:spacing w:before="0" w:after="0"/>
        <w:rPr/>
      </w:pPr>
      <w:r>
        <w:rPr/>
      </w:r>
      <w:bookmarkStart w:id="67" w:name="xdx_30C_z7swTNaHHwPg"/>
      <w:bookmarkStart w:id="68" w:name="xdx_30C_z7swTNaHHwPg"/>
      <w:bookmarkEnd w:id="68"/>
    </w:p>
    <w:tbl>
      <w:tblPr>
        <w:tblW w:w="6413" w:type="dxa"/>
        <w:jc w:val="left"/>
        <w:tblInd w:w="0" w:type="dxa"/>
        <w:tblCellMar>
          <w:top w:w="0" w:type="dxa"/>
          <w:left w:w="0" w:type="dxa"/>
          <w:bottom w:w="0" w:type="dxa"/>
          <w:right w:w="0" w:type="dxa"/>
        </w:tblCellMar>
      </w:tblPr>
      <w:tblGrid>
        <w:gridCol w:w="300"/>
        <w:gridCol w:w="380"/>
        <w:gridCol w:w="300"/>
        <w:gridCol w:w="1460"/>
        <w:gridCol w:w="300"/>
        <w:gridCol w:w="959"/>
        <w:gridCol w:w="80"/>
        <w:gridCol w:w="300"/>
        <w:gridCol w:w="867"/>
        <w:gridCol w:w="67"/>
        <w:gridCol w:w="300"/>
        <w:gridCol w:w="1100"/>
      </w:tblGrid>
      <w:tr>
        <w:trPr/>
        <w:tc>
          <w:tcPr>
            <w:tcW w:w="300" w:type="dxa"/>
            <w:tcBorders/>
            <w:shd w:fill="auto" w:val="clear"/>
            <w:vAlign w:val="center"/>
          </w:tcPr>
          <w:p>
            <w:pPr>
              <w:pStyle w:val="TableContents"/>
              <w:spacing w:before="0" w:after="283"/>
              <w:rPr>
                <w:sz w:val="4"/>
                <w:szCs w:val="4"/>
              </w:rPr>
            </w:pPr>
            <w:r>
              <w:rPr>
                <w:sz w:val="4"/>
                <w:szCs w:val="4"/>
              </w:rPr>
            </w:r>
          </w:p>
        </w:tc>
        <w:tc>
          <w:tcPr>
            <w:tcW w:w="380" w:type="dxa"/>
            <w:tcBorders>
              <w:bottom w:val="single" w:sz="12" w:space="0" w:color="1A2343"/>
            </w:tcBorders>
            <w:shd w:fill="auto" w:val="clear"/>
            <w:tcMar>
              <w:bottom w:w="40" w:type="dxa"/>
            </w:tcMar>
            <w:vAlign w:val="center"/>
          </w:tcPr>
          <w:p>
            <w:pPr>
              <w:pStyle w:val="TableContents"/>
              <w:spacing w:before="0" w:after="283"/>
              <w:jc w:val="left"/>
              <w:rPr>
                <w:rFonts w:ascii="Arial" w:hAnsi="Arial"/>
                <w:color w:val="1A2343"/>
                <w:sz w:val="15"/>
              </w:rPr>
            </w:pPr>
            <w:r>
              <w:rPr>
                <w:rFonts w:ascii="Arial" w:hAnsi="Arial"/>
                <w:color w:val="1A2343"/>
                <w:sz w:val="15"/>
              </w:rPr>
              <w:t>Year</w:t>
            </w:r>
          </w:p>
        </w:tc>
        <w:tc>
          <w:tcPr>
            <w:tcW w:w="300" w:type="dxa"/>
            <w:tcBorders/>
            <w:shd w:fill="auto" w:val="clear"/>
            <w:vAlign w:val="center"/>
          </w:tcPr>
          <w:p>
            <w:pPr>
              <w:pStyle w:val="TableContents"/>
              <w:spacing w:before="0" w:after="283"/>
              <w:jc w:val="right"/>
              <w:rPr/>
            </w:pPr>
            <w:r>
              <w:rPr/>
              <w:t>     </w:t>
            </w:r>
            <w:bookmarkStart w:id="69" w:name="xdx_48F_eecd--NonPeoNeoAvgTotalCompAmt_z"/>
            <w:bookmarkEnd w:id="69"/>
          </w:p>
        </w:tc>
        <w:tc>
          <w:tcPr>
            <w:tcW w:w="146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Average Reported</w:t>
              <w:br/>
              <w:t>Summary</w:t>
              <w:br/>
              <w:t>Compensation Table</w:t>
              <w:br/>
              <w:t>Total for Non-PEO</w:t>
              <w:br/>
              <w:t>NEOs</w:t>
              <w:br/>
              <w:t>($)</w:t>
            </w:r>
          </w:p>
        </w:tc>
        <w:tc>
          <w:tcPr>
            <w:tcW w:w="300" w:type="dxa"/>
            <w:tcBorders/>
            <w:shd w:fill="auto" w:val="clear"/>
            <w:vAlign w:val="center"/>
          </w:tcPr>
          <w:p>
            <w:pPr>
              <w:pStyle w:val="TableContents"/>
              <w:spacing w:before="0" w:after="283"/>
              <w:jc w:val="right"/>
              <w:rPr/>
            </w:pPr>
            <w:r>
              <w:rPr/>
              <w:t>     </w:t>
            </w:r>
            <w:bookmarkStart w:id="70" w:name="xdx_485_eecd--AdjToCompAmt_hecd--AdjToCo"/>
            <w:bookmarkEnd w:id="70"/>
          </w:p>
        </w:tc>
        <w:tc>
          <w:tcPr>
            <w:tcW w:w="1039" w:type="dxa"/>
            <w:gridSpan w:val="2"/>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Less Average</w:t>
              <w:br/>
              <w:t>Summary</w:t>
              <w:br/>
              <w:t>Compensation</w:t>
              <w:br/>
              <w:t>Table Value of</w:t>
              <w:br/>
              <w:t>Equity Awards</w:t>
              <w:br/>
              <w:t>($)</w:t>
            </w:r>
            <w:r>
              <w:rPr>
                <w:rFonts w:ascii="Arial" w:hAnsi="Arial"/>
                <w:color w:val="1A2343"/>
                <w:position w:val="5"/>
                <w:sz w:val="12"/>
                <w:sz w:val="15"/>
              </w:rPr>
              <w:t>(a)</w:t>
            </w:r>
          </w:p>
        </w:tc>
        <w:tc>
          <w:tcPr>
            <w:tcW w:w="300" w:type="dxa"/>
            <w:tcBorders/>
            <w:shd w:fill="auto" w:val="clear"/>
            <w:vAlign w:val="center"/>
          </w:tcPr>
          <w:p>
            <w:pPr>
              <w:pStyle w:val="TableContents"/>
              <w:spacing w:before="0" w:after="283"/>
              <w:jc w:val="left"/>
              <w:rPr/>
            </w:pPr>
            <w:r>
              <w:rPr/>
              <w:t>     </w:t>
            </w:r>
            <w:bookmarkStart w:id="71" w:name="xdx_48E_eecd--AdjToCompAmt_hecd--AdjToCo"/>
            <w:bookmarkEnd w:id="71"/>
          </w:p>
        </w:tc>
        <w:tc>
          <w:tcPr>
            <w:tcW w:w="934" w:type="dxa"/>
            <w:gridSpan w:val="2"/>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Average</w:t>
              <w:br/>
              <w:t>Fair Value of</w:t>
              <w:br/>
              <w:t>Equity Award</w:t>
              <w:br/>
              <w:t>Adjustments</w:t>
              <w:br/>
              <w:t>($)</w:t>
            </w:r>
            <w:r>
              <w:rPr>
                <w:rFonts w:ascii="Arial" w:hAnsi="Arial"/>
                <w:color w:val="1A2343"/>
                <w:position w:val="5"/>
                <w:sz w:val="12"/>
                <w:sz w:val="15"/>
              </w:rPr>
              <w:t>(b)</w:t>
            </w:r>
          </w:p>
        </w:tc>
        <w:tc>
          <w:tcPr>
            <w:tcW w:w="300" w:type="dxa"/>
            <w:tcBorders/>
            <w:shd w:fill="auto" w:val="clear"/>
            <w:vAlign w:val="center"/>
          </w:tcPr>
          <w:p>
            <w:pPr>
              <w:pStyle w:val="TableContents"/>
              <w:spacing w:before="0" w:after="283"/>
              <w:jc w:val="left"/>
              <w:rPr/>
            </w:pPr>
            <w:r>
              <w:rPr/>
              <w:t>     </w:t>
            </w:r>
            <w:bookmarkStart w:id="72" w:name="xdx_48A_eecd--NonPeoNeoAvgCompActuallyPa"/>
            <w:bookmarkEnd w:id="72"/>
          </w:p>
        </w:tc>
        <w:tc>
          <w:tcPr>
            <w:tcW w:w="110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Average</w:t>
              <w:br/>
              <w:t>Compensation</w:t>
              <w:br/>
              <w:t>Actually Paid to</w:t>
              <w:br/>
              <w:t>Non-PEO</w:t>
              <w:br/>
              <w:t>NEOs</w:t>
              <w:br/>
              <w:t>($)</w:t>
            </w:r>
            <w:bookmarkStart w:id="73" w:name="xdx_410_20220101__20221231_zZXaO6QxfHhb"/>
            <w:bookmarkEnd w:id="73"/>
          </w:p>
        </w:tc>
      </w:tr>
      <w:tr>
        <w:trPr/>
        <w:tc>
          <w:tcPr>
            <w:tcW w:w="300" w:type="dxa"/>
            <w:tcBorders/>
            <w:shd w:fill="auto" w:val="clear"/>
            <w:vAlign w:val="center"/>
          </w:tcPr>
          <w:p>
            <w:pPr>
              <w:pStyle w:val="TableContents"/>
              <w:spacing w:before="0" w:after="283"/>
              <w:jc w:val="left"/>
              <w:rPr/>
            </w:pPr>
            <w:r>
              <w:rPr/>
              <w:t>     </w:t>
            </w:r>
          </w:p>
        </w:tc>
        <w:tc>
          <w:tcPr>
            <w:tcW w:w="380" w:type="dxa"/>
            <w:tcBorders>
              <w:bottom w:val="single" w:sz="8" w:space="0" w:color="5B5975"/>
            </w:tcBorders>
            <w:shd w:fill="auto" w:val="clear"/>
            <w:tcMar>
              <w:bottom w:w="40" w:type="dxa"/>
            </w:tcMar>
            <w:vAlign w:val="center"/>
          </w:tcPr>
          <w:p>
            <w:pPr>
              <w:pStyle w:val="TableContents"/>
              <w:spacing w:before="0" w:after="283"/>
              <w:jc w:val="left"/>
              <w:rPr>
                <w:rFonts w:ascii="Arial" w:hAnsi="Arial"/>
                <w:b/>
                <w:color w:val="1A2343"/>
                <w:sz w:val="15"/>
              </w:rPr>
            </w:pPr>
            <w:r>
              <w:rPr>
                <w:rFonts w:ascii="Arial" w:hAnsi="Arial"/>
                <w:b/>
                <w:color w:val="1A2343"/>
                <w:sz w:val="15"/>
              </w:rPr>
              <w:t>2022</w:t>
            </w:r>
          </w:p>
        </w:tc>
        <w:tc>
          <w:tcPr>
            <w:tcW w:w="300" w:type="dxa"/>
            <w:tcBorders/>
            <w:shd w:fill="auto" w:val="clear"/>
            <w:vAlign w:val="center"/>
          </w:tcPr>
          <w:p>
            <w:pPr>
              <w:pStyle w:val="TableContents"/>
              <w:spacing w:before="0" w:after="283"/>
              <w:rPr>
                <w:sz w:val="4"/>
                <w:szCs w:val="4"/>
              </w:rPr>
            </w:pPr>
            <w:r>
              <w:rPr>
                <w:sz w:val="4"/>
                <w:szCs w:val="4"/>
              </w:rPr>
            </w:r>
          </w:p>
        </w:tc>
        <w:tc>
          <w:tcPr>
            <w:tcW w:w="146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7,006,710</w:t>
            </w:r>
          </w:p>
        </w:tc>
        <w:tc>
          <w:tcPr>
            <w:tcW w:w="300" w:type="dxa"/>
            <w:tcBorders/>
            <w:shd w:fill="auto" w:val="clear"/>
            <w:vAlign w:val="center"/>
          </w:tcPr>
          <w:p>
            <w:pPr>
              <w:pStyle w:val="TableContents"/>
              <w:spacing w:before="0" w:after="283"/>
              <w:rPr>
                <w:sz w:val="4"/>
                <w:szCs w:val="4"/>
              </w:rPr>
            </w:pPr>
            <w:r>
              <w:rPr>
                <w:sz w:val="4"/>
                <w:szCs w:val="4"/>
              </w:rPr>
            </w:r>
          </w:p>
        </w:tc>
        <w:tc>
          <w:tcPr>
            <w:tcW w:w="959"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(6,036,720</w:t>
            </w:r>
          </w:p>
        </w:tc>
        <w:tc>
          <w:tcPr>
            <w:tcW w:w="8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300" w:type="dxa"/>
            <w:tcBorders/>
            <w:shd w:fill="auto" w:val="clear"/>
            <w:vAlign w:val="center"/>
          </w:tcPr>
          <w:p>
            <w:pPr>
              <w:pStyle w:val="TableContents"/>
              <w:spacing w:before="0" w:after="283"/>
              <w:rPr>
                <w:sz w:val="4"/>
                <w:szCs w:val="4"/>
              </w:rPr>
            </w:pPr>
            <w:r>
              <w:rPr>
                <w:sz w:val="4"/>
                <w:szCs w:val="4"/>
              </w:rPr>
            </w:r>
          </w:p>
        </w:tc>
        <w:tc>
          <w:tcPr>
            <w:tcW w:w="867"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(3,359,296</w:t>
            </w:r>
          </w:p>
        </w:tc>
        <w:tc>
          <w:tcPr>
            <w:tcW w:w="67"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300" w:type="dxa"/>
            <w:tcBorders/>
            <w:shd w:fill="auto" w:val="clear"/>
            <w:vAlign w:val="center"/>
          </w:tcPr>
          <w:p>
            <w:pPr>
              <w:pStyle w:val="TableContents"/>
              <w:spacing w:before="0" w:after="283"/>
              <w:rPr>
                <w:sz w:val="4"/>
                <w:szCs w:val="4"/>
              </w:rPr>
            </w:pPr>
            <w:r>
              <w:rPr>
                <w:sz w:val="4"/>
                <w:szCs w:val="4"/>
              </w:rPr>
            </w:r>
          </w:p>
        </w:tc>
        <w:tc>
          <w:tcPr>
            <w:tcW w:w="110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(2,389,306)</w:t>
            </w:r>
            <w:bookmarkStart w:id="74" w:name="xdx_411_20210101__20211231_zJ3A9IFYs4Ia"/>
            <w:bookmarkEnd w:id="74"/>
          </w:p>
        </w:tc>
      </w:tr>
      <w:tr>
        <w:trPr/>
        <w:tc>
          <w:tcPr>
            <w:tcW w:w="300" w:type="dxa"/>
            <w:tcBorders/>
            <w:shd w:fill="auto" w:val="clear"/>
            <w:vAlign w:val="center"/>
          </w:tcPr>
          <w:p>
            <w:pPr>
              <w:pStyle w:val="TableContents"/>
              <w:spacing w:before="0" w:after="283"/>
              <w:jc w:val="left"/>
              <w:rPr/>
            </w:pPr>
            <w:r>
              <w:rPr/>
              <w:t> </w:t>
            </w:r>
          </w:p>
        </w:tc>
        <w:tc>
          <w:tcPr>
            <w:tcW w:w="380" w:type="dxa"/>
            <w:tcBorders>
              <w:bottom w:val="single" w:sz="8" w:space="0" w:color="5B5975"/>
            </w:tcBorders>
            <w:shd w:fill="auto" w:val="clear"/>
            <w:tcMar>
              <w:bottom w:w="40" w:type="dxa"/>
            </w:tcMar>
            <w:vAlign w:val="center"/>
          </w:tcPr>
          <w:p>
            <w:pPr>
              <w:pStyle w:val="TableContents"/>
              <w:spacing w:before="0" w:after="283"/>
              <w:jc w:val="left"/>
              <w:rPr>
                <w:rFonts w:ascii="Arial" w:hAnsi="Arial"/>
                <w:b/>
                <w:color w:val="1A2343"/>
                <w:sz w:val="15"/>
              </w:rPr>
            </w:pPr>
            <w:r>
              <w:rPr>
                <w:rFonts w:ascii="Arial" w:hAnsi="Arial"/>
                <w:b/>
                <w:color w:val="1A2343"/>
                <w:sz w:val="15"/>
              </w:rPr>
              <w:t>2021</w:t>
            </w:r>
          </w:p>
        </w:tc>
        <w:tc>
          <w:tcPr>
            <w:tcW w:w="300" w:type="dxa"/>
            <w:tcBorders/>
            <w:shd w:fill="auto" w:val="clear"/>
            <w:vAlign w:val="center"/>
          </w:tcPr>
          <w:p>
            <w:pPr>
              <w:pStyle w:val="TableContents"/>
              <w:spacing w:before="0" w:after="283"/>
              <w:rPr>
                <w:sz w:val="4"/>
                <w:szCs w:val="4"/>
              </w:rPr>
            </w:pPr>
            <w:r>
              <w:rPr>
                <w:sz w:val="4"/>
                <w:szCs w:val="4"/>
              </w:rPr>
            </w:r>
          </w:p>
        </w:tc>
        <w:tc>
          <w:tcPr>
            <w:tcW w:w="146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7,711,773</w:t>
            </w:r>
          </w:p>
        </w:tc>
        <w:tc>
          <w:tcPr>
            <w:tcW w:w="300" w:type="dxa"/>
            <w:tcBorders/>
            <w:shd w:fill="auto" w:val="clear"/>
            <w:vAlign w:val="center"/>
          </w:tcPr>
          <w:p>
            <w:pPr>
              <w:pStyle w:val="TableContents"/>
              <w:spacing w:before="0" w:after="283"/>
              <w:rPr>
                <w:sz w:val="4"/>
                <w:szCs w:val="4"/>
              </w:rPr>
            </w:pPr>
            <w:r>
              <w:rPr>
                <w:sz w:val="4"/>
                <w:szCs w:val="4"/>
              </w:rPr>
            </w:r>
          </w:p>
        </w:tc>
        <w:tc>
          <w:tcPr>
            <w:tcW w:w="959"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(6,677,199</w:t>
            </w:r>
          </w:p>
        </w:tc>
        <w:tc>
          <w:tcPr>
            <w:tcW w:w="8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300" w:type="dxa"/>
            <w:tcBorders/>
            <w:shd w:fill="auto" w:val="clear"/>
            <w:vAlign w:val="center"/>
          </w:tcPr>
          <w:p>
            <w:pPr>
              <w:pStyle w:val="TableContents"/>
              <w:spacing w:before="0" w:after="283"/>
              <w:rPr>
                <w:sz w:val="4"/>
                <w:szCs w:val="4"/>
              </w:rPr>
            </w:pPr>
            <w:r>
              <w:rPr>
                <w:sz w:val="4"/>
                <w:szCs w:val="4"/>
              </w:rPr>
            </w:r>
          </w:p>
        </w:tc>
        <w:tc>
          <w:tcPr>
            <w:tcW w:w="867"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10,530,465</w:t>
            </w:r>
          </w:p>
        </w:tc>
        <w:tc>
          <w:tcPr>
            <w:tcW w:w="67"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10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11,892,497</w:t>
            </w:r>
            <w:bookmarkStart w:id="75" w:name="xdx_416_20200101__20201231_z3BOuSCiu9Ih"/>
            <w:bookmarkEnd w:id="75"/>
          </w:p>
        </w:tc>
      </w:tr>
      <w:tr>
        <w:trPr/>
        <w:tc>
          <w:tcPr>
            <w:tcW w:w="300" w:type="dxa"/>
            <w:tcBorders/>
            <w:shd w:fill="auto" w:val="clear"/>
            <w:vAlign w:val="center"/>
          </w:tcPr>
          <w:p>
            <w:pPr>
              <w:pStyle w:val="TableContents"/>
              <w:spacing w:before="0" w:after="283"/>
              <w:jc w:val="left"/>
              <w:rPr/>
            </w:pPr>
            <w:r>
              <w:rPr/>
              <w:t> </w:t>
            </w:r>
          </w:p>
        </w:tc>
        <w:tc>
          <w:tcPr>
            <w:tcW w:w="380" w:type="dxa"/>
            <w:tcBorders>
              <w:bottom w:val="single" w:sz="12" w:space="0" w:color="1A2343"/>
            </w:tcBorders>
            <w:shd w:fill="auto" w:val="clear"/>
            <w:tcMar>
              <w:bottom w:w="40" w:type="dxa"/>
            </w:tcMar>
            <w:vAlign w:val="center"/>
          </w:tcPr>
          <w:p>
            <w:pPr>
              <w:pStyle w:val="TableContents"/>
              <w:spacing w:before="0" w:after="283"/>
              <w:jc w:val="left"/>
              <w:rPr>
                <w:rFonts w:ascii="Arial" w:hAnsi="Arial"/>
                <w:b/>
                <w:color w:val="1A2343"/>
                <w:sz w:val="15"/>
              </w:rPr>
            </w:pPr>
            <w:r>
              <w:rPr>
                <w:rFonts w:ascii="Arial" w:hAnsi="Arial"/>
                <w:b/>
                <w:color w:val="1A2343"/>
                <w:sz w:val="15"/>
              </w:rPr>
              <w:t>2020</w:t>
            </w:r>
          </w:p>
        </w:tc>
        <w:tc>
          <w:tcPr>
            <w:tcW w:w="300" w:type="dxa"/>
            <w:tcBorders/>
            <w:shd w:fill="auto" w:val="clear"/>
            <w:vAlign w:val="center"/>
          </w:tcPr>
          <w:p>
            <w:pPr>
              <w:pStyle w:val="TableContents"/>
              <w:spacing w:before="0" w:after="283"/>
              <w:rPr>
                <w:sz w:val="4"/>
                <w:szCs w:val="4"/>
              </w:rPr>
            </w:pPr>
            <w:r>
              <w:rPr>
                <w:sz w:val="4"/>
                <w:szCs w:val="4"/>
              </w:rPr>
            </w:r>
          </w:p>
        </w:tc>
        <w:tc>
          <w:tcPr>
            <w:tcW w:w="1460"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6,741,540</w:t>
            </w:r>
          </w:p>
        </w:tc>
        <w:tc>
          <w:tcPr>
            <w:tcW w:w="300" w:type="dxa"/>
            <w:tcBorders/>
            <w:shd w:fill="auto" w:val="clear"/>
            <w:vAlign w:val="center"/>
          </w:tcPr>
          <w:p>
            <w:pPr>
              <w:pStyle w:val="TableContents"/>
              <w:spacing w:before="0" w:after="283"/>
              <w:rPr>
                <w:sz w:val="4"/>
                <w:szCs w:val="4"/>
              </w:rPr>
            </w:pPr>
            <w:r>
              <w:rPr>
                <w:sz w:val="4"/>
                <w:szCs w:val="4"/>
              </w:rPr>
            </w:r>
          </w:p>
        </w:tc>
        <w:tc>
          <w:tcPr>
            <w:tcW w:w="959"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(4,872,895</w:t>
            </w:r>
          </w:p>
        </w:tc>
        <w:tc>
          <w:tcPr>
            <w:tcW w:w="80" w:type="dxa"/>
            <w:tcBorders>
              <w:bottom w:val="single" w:sz="12" w:space="0" w:color="1A2343"/>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300" w:type="dxa"/>
            <w:tcBorders/>
            <w:shd w:fill="auto" w:val="clear"/>
            <w:vAlign w:val="center"/>
          </w:tcPr>
          <w:p>
            <w:pPr>
              <w:pStyle w:val="TableContents"/>
              <w:spacing w:before="0" w:after="283"/>
              <w:rPr>
                <w:sz w:val="4"/>
                <w:szCs w:val="4"/>
              </w:rPr>
            </w:pPr>
            <w:r>
              <w:rPr>
                <w:sz w:val="4"/>
                <w:szCs w:val="4"/>
              </w:rPr>
            </w:r>
          </w:p>
        </w:tc>
        <w:tc>
          <w:tcPr>
            <w:tcW w:w="867"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2,700,584</w:t>
            </w:r>
          </w:p>
        </w:tc>
        <w:tc>
          <w:tcPr>
            <w:tcW w:w="67" w:type="dxa"/>
            <w:tcBorders>
              <w:bottom w:val="single" w:sz="12" w:space="0" w:color="1A2343"/>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100"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4,241,771</w:t>
            </w:r>
          </w:p>
        </w:tc>
      </w:tr>
    </w:tbl>
    <w:tbl>
      <w:tblPr>
        <w:tblW w:w="10205" w:type="dxa"/>
        <w:jc w:val="left"/>
        <w:tblInd w:w="0" w:type="dxa"/>
        <w:tblCellMar>
          <w:top w:w="0" w:type="dxa"/>
          <w:left w:w="0" w:type="dxa"/>
          <w:bottom w:w="0" w:type="dxa"/>
          <w:right w:w="0" w:type="dxa"/>
        </w:tblCellMar>
      </w:tblPr>
      <w:tblGrid>
        <w:gridCol w:w="186"/>
        <w:gridCol w:w="10019"/>
      </w:tblGrid>
      <w:tr>
        <w:trPr/>
        <w:tc>
          <w:tcPr>
            <w:tcW w:w="186" w:type="dxa"/>
            <w:tcBorders/>
            <w:shd w:fill="auto" w:val="clear"/>
            <w:vAlign w:val="center"/>
          </w:tcPr>
          <w:p>
            <w:pPr>
              <w:pStyle w:val="TableContents"/>
              <w:spacing w:before="0" w:after="283"/>
              <w:jc w:val="left"/>
              <w:rPr>
                <w:rFonts w:ascii="Arial" w:hAnsi="Arial"/>
                <w:sz w:val="15"/>
              </w:rPr>
            </w:pPr>
            <w:r>
              <w:rPr>
                <w:rFonts w:ascii="Arial" w:hAnsi="Arial"/>
                <w:sz w:val="15"/>
              </w:rPr>
              <w:t>(a)</w:t>
            </w:r>
          </w:p>
        </w:tc>
        <w:tc>
          <w:tcPr>
            <w:tcW w:w="10019" w:type="dxa"/>
            <w:tcBorders/>
            <w:shd w:fill="auto" w:val="clear"/>
            <w:vAlign w:val="center"/>
          </w:tcPr>
          <w:p>
            <w:pPr>
              <w:pStyle w:val="TableContents"/>
              <w:spacing w:before="0" w:after="283"/>
              <w:jc w:val="left"/>
              <w:rPr>
                <w:rFonts w:ascii="Arial" w:hAnsi="Arial"/>
                <w:sz w:val="15"/>
              </w:rPr>
            </w:pPr>
            <w:r>
              <w:rPr>
                <w:rFonts w:ascii="Arial" w:hAnsi="Arial"/>
                <w:sz w:val="15"/>
              </w:rPr>
              <w:t>Represents the sum of the amounts reported in the “Stock Awards” column of the Summary Compensation Table for the applicable fiscal year.</w:t>
            </w:r>
          </w:p>
        </w:tc>
      </w:tr>
      <w:tr>
        <w:trPr/>
        <w:tc>
          <w:tcPr>
            <w:tcW w:w="186" w:type="dxa"/>
            <w:tcBorders/>
            <w:shd w:fill="auto" w:val="clear"/>
            <w:vAlign w:val="center"/>
          </w:tcPr>
          <w:p>
            <w:pPr>
              <w:pStyle w:val="TableContents"/>
              <w:spacing w:before="0" w:after="283"/>
              <w:jc w:val="left"/>
              <w:rPr>
                <w:rFonts w:ascii="Arial" w:hAnsi="Arial"/>
                <w:sz w:val="15"/>
              </w:rPr>
            </w:pPr>
            <w:r>
              <w:rPr>
                <w:rFonts w:ascii="Arial" w:hAnsi="Arial"/>
                <w:sz w:val="15"/>
              </w:rPr>
              <w:t>(b)</w:t>
            </w:r>
          </w:p>
        </w:tc>
        <w:tc>
          <w:tcPr>
            <w:tcW w:w="10019" w:type="dxa"/>
            <w:tcBorders/>
            <w:shd w:fill="auto" w:val="clear"/>
            <w:vAlign w:val="center"/>
          </w:tcPr>
          <w:p>
            <w:pPr>
              <w:pStyle w:val="TableContents"/>
              <w:spacing w:before="0" w:after="283"/>
              <w:jc w:val="left"/>
              <w:rPr>
                <w:rFonts w:ascii="Arial" w:hAnsi="Arial"/>
                <w:sz w:val="15"/>
              </w:rPr>
            </w:pPr>
            <w:r>
              <w:rPr>
                <w:rFonts w:ascii="Arial" w:hAnsi="Arial"/>
                <w:sz w:val="15"/>
              </w:rPr>
              <w:t>The equity award adjustments for each fiscal year reflect the same methodology set forth in footnote 1, above. The amounts deducted or added in calculating the equity award adjustments are as follows:</w:t>
            </w:r>
          </w:p>
        </w:tc>
      </w:tr>
    </w:tbl>
    <w:p>
      <w:pPr>
        <w:pStyle w:val="TextBody"/>
        <w:spacing w:before="0" w:after="0"/>
        <w:rPr/>
      </w:pPr>
      <w:r>
        <w:rPr/>
      </w:r>
      <w:bookmarkStart w:id="76" w:name="xdx_304_zo3RgeM7cwbi"/>
      <w:bookmarkStart w:id="77" w:name="xdx_304_zo3RgeM7cwbi"/>
      <w:bookmarkEnd w:id="77"/>
    </w:p>
    <w:tbl>
      <w:tblPr>
        <w:tblW w:w="10012" w:type="dxa"/>
        <w:jc w:val="left"/>
        <w:tblInd w:w="0" w:type="dxa"/>
        <w:tblCellMar>
          <w:top w:w="0" w:type="dxa"/>
          <w:left w:w="0" w:type="dxa"/>
          <w:bottom w:w="0" w:type="dxa"/>
          <w:right w:w="0" w:type="dxa"/>
        </w:tblCellMar>
      </w:tblPr>
      <w:tblGrid>
        <w:gridCol w:w="600"/>
        <w:gridCol w:w="470"/>
        <w:gridCol w:w="300"/>
        <w:gridCol w:w="1010"/>
        <w:gridCol w:w="300"/>
        <w:gridCol w:w="1098"/>
        <w:gridCol w:w="91"/>
        <w:gridCol w:w="300"/>
        <w:gridCol w:w="920"/>
        <w:gridCol w:w="300"/>
        <w:gridCol w:w="1040"/>
        <w:gridCol w:w="104"/>
        <w:gridCol w:w="300"/>
        <w:gridCol w:w="932"/>
        <w:gridCol w:w="77"/>
        <w:gridCol w:w="300"/>
        <w:gridCol w:w="695"/>
        <w:gridCol w:w="300"/>
        <w:gridCol w:w="875"/>
      </w:tblGrid>
      <w:tr>
        <w:trPr/>
        <w:tc>
          <w:tcPr>
            <w:tcW w:w="600" w:type="dxa"/>
            <w:tcBorders/>
            <w:shd w:fill="auto" w:val="clear"/>
            <w:vAlign w:val="center"/>
          </w:tcPr>
          <w:p>
            <w:pPr>
              <w:pStyle w:val="TableContents"/>
              <w:spacing w:before="0" w:after="283"/>
              <w:jc w:val="left"/>
              <w:rPr/>
            </w:pPr>
            <w:r>
              <w:rPr/>
              <w:t>          </w:t>
            </w:r>
          </w:p>
        </w:tc>
        <w:tc>
          <w:tcPr>
            <w:tcW w:w="470" w:type="dxa"/>
            <w:tcBorders>
              <w:bottom w:val="single" w:sz="12" w:space="0" w:color="1A2343"/>
            </w:tcBorders>
            <w:shd w:fill="auto" w:val="clear"/>
            <w:tcMar>
              <w:bottom w:w="40" w:type="dxa"/>
            </w:tcMar>
            <w:vAlign w:val="center"/>
          </w:tcPr>
          <w:p>
            <w:pPr>
              <w:pStyle w:val="TableContents"/>
              <w:spacing w:before="0" w:after="283"/>
              <w:jc w:val="left"/>
              <w:rPr>
                <w:rFonts w:ascii="Arial" w:hAnsi="Arial"/>
                <w:color w:val="1A2343"/>
                <w:sz w:val="15"/>
              </w:rPr>
            </w:pPr>
            <w:r>
              <w:rPr>
                <w:rFonts w:ascii="Arial" w:hAnsi="Arial"/>
                <w:color w:val="1A2343"/>
                <w:sz w:val="15"/>
              </w:rPr>
              <w:t>Year</w:t>
            </w:r>
            <w:r>
              <w:rPr>
                <w:rFonts w:ascii="Arial" w:hAnsi="Arial"/>
                <w:color w:val="1A2343"/>
                <w:position w:val="5"/>
                <w:sz w:val="12"/>
                <w:sz w:val="15"/>
              </w:rPr>
              <w:t>(i)</w:t>
            </w:r>
          </w:p>
        </w:tc>
        <w:tc>
          <w:tcPr>
            <w:tcW w:w="300" w:type="dxa"/>
            <w:tcBorders/>
            <w:shd w:fill="auto" w:val="clear"/>
            <w:vAlign w:val="center"/>
          </w:tcPr>
          <w:p>
            <w:pPr>
              <w:pStyle w:val="TableContents"/>
              <w:spacing w:before="0" w:after="283"/>
              <w:jc w:val="right"/>
              <w:rPr/>
            </w:pPr>
            <w:r>
              <w:rPr/>
              <w:t>     </w:t>
            </w:r>
            <w:bookmarkStart w:id="78" w:name="xdx_482_eecd--AdjToCompAmt_hecd--AdjToCo"/>
            <w:bookmarkEnd w:id="78"/>
          </w:p>
        </w:tc>
        <w:tc>
          <w:tcPr>
            <w:tcW w:w="101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Average</w:t>
              <w:br/>
              <w:t>Year End</w:t>
              <w:br/>
              <w:t>Fair Value of</w:t>
              <w:br/>
              <w:t>Equity Awards</w:t>
              <w:br/>
              <w:t>Granted in</w:t>
              <w:br/>
              <w:t>the Year and</w:t>
              <w:br/>
              <w:t>Unvested</w:t>
              <w:br/>
              <w:t>($)</w:t>
            </w:r>
          </w:p>
        </w:tc>
        <w:tc>
          <w:tcPr>
            <w:tcW w:w="300" w:type="dxa"/>
            <w:tcBorders/>
            <w:shd w:fill="auto" w:val="clear"/>
            <w:vAlign w:val="center"/>
          </w:tcPr>
          <w:p>
            <w:pPr>
              <w:pStyle w:val="TableContents"/>
              <w:spacing w:before="0" w:after="283"/>
              <w:jc w:val="right"/>
              <w:rPr/>
            </w:pPr>
            <w:r>
              <w:rPr/>
              <w:t>     </w:t>
            </w:r>
            <w:bookmarkStart w:id="79" w:name="xdx_48A_eecd--AdjToCompAmt_hecd--AdjToCo"/>
            <w:bookmarkEnd w:id="79"/>
          </w:p>
        </w:tc>
        <w:tc>
          <w:tcPr>
            <w:tcW w:w="1189" w:type="dxa"/>
            <w:gridSpan w:val="2"/>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Year over</w:t>
              <w:br/>
              <w:t>Year Average</w:t>
              <w:br/>
              <w:t>Change in Fair</w:t>
              <w:br/>
              <w:t>Value of</w:t>
              <w:br/>
              <w:t>Outstanding and</w:t>
              <w:br/>
              <w:t>Unvested Equity</w:t>
              <w:br/>
              <w:t>Awards ($)</w:t>
            </w:r>
          </w:p>
        </w:tc>
        <w:tc>
          <w:tcPr>
            <w:tcW w:w="300" w:type="dxa"/>
            <w:tcBorders/>
            <w:shd w:fill="auto" w:val="clear"/>
            <w:vAlign w:val="center"/>
          </w:tcPr>
          <w:p>
            <w:pPr>
              <w:pStyle w:val="TableContents"/>
              <w:spacing w:before="0" w:after="283"/>
              <w:jc w:val="left"/>
              <w:rPr/>
            </w:pPr>
            <w:r>
              <w:rPr/>
              <w:t>     </w:t>
            </w:r>
            <w:bookmarkStart w:id="80" w:name="xdx_484_eecd--AdjToCompAmt_hecd--AdjToCo"/>
            <w:bookmarkEnd w:id="80"/>
          </w:p>
        </w:tc>
        <w:tc>
          <w:tcPr>
            <w:tcW w:w="92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Average Fair</w:t>
              <w:br/>
              <w:t>Value as of</w:t>
              <w:br/>
              <w:t>Vesting Date</w:t>
              <w:br/>
              <w:t>of Equity</w:t>
              <w:br/>
              <w:t>Awards</w:t>
              <w:br/>
              <w:t>Granted and</w:t>
              <w:br/>
              <w:t>Vested in</w:t>
              <w:br/>
              <w:t>the Year</w:t>
              <w:br/>
              <w:t>($)</w:t>
            </w:r>
          </w:p>
        </w:tc>
        <w:tc>
          <w:tcPr>
            <w:tcW w:w="300" w:type="dxa"/>
            <w:tcBorders/>
            <w:shd w:fill="auto" w:val="clear"/>
            <w:vAlign w:val="center"/>
          </w:tcPr>
          <w:p>
            <w:pPr>
              <w:pStyle w:val="TableContents"/>
              <w:spacing w:before="0" w:after="283"/>
              <w:jc w:val="right"/>
              <w:rPr/>
            </w:pPr>
            <w:r>
              <w:rPr/>
              <w:t>     </w:t>
            </w:r>
            <w:bookmarkStart w:id="81" w:name="xdx_48B_eecd--AdjToCompAmt_d0_hecd--AdjT"/>
            <w:bookmarkEnd w:id="81"/>
          </w:p>
        </w:tc>
        <w:tc>
          <w:tcPr>
            <w:tcW w:w="1144" w:type="dxa"/>
            <w:gridSpan w:val="2"/>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Year over</w:t>
              <w:br/>
              <w:t>Year Average</w:t>
              <w:br/>
              <w:t>Change in Fair</w:t>
              <w:br/>
              <w:t>Value of Equity</w:t>
              <w:br/>
              <w:t>Awards Granted</w:t>
              <w:br/>
              <w:t>in Prior Years</w:t>
              <w:br/>
              <w:t>that Vested in</w:t>
              <w:br/>
              <w:t>the Year</w:t>
              <w:br/>
              <w:t>($)</w:t>
            </w:r>
          </w:p>
        </w:tc>
        <w:tc>
          <w:tcPr>
            <w:tcW w:w="300" w:type="dxa"/>
            <w:tcBorders/>
            <w:shd w:fill="auto" w:val="clear"/>
            <w:vAlign w:val="center"/>
          </w:tcPr>
          <w:p>
            <w:pPr>
              <w:pStyle w:val="TableContents"/>
              <w:spacing w:before="0" w:after="283"/>
              <w:jc w:val="left"/>
              <w:rPr/>
            </w:pPr>
            <w:r>
              <w:rPr/>
              <w:t>     </w:t>
            </w:r>
            <w:bookmarkStart w:id="82" w:name="xdx_488_eecd--AdjToCompAmt_d0_hecd--AdjT"/>
            <w:bookmarkEnd w:id="82"/>
          </w:p>
        </w:tc>
        <w:tc>
          <w:tcPr>
            <w:tcW w:w="1009" w:type="dxa"/>
            <w:gridSpan w:val="2"/>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Average Fair</w:t>
              <w:br/>
              <w:t>Value at the</w:t>
              <w:br/>
              <w:t>End of the</w:t>
              <w:br/>
              <w:t>Prior Year of</w:t>
              <w:br/>
              <w:t>Equity Awards</w:t>
              <w:br/>
              <w:t>that Failed to</w:t>
              <w:br/>
              <w:t>Meet Vesting</w:t>
              <w:br/>
              <w:t>Conditions in</w:t>
              <w:br/>
              <w:t>the Year</w:t>
              <w:br/>
              <w:t>($)</w:t>
            </w:r>
          </w:p>
        </w:tc>
        <w:tc>
          <w:tcPr>
            <w:tcW w:w="300" w:type="dxa"/>
            <w:tcBorders/>
            <w:shd w:fill="auto" w:val="clear"/>
            <w:vAlign w:val="center"/>
          </w:tcPr>
          <w:p>
            <w:pPr>
              <w:pStyle w:val="TableContents"/>
              <w:spacing w:before="0" w:after="283"/>
              <w:jc w:val="left"/>
              <w:rPr/>
            </w:pPr>
            <w:r>
              <w:rPr/>
              <w:t>     </w:t>
            </w:r>
            <w:bookmarkStart w:id="83" w:name="xdx_484_eecd--AdjToCompAmt_hecd--AdjToCo"/>
            <w:bookmarkEnd w:id="83"/>
          </w:p>
        </w:tc>
        <w:tc>
          <w:tcPr>
            <w:tcW w:w="695"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Average</w:t>
              <w:br/>
              <w:t>Value of</w:t>
              <w:br/>
              <w:t>Dividends</w:t>
              <w:br/>
              <w:t>or other</w:t>
              <w:br/>
              <w:t>Earnings</w:t>
              <w:br/>
              <w:t>Paid on</w:t>
              <w:br/>
              <w:t>Awards</w:t>
              <w:br/>
              <w:t>($)</w:t>
            </w:r>
          </w:p>
        </w:tc>
        <w:tc>
          <w:tcPr>
            <w:tcW w:w="300" w:type="dxa"/>
            <w:tcBorders/>
            <w:shd w:fill="auto" w:val="clear"/>
            <w:vAlign w:val="center"/>
          </w:tcPr>
          <w:p>
            <w:pPr>
              <w:pStyle w:val="TableContents"/>
              <w:spacing w:before="0" w:after="283"/>
              <w:jc w:val="right"/>
              <w:rPr/>
            </w:pPr>
            <w:r>
              <w:rPr/>
              <w:t>     </w:t>
            </w:r>
            <w:bookmarkStart w:id="84" w:name="xdx_48E_eecd--AdjToCompAmt_hecd--AdjToCo"/>
            <w:bookmarkEnd w:id="84"/>
          </w:p>
        </w:tc>
        <w:tc>
          <w:tcPr>
            <w:tcW w:w="875"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Total Equity</w:t>
              <w:br/>
              <w:t>Award</w:t>
              <w:br/>
              <w:t>Adjustments</w:t>
              <w:br/>
              <w:t>($)</w:t>
            </w:r>
            <w:bookmarkStart w:id="85" w:name="xdx_410_20220101__20221231_zd3b2fO209C9"/>
            <w:bookmarkEnd w:id="85"/>
          </w:p>
        </w:tc>
      </w:tr>
      <w:tr>
        <w:trPr/>
        <w:tc>
          <w:tcPr>
            <w:tcW w:w="600" w:type="dxa"/>
            <w:tcBorders/>
            <w:shd w:fill="auto" w:val="clear"/>
            <w:vAlign w:val="center"/>
          </w:tcPr>
          <w:p>
            <w:pPr>
              <w:pStyle w:val="TableContents"/>
              <w:spacing w:before="0" w:after="283"/>
              <w:jc w:val="left"/>
              <w:rPr/>
            </w:pPr>
            <w:r>
              <w:rPr/>
              <w:t> </w:t>
            </w:r>
          </w:p>
        </w:tc>
        <w:tc>
          <w:tcPr>
            <w:tcW w:w="470" w:type="dxa"/>
            <w:tcBorders>
              <w:bottom w:val="single" w:sz="8" w:space="0" w:color="5B5975"/>
            </w:tcBorders>
            <w:shd w:fill="auto" w:val="clear"/>
            <w:tcMar>
              <w:bottom w:w="40" w:type="dxa"/>
            </w:tcMar>
            <w:vAlign w:val="center"/>
          </w:tcPr>
          <w:p>
            <w:pPr>
              <w:pStyle w:val="TableContents"/>
              <w:spacing w:before="0" w:after="283"/>
              <w:jc w:val="left"/>
              <w:rPr>
                <w:rFonts w:ascii="Arial" w:hAnsi="Arial"/>
                <w:b/>
                <w:color w:val="1A2343"/>
                <w:sz w:val="15"/>
              </w:rPr>
            </w:pPr>
            <w:r>
              <w:rPr>
                <w:rFonts w:ascii="Arial" w:hAnsi="Arial"/>
                <w:b/>
                <w:color w:val="1A2343"/>
                <w:sz w:val="15"/>
              </w:rPr>
              <w:t>2022</w:t>
            </w:r>
          </w:p>
        </w:tc>
        <w:tc>
          <w:tcPr>
            <w:tcW w:w="300" w:type="dxa"/>
            <w:tcBorders/>
            <w:shd w:fill="auto" w:val="clear"/>
            <w:vAlign w:val="center"/>
          </w:tcPr>
          <w:p>
            <w:pPr>
              <w:pStyle w:val="TableContents"/>
              <w:spacing w:before="0" w:after="283"/>
              <w:rPr>
                <w:sz w:val="4"/>
                <w:szCs w:val="4"/>
              </w:rPr>
            </w:pPr>
            <w:r>
              <w:rPr>
                <w:sz w:val="4"/>
                <w:szCs w:val="4"/>
              </w:rPr>
            </w:r>
          </w:p>
        </w:tc>
        <w:tc>
          <w:tcPr>
            <w:tcW w:w="101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1,882,454</w:t>
            </w:r>
          </w:p>
        </w:tc>
        <w:tc>
          <w:tcPr>
            <w:tcW w:w="300" w:type="dxa"/>
            <w:tcBorders/>
            <w:shd w:fill="auto" w:val="clear"/>
            <w:vAlign w:val="center"/>
          </w:tcPr>
          <w:p>
            <w:pPr>
              <w:pStyle w:val="TableContents"/>
              <w:spacing w:before="0" w:after="283"/>
              <w:rPr>
                <w:sz w:val="4"/>
                <w:szCs w:val="4"/>
              </w:rPr>
            </w:pPr>
            <w:r>
              <w:rPr>
                <w:sz w:val="4"/>
                <w:szCs w:val="4"/>
              </w:rPr>
            </w:r>
          </w:p>
        </w:tc>
        <w:tc>
          <w:tcPr>
            <w:tcW w:w="1098"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(4,551,556</w:t>
            </w:r>
          </w:p>
        </w:tc>
        <w:tc>
          <w:tcPr>
            <w:tcW w:w="9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300" w:type="dxa"/>
            <w:tcBorders/>
            <w:shd w:fill="auto" w:val="clear"/>
            <w:vAlign w:val="center"/>
          </w:tcPr>
          <w:p>
            <w:pPr>
              <w:pStyle w:val="TableContents"/>
              <w:spacing w:before="0" w:after="283"/>
              <w:rPr>
                <w:sz w:val="4"/>
                <w:szCs w:val="4"/>
              </w:rPr>
            </w:pPr>
            <w:r>
              <w:rPr>
                <w:sz w:val="4"/>
                <w:szCs w:val="4"/>
              </w:rPr>
            </w:r>
          </w:p>
        </w:tc>
        <w:tc>
          <w:tcPr>
            <w:tcW w:w="92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905,033</w:t>
            </w:r>
          </w:p>
        </w:tc>
        <w:tc>
          <w:tcPr>
            <w:tcW w:w="300" w:type="dxa"/>
            <w:tcBorders/>
            <w:shd w:fill="auto" w:val="clear"/>
            <w:vAlign w:val="center"/>
          </w:tcPr>
          <w:p>
            <w:pPr>
              <w:pStyle w:val="TableContents"/>
              <w:spacing w:before="0" w:after="283"/>
              <w:rPr>
                <w:sz w:val="4"/>
                <w:szCs w:val="4"/>
              </w:rPr>
            </w:pPr>
            <w:r>
              <w:rPr>
                <w:sz w:val="4"/>
                <w:szCs w:val="4"/>
              </w:rPr>
            </w:r>
          </w:p>
        </w:tc>
        <w:tc>
          <w:tcPr>
            <w:tcW w:w="104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(638,835</w:t>
            </w:r>
          </w:p>
        </w:tc>
        <w:tc>
          <w:tcPr>
            <w:tcW w:w="104"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300" w:type="dxa"/>
            <w:tcBorders/>
            <w:shd w:fill="auto" w:val="clear"/>
            <w:vAlign w:val="center"/>
          </w:tcPr>
          <w:p>
            <w:pPr>
              <w:pStyle w:val="TableContents"/>
              <w:spacing w:before="0" w:after="283"/>
              <w:rPr>
                <w:sz w:val="4"/>
                <w:szCs w:val="4"/>
              </w:rPr>
            </w:pPr>
            <w:r>
              <w:rPr>
                <w:sz w:val="4"/>
                <w:szCs w:val="4"/>
              </w:rPr>
            </w:r>
          </w:p>
        </w:tc>
        <w:tc>
          <w:tcPr>
            <w:tcW w:w="932"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(1,544,649</w:t>
            </w:r>
          </w:p>
        </w:tc>
        <w:tc>
          <w:tcPr>
            <w:tcW w:w="77"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300" w:type="dxa"/>
            <w:tcBorders/>
            <w:shd w:fill="auto" w:val="clear"/>
            <w:vAlign w:val="center"/>
          </w:tcPr>
          <w:p>
            <w:pPr>
              <w:pStyle w:val="TableContents"/>
              <w:spacing w:before="0" w:after="283"/>
              <w:rPr>
                <w:sz w:val="4"/>
                <w:szCs w:val="4"/>
              </w:rPr>
            </w:pPr>
            <w:r>
              <w:rPr>
                <w:sz w:val="4"/>
                <w:szCs w:val="4"/>
              </w:rPr>
            </w:r>
          </w:p>
        </w:tc>
        <w:tc>
          <w:tcPr>
            <w:tcW w:w="69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588,257</w:t>
            </w:r>
          </w:p>
        </w:tc>
        <w:tc>
          <w:tcPr>
            <w:tcW w:w="30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(3,359,296)</w:t>
            </w:r>
            <w:bookmarkStart w:id="86" w:name="xdx_411_20210101__20211231_znyaDDlq5xXa"/>
            <w:bookmarkEnd w:id="86"/>
          </w:p>
        </w:tc>
      </w:tr>
      <w:tr>
        <w:trPr/>
        <w:tc>
          <w:tcPr>
            <w:tcW w:w="600" w:type="dxa"/>
            <w:tcBorders/>
            <w:shd w:fill="auto" w:val="clear"/>
            <w:vAlign w:val="center"/>
          </w:tcPr>
          <w:p>
            <w:pPr>
              <w:pStyle w:val="TableContents"/>
              <w:spacing w:before="0" w:after="283"/>
              <w:jc w:val="left"/>
              <w:rPr/>
            </w:pPr>
            <w:r>
              <w:rPr/>
              <w:t> </w:t>
            </w:r>
          </w:p>
        </w:tc>
        <w:tc>
          <w:tcPr>
            <w:tcW w:w="470" w:type="dxa"/>
            <w:tcBorders>
              <w:bottom w:val="single" w:sz="8" w:space="0" w:color="5B5975"/>
            </w:tcBorders>
            <w:shd w:fill="auto" w:val="clear"/>
            <w:tcMar>
              <w:bottom w:w="40" w:type="dxa"/>
            </w:tcMar>
            <w:vAlign w:val="center"/>
          </w:tcPr>
          <w:p>
            <w:pPr>
              <w:pStyle w:val="TableContents"/>
              <w:spacing w:before="0" w:after="283"/>
              <w:jc w:val="left"/>
              <w:rPr>
                <w:rFonts w:ascii="Arial" w:hAnsi="Arial"/>
                <w:b/>
                <w:color w:val="1A2343"/>
                <w:sz w:val="15"/>
              </w:rPr>
            </w:pPr>
            <w:r>
              <w:rPr>
                <w:rFonts w:ascii="Arial" w:hAnsi="Arial"/>
                <w:b/>
                <w:color w:val="1A2343"/>
                <w:sz w:val="15"/>
              </w:rPr>
              <w:t>2021</w:t>
            </w:r>
          </w:p>
        </w:tc>
        <w:tc>
          <w:tcPr>
            <w:tcW w:w="300" w:type="dxa"/>
            <w:tcBorders/>
            <w:shd w:fill="auto" w:val="clear"/>
            <w:vAlign w:val="center"/>
          </w:tcPr>
          <w:p>
            <w:pPr>
              <w:pStyle w:val="TableContents"/>
              <w:spacing w:before="0" w:after="283"/>
              <w:rPr>
                <w:sz w:val="4"/>
                <w:szCs w:val="4"/>
              </w:rPr>
            </w:pPr>
            <w:r>
              <w:rPr>
                <w:sz w:val="4"/>
                <w:szCs w:val="4"/>
              </w:rPr>
            </w:r>
          </w:p>
        </w:tc>
        <w:tc>
          <w:tcPr>
            <w:tcW w:w="101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8,850,588</w:t>
            </w:r>
          </w:p>
        </w:tc>
        <w:tc>
          <w:tcPr>
            <w:tcW w:w="300" w:type="dxa"/>
            <w:tcBorders/>
            <w:shd w:fill="auto" w:val="clear"/>
            <w:vAlign w:val="center"/>
          </w:tcPr>
          <w:p>
            <w:pPr>
              <w:pStyle w:val="TableContents"/>
              <w:spacing w:before="0" w:after="283"/>
              <w:rPr>
                <w:sz w:val="4"/>
                <w:szCs w:val="4"/>
              </w:rPr>
            </w:pPr>
            <w:r>
              <w:rPr>
                <w:sz w:val="4"/>
                <w:szCs w:val="4"/>
              </w:rPr>
            </w:r>
          </w:p>
        </w:tc>
        <w:tc>
          <w:tcPr>
            <w:tcW w:w="1098"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884,588</w:t>
            </w:r>
          </w:p>
        </w:tc>
        <w:tc>
          <w:tcPr>
            <w:tcW w:w="91"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2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853,696</w:t>
            </w:r>
          </w:p>
        </w:tc>
        <w:tc>
          <w:tcPr>
            <w:tcW w:w="300" w:type="dxa"/>
            <w:tcBorders/>
            <w:shd w:fill="auto" w:val="clear"/>
            <w:vAlign w:val="center"/>
          </w:tcPr>
          <w:p>
            <w:pPr>
              <w:pStyle w:val="TableContents"/>
              <w:spacing w:before="0" w:after="283"/>
              <w:rPr>
                <w:sz w:val="4"/>
                <w:szCs w:val="4"/>
              </w:rPr>
            </w:pPr>
            <w:r>
              <w:rPr>
                <w:sz w:val="4"/>
                <w:szCs w:val="4"/>
              </w:rPr>
            </w:r>
          </w:p>
        </w:tc>
        <w:tc>
          <w:tcPr>
            <w:tcW w:w="104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(543,494</w:t>
            </w:r>
          </w:p>
        </w:tc>
        <w:tc>
          <w:tcPr>
            <w:tcW w:w="104"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300" w:type="dxa"/>
            <w:tcBorders/>
            <w:shd w:fill="auto" w:val="clear"/>
            <w:vAlign w:val="center"/>
          </w:tcPr>
          <w:p>
            <w:pPr>
              <w:pStyle w:val="TableContents"/>
              <w:spacing w:before="0" w:after="283"/>
              <w:rPr>
                <w:sz w:val="4"/>
                <w:szCs w:val="4"/>
              </w:rPr>
            </w:pPr>
            <w:r>
              <w:rPr>
                <w:sz w:val="4"/>
                <w:szCs w:val="4"/>
              </w:rPr>
            </w:r>
          </w:p>
        </w:tc>
        <w:tc>
          <w:tcPr>
            <w:tcW w:w="932" w:type="dxa"/>
            <w:tcBorders>
              <w:bottom w:val="single" w:sz="8" w:space="0" w:color="5B5975"/>
            </w:tcBorders>
            <w:shd w:fill="auto" w:val="clear"/>
            <w:tcMar>
              <w:bottom w:w="40" w:type="dxa"/>
            </w:tcMar>
            <w:vAlign w:val="center"/>
          </w:tcPr>
          <w:p>
            <w:pPr>
              <w:pStyle w:val="TableContents"/>
              <w:spacing w:before="0" w:after="283"/>
              <w:jc w:val="right"/>
              <w:rPr/>
            </w:pPr>
            <w:r>
              <w:rPr/>
              <w:t>—</w:t>
            </w:r>
          </w:p>
        </w:tc>
        <w:tc>
          <w:tcPr>
            <w:tcW w:w="77"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9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485,088</w:t>
            </w:r>
          </w:p>
        </w:tc>
        <w:tc>
          <w:tcPr>
            <w:tcW w:w="30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10,530,465</w:t>
            </w:r>
            <w:bookmarkStart w:id="87" w:name="xdx_416_20200101__20201231_zdWuqK0BKqr"/>
            <w:bookmarkEnd w:id="87"/>
          </w:p>
        </w:tc>
      </w:tr>
      <w:tr>
        <w:trPr/>
        <w:tc>
          <w:tcPr>
            <w:tcW w:w="600" w:type="dxa"/>
            <w:tcBorders/>
            <w:shd w:fill="auto" w:val="clear"/>
            <w:vAlign w:val="center"/>
          </w:tcPr>
          <w:p>
            <w:pPr>
              <w:pStyle w:val="TableContents"/>
              <w:spacing w:before="0" w:after="283"/>
              <w:jc w:val="left"/>
              <w:rPr/>
            </w:pPr>
            <w:r>
              <w:rPr/>
              <w:t> </w:t>
            </w:r>
          </w:p>
        </w:tc>
        <w:tc>
          <w:tcPr>
            <w:tcW w:w="470" w:type="dxa"/>
            <w:tcBorders>
              <w:bottom w:val="single" w:sz="12" w:space="0" w:color="1A2343"/>
            </w:tcBorders>
            <w:shd w:fill="auto" w:val="clear"/>
            <w:tcMar>
              <w:bottom w:w="40" w:type="dxa"/>
            </w:tcMar>
            <w:vAlign w:val="center"/>
          </w:tcPr>
          <w:p>
            <w:pPr>
              <w:pStyle w:val="TableContents"/>
              <w:spacing w:before="0" w:after="283"/>
              <w:jc w:val="left"/>
              <w:rPr>
                <w:rFonts w:ascii="Arial" w:hAnsi="Arial"/>
                <w:b/>
                <w:color w:val="1A2343"/>
                <w:sz w:val="15"/>
              </w:rPr>
            </w:pPr>
            <w:r>
              <w:rPr>
                <w:rFonts w:ascii="Arial" w:hAnsi="Arial"/>
                <w:b/>
                <w:color w:val="1A2343"/>
                <w:sz w:val="15"/>
              </w:rPr>
              <w:t>2020</w:t>
            </w:r>
          </w:p>
        </w:tc>
        <w:tc>
          <w:tcPr>
            <w:tcW w:w="300" w:type="dxa"/>
            <w:tcBorders/>
            <w:shd w:fill="auto" w:val="clear"/>
            <w:vAlign w:val="center"/>
          </w:tcPr>
          <w:p>
            <w:pPr>
              <w:pStyle w:val="TableContents"/>
              <w:spacing w:before="0" w:after="283"/>
              <w:rPr>
                <w:sz w:val="4"/>
                <w:szCs w:val="4"/>
              </w:rPr>
            </w:pPr>
            <w:r>
              <w:rPr>
                <w:sz w:val="4"/>
                <w:szCs w:val="4"/>
              </w:rPr>
            </w:r>
          </w:p>
        </w:tc>
        <w:tc>
          <w:tcPr>
            <w:tcW w:w="1010"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2,947,962</w:t>
            </w:r>
          </w:p>
        </w:tc>
        <w:tc>
          <w:tcPr>
            <w:tcW w:w="300" w:type="dxa"/>
            <w:tcBorders/>
            <w:shd w:fill="auto" w:val="clear"/>
            <w:vAlign w:val="center"/>
          </w:tcPr>
          <w:p>
            <w:pPr>
              <w:pStyle w:val="TableContents"/>
              <w:spacing w:before="0" w:after="283"/>
              <w:rPr>
                <w:sz w:val="4"/>
                <w:szCs w:val="4"/>
              </w:rPr>
            </w:pPr>
            <w:r>
              <w:rPr>
                <w:sz w:val="4"/>
                <w:szCs w:val="4"/>
              </w:rPr>
            </w:r>
          </w:p>
        </w:tc>
        <w:tc>
          <w:tcPr>
            <w:tcW w:w="1098"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(1,311,858</w:t>
            </w:r>
          </w:p>
        </w:tc>
        <w:tc>
          <w:tcPr>
            <w:tcW w:w="91" w:type="dxa"/>
            <w:tcBorders>
              <w:bottom w:val="single" w:sz="12" w:space="0" w:color="1A2343"/>
            </w:tcBorders>
            <w:shd w:fill="auto" w:val="clear"/>
            <w:tcMar>
              <w:bottom w:w="40" w:type="dxa"/>
            </w:tcMar>
            <w:vAlign w:val="center"/>
          </w:tcPr>
          <w:p>
            <w:pPr>
              <w:pStyle w:val="TableContents"/>
              <w:spacing w:before="0" w:after="283"/>
              <w:jc w:val="left"/>
              <w:rPr>
                <w:rFonts w:ascii="Arial" w:hAnsi="Arial"/>
                <w:sz w:val="15"/>
              </w:rPr>
            </w:pPr>
            <w:r>
              <w:rPr>
                <w:rFonts w:ascii="Arial" w:hAnsi="Arial"/>
                <w:sz w:val="15"/>
              </w:rPr>
              <w:t>)</w:t>
            </w:r>
          </w:p>
        </w:tc>
        <w:tc>
          <w:tcPr>
            <w:tcW w:w="300" w:type="dxa"/>
            <w:tcBorders/>
            <w:shd w:fill="auto" w:val="clear"/>
            <w:vAlign w:val="center"/>
          </w:tcPr>
          <w:p>
            <w:pPr>
              <w:pStyle w:val="TableContents"/>
              <w:spacing w:before="0" w:after="283"/>
              <w:rPr>
                <w:sz w:val="4"/>
                <w:szCs w:val="4"/>
              </w:rPr>
            </w:pPr>
            <w:r>
              <w:rPr>
                <w:sz w:val="4"/>
                <w:szCs w:val="4"/>
              </w:rPr>
            </w:r>
          </w:p>
        </w:tc>
        <w:tc>
          <w:tcPr>
            <w:tcW w:w="920"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863,668</w:t>
            </w:r>
          </w:p>
        </w:tc>
        <w:tc>
          <w:tcPr>
            <w:tcW w:w="300" w:type="dxa"/>
            <w:tcBorders/>
            <w:shd w:fill="auto" w:val="clear"/>
            <w:vAlign w:val="center"/>
          </w:tcPr>
          <w:p>
            <w:pPr>
              <w:pStyle w:val="TableContents"/>
              <w:spacing w:before="0" w:after="283"/>
              <w:rPr>
                <w:sz w:val="4"/>
                <w:szCs w:val="4"/>
              </w:rPr>
            </w:pPr>
            <w:r>
              <w:rPr>
                <w:sz w:val="4"/>
                <w:szCs w:val="4"/>
              </w:rPr>
            </w:r>
          </w:p>
        </w:tc>
        <w:tc>
          <w:tcPr>
            <w:tcW w:w="1040" w:type="dxa"/>
            <w:tcBorders>
              <w:bottom w:val="single" w:sz="12" w:space="0" w:color="1A2343"/>
            </w:tcBorders>
            <w:shd w:fill="auto" w:val="clear"/>
            <w:tcMar>
              <w:bottom w:w="40" w:type="dxa"/>
            </w:tcMar>
            <w:vAlign w:val="center"/>
          </w:tcPr>
          <w:p>
            <w:pPr>
              <w:pStyle w:val="TableContents"/>
              <w:spacing w:before="0" w:after="283"/>
              <w:jc w:val="right"/>
              <w:rPr/>
            </w:pPr>
            <w:r>
              <w:rPr/>
              <w:t>—</w:t>
            </w:r>
          </w:p>
        </w:tc>
        <w:tc>
          <w:tcPr>
            <w:tcW w:w="104" w:type="dxa"/>
            <w:tcBorders>
              <w:bottom w:val="single" w:sz="12" w:space="0" w:color="1A2343"/>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32" w:type="dxa"/>
            <w:tcBorders>
              <w:bottom w:val="single" w:sz="12" w:space="0" w:color="1A2343"/>
            </w:tcBorders>
            <w:shd w:fill="auto" w:val="clear"/>
            <w:tcMar>
              <w:bottom w:w="40" w:type="dxa"/>
            </w:tcMar>
            <w:vAlign w:val="center"/>
          </w:tcPr>
          <w:p>
            <w:pPr>
              <w:pStyle w:val="TableContents"/>
              <w:spacing w:before="0" w:after="283"/>
              <w:jc w:val="right"/>
              <w:rPr/>
            </w:pPr>
            <w:r>
              <w:rPr/>
              <w:t>—</w:t>
            </w:r>
          </w:p>
        </w:tc>
        <w:tc>
          <w:tcPr>
            <w:tcW w:w="77" w:type="dxa"/>
            <w:tcBorders>
              <w:bottom w:val="single" w:sz="12" w:space="0" w:color="1A2343"/>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95"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200,812</w:t>
            </w:r>
          </w:p>
        </w:tc>
        <w:tc>
          <w:tcPr>
            <w:tcW w:w="300" w:type="dxa"/>
            <w:tcBorders/>
            <w:shd w:fill="auto" w:val="clear"/>
            <w:vAlign w:val="center"/>
          </w:tcPr>
          <w:p>
            <w:pPr>
              <w:pStyle w:val="TableContents"/>
              <w:spacing w:before="0" w:after="283"/>
              <w:rPr>
                <w:sz w:val="4"/>
                <w:szCs w:val="4"/>
              </w:rPr>
            </w:pPr>
            <w:r>
              <w:rPr>
                <w:sz w:val="4"/>
                <w:szCs w:val="4"/>
              </w:rPr>
            </w:r>
          </w:p>
        </w:tc>
        <w:tc>
          <w:tcPr>
            <w:tcW w:w="875"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2,700,584</w:t>
            </w:r>
          </w:p>
        </w:tc>
      </w:tr>
    </w:tbl>
    <w:tbl>
      <w:tblPr>
        <w:tblW w:w="10205" w:type="dxa"/>
        <w:jc w:val="left"/>
        <w:tblInd w:w="0" w:type="dxa"/>
        <w:tblCellMar>
          <w:top w:w="0" w:type="dxa"/>
          <w:left w:w="0" w:type="dxa"/>
          <w:bottom w:w="0" w:type="dxa"/>
          <w:right w:w="0" w:type="dxa"/>
        </w:tblCellMar>
      </w:tblPr>
      <w:tblGrid>
        <w:gridCol w:w="112"/>
        <w:gridCol w:w="10093"/>
      </w:tblGrid>
      <w:tr>
        <w:trPr/>
        <w:tc>
          <w:tcPr>
            <w:tcW w:w="112" w:type="dxa"/>
            <w:tcBorders/>
            <w:shd w:fill="auto" w:val="clear"/>
            <w:vAlign w:val="center"/>
          </w:tcPr>
          <w:p>
            <w:pPr>
              <w:pStyle w:val="TableContents"/>
              <w:spacing w:before="0" w:after="283"/>
              <w:jc w:val="left"/>
              <w:rPr>
                <w:rFonts w:ascii="Arial" w:hAnsi="Arial"/>
                <w:sz w:val="15"/>
              </w:rPr>
            </w:pPr>
            <w:r>
              <w:rPr>
                <w:rFonts w:ascii="Arial" w:hAnsi="Arial"/>
                <w:sz w:val="15"/>
              </w:rPr>
              <w:t>(i)</w:t>
            </w:r>
          </w:p>
        </w:tc>
        <w:tc>
          <w:tcPr>
            <w:tcW w:w="10093" w:type="dxa"/>
            <w:tcBorders/>
            <w:shd w:fill="auto" w:val="clear"/>
            <w:vAlign w:val="center"/>
          </w:tcPr>
          <w:p>
            <w:pPr>
              <w:pStyle w:val="TableContents"/>
              <w:spacing w:before="0" w:after="283"/>
              <w:jc w:val="left"/>
              <w:rPr>
                <w:rFonts w:ascii="Arial" w:hAnsi="Arial"/>
                <w:sz w:val="15"/>
              </w:rPr>
            </w:pPr>
            <w:r>
              <w:rPr>
                <w:rFonts w:ascii="Arial" w:hAnsi="Arial"/>
                <w:sz w:val="15"/>
              </w:rPr>
              <w:t>The fair values of time-based equity awards are based on the closing price of our shares of common stock as reported on the NYSE on the relevant valuation date. Performance-based restricted share units were valued on the relevant valuation date using a Monte Carlo simulation model in accordance with the provisions of ASC Topic 718.</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168"/>
        <w:gridCol w:w="10037"/>
      </w:tblGrid>
      <w:tr>
        <w:trPr/>
        <w:tc>
          <w:tcPr>
            <w:tcW w:w="168" w:type="dxa"/>
            <w:tcBorders/>
            <w:shd w:fill="auto" w:val="clear"/>
            <w:vAlign w:val="center"/>
          </w:tcPr>
          <w:p>
            <w:pPr>
              <w:pStyle w:val="TableContents"/>
              <w:spacing w:before="0" w:after="283"/>
              <w:jc w:val="left"/>
              <w:rPr>
                <w:rFonts w:ascii="Arial" w:hAnsi="Arial"/>
                <w:sz w:val="15"/>
              </w:rPr>
            </w:pPr>
            <w:r>
              <w:rPr>
                <w:rFonts w:ascii="Arial" w:hAnsi="Arial"/>
                <w:sz w:val="15"/>
              </w:rPr>
              <w:t>(3)</w:t>
            </w:r>
          </w:p>
        </w:tc>
        <w:tc>
          <w:tcPr>
            <w:tcW w:w="10037" w:type="dxa"/>
            <w:tcBorders/>
            <w:shd w:fill="auto" w:val="clear"/>
            <w:vAlign w:val="center"/>
          </w:tcPr>
          <w:p>
            <w:pPr>
              <w:pStyle w:val="TableContents"/>
              <w:spacing w:before="0" w:after="283"/>
              <w:jc w:val="left"/>
              <w:rPr>
                <w:rFonts w:ascii="Arial" w:hAnsi="Arial"/>
                <w:sz w:val="15"/>
              </w:rPr>
            </w:pPr>
            <w:r>
              <w:rPr>
                <w:rFonts w:ascii="Arial" w:hAnsi="Arial"/>
                <w:sz w:val="15"/>
              </w:rPr>
              <w:t>TSR is calculated assuming a $100 investment in the Company and the peer group on December 31, 2019, and assuming the reinvestment of any dividends during the applicable measurement period, calculated through the end of the year shown based on share prices.</w:t>
            </w:r>
          </w:p>
        </w:tc>
      </w:tr>
      <w:tr>
        <w:trPr/>
        <w:tc>
          <w:tcPr>
            <w:tcW w:w="168" w:type="dxa"/>
            <w:tcBorders/>
            <w:shd w:fill="auto" w:val="clear"/>
            <w:vAlign w:val="center"/>
          </w:tcPr>
          <w:p>
            <w:pPr>
              <w:pStyle w:val="TableContents"/>
              <w:spacing w:before="0" w:after="283"/>
              <w:jc w:val="left"/>
              <w:rPr>
                <w:rFonts w:ascii="Arial" w:hAnsi="Arial"/>
                <w:sz w:val="15"/>
              </w:rPr>
            </w:pPr>
            <w:r>
              <w:rPr>
                <w:rFonts w:ascii="Arial" w:hAnsi="Arial"/>
                <w:sz w:val="15"/>
              </w:rPr>
              <w:t>(4)</w:t>
            </w:r>
            <w:bookmarkStart w:id="88" w:name="xdx_985_eecd--PeerGroupIssuersFnTextBloc"/>
            <w:bookmarkEnd w:id="88"/>
          </w:p>
        </w:tc>
        <w:tc>
          <w:tcPr>
            <w:tcW w:w="10037" w:type="dxa"/>
            <w:tcBorders/>
            <w:shd w:fill="auto" w:val="clear"/>
            <w:vAlign w:val="center"/>
          </w:tcPr>
          <w:p>
            <w:pPr>
              <w:pStyle w:val="TableContents"/>
              <w:spacing w:before="0" w:after="283"/>
              <w:jc w:val="left"/>
              <w:rPr>
                <w:rFonts w:ascii="Arial" w:hAnsi="Arial"/>
                <w:sz w:val="15"/>
              </w:rPr>
            </w:pPr>
            <w:r>
              <w:rPr>
                <w:rFonts w:ascii="Arial" w:hAnsi="Arial"/>
                <w:sz w:val="15"/>
              </w:rPr>
              <w:t>Represents the TSR for the benchmarking peer group described in “Compensation Discussion and Analysis,” which includes the following peer companies: Alexandria Real Estate Equities, Inc., Boston Properties, Inc., Douglas Emmett, Inc., Empire State Realty Trust, Inc., Hudson Pacific Properties, Inc., Kennedy-Wilson Holdings, Inc., Kilroy Realty Corporation, Ladder Capital Corp, Paramount Group, Inc. and Vornado Realty Trust.</w:t>
            </w:r>
          </w:p>
        </w:tc>
      </w:tr>
      <w:tr>
        <w:trPr/>
        <w:tc>
          <w:tcPr>
            <w:tcW w:w="168" w:type="dxa"/>
            <w:tcBorders/>
            <w:shd w:fill="auto" w:val="clear"/>
            <w:vAlign w:val="center"/>
          </w:tcPr>
          <w:p>
            <w:pPr>
              <w:pStyle w:val="TableContents"/>
              <w:spacing w:before="0" w:after="283"/>
              <w:jc w:val="left"/>
              <w:rPr>
                <w:rFonts w:ascii="Arial" w:hAnsi="Arial"/>
                <w:sz w:val="15"/>
              </w:rPr>
            </w:pPr>
            <w:r>
              <w:rPr>
                <w:rFonts w:ascii="Arial" w:hAnsi="Arial"/>
                <w:sz w:val="15"/>
              </w:rPr>
              <w:t>(5)</w:t>
            </w:r>
            <w:bookmarkStart w:id="89" w:name="xdx_985_eecd--NonGaapMeasureDescriptionT"/>
            <w:bookmarkEnd w:id="89"/>
          </w:p>
        </w:tc>
        <w:tc>
          <w:tcPr>
            <w:tcW w:w="10037" w:type="dxa"/>
            <w:tcBorders/>
            <w:shd w:fill="auto" w:val="clear"/>
            <w:vAlign w:val="center"/>
          </w:tcPr>
          <w:p>
            <w:pPr>
              <w:pStyle w:val="TableContents"/>
              <w:spacing w:before="0" w:after="283"/>
              <w:jc w:val="left"/>
              <w:rPr>
                <w:rFonts w:ascii="Arial" w:hAnsi="Arial"/>
                <w:sz w:val="15"/>
              </w:rPr>
            </w:pPr>
            <w:bookmarkStart w:id="90" w:name="xdx_90F_eecd--CoSelectedMeasureName_c202"/>
            <w:bookmarkEnd w:id="90"/>
            <w:r>
              <w:rPr>
                <w:rFonts w:ascii="Arial" w:hAnsi="Arial"/>
                <w:sz w:val="15"/>
              </w:rPr>
              <w:t>Normalized FFO per share represents reported FFO per share as adjusted for non-cash fair value adjustments, gains or losses on the early extinguishment of debt and other adjustments for comparability between periods.</w:t>
            </w:r>
          </w:p>
        </w:tc>
      </w:tr>
      <w:tr>
        <w:trPr/>
        <w:tc>
          <w:tcPr>
            <w:tcW w:w="168" w:type="dxa"/>
            <w:tcBorders/>
            <w:shd w:fill="auto" w:val="clear"/>
            <w:vAlign w:val="center"/>
          </w:tcPr>
          <w:p>
            <w:pPr>
              <w:pStyle w:val="TableContents"/>
              <w:spacing w:before="0" w:after="283"/>
              <w:jc w:val="left"/>
              <w:rPr>
                <w:rFonts w:ascii="Arial" w:hAnsi="Arial"/>
                <w:sz w:val="15"/>
              </w:rPr>
            </w:pPr>
            <w:r>
              <w:rPr>
                <w:rFonts w:ascii="Arial" w:hAnsi="Arial"/>
                <w:sz w:val="15"/>
              </w:rPr>
              <w:t>(6)</w:t>
            </w:r>
            <w:bookmarkStart w:id="91" w:name="xdx_983_eecd--NamedExecutiveOfficersFnTe"/>
            <w:bookmarkEnd w:id="91"/>
          </w:p>
        </w:tc>
        <w:tc>
          <w:tcPr>
            <w:tcW w:w="10037" w:type="dxa"/>
            <w:tcBorders/>
            <w:shd w:fill="auto" w:val="clear"/>
            <w:vAlign w:val="center"/>
          </w:tcPr>
          <w:p>
            <w:pPr>
              <w:pStyle w:val="TableContents"/>
              <w:spacing w:before="0" w:after="283"/>
              <w:jc w:val="left"/>
              <w:rPr>
                <w:rFonts w:ascii="Arial" w:hAnsi="Arial"/>
                <w:sz w:val="15"/>
              </w:rPr>
            </w:pPr>
            <w:r>
              <w:rPr>
                <w:rFonts w:ascii="Arial" w:hAnsi="Arial"/>
                <w:sz w:val="15"/>
              </w:rPr>
              <w:t>Non-PEO named executive officers for 2022, 2021 and 2020 includes Messrs. Mathias, DiLiberto and Levine.</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78</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b/>
          <w:color w:val="8EAD3C"/>
          <w:sz w:val="22"/>
        </w:rPr>
      </w:pPr>
      <w:r>
        <w:rPr>
          <w:rFonts w:ascii="Arial" w:hAnsi="Arial"/>
          <w:b/>
          <w:color w:val="8EAD3C"/>
          <w:sz w:val="22"/>
        </w:rPr>
        <w:t>Relationship Between Compensation Actually Paid and Financial Performance</w:t>
      </w:r>
    </w:p>
    <w:p>
      <w:pPr>
        <w:pStyle w:val="TextBody"/>
        <w:jc w:val="left"/>
        <w:rPr>
          <w:rFonts w:ascii="Arial" w:hAnsi="Arial"/>
          <w:sz w:val="20"/>
        </w:rPr>
      </w:pPr>
      <w:r>
        <w:rPr>
          <w:rFonts w:ascii="Arial" w:hAnsi="Arial"/>
          <w:sz w:val="20"/>
        </w:rPr>
        <w:t>The following graphs illustrate the relationship across our last three completed fiscal years between the amounts disclosed in the Pay Versus Performance Table, above, as “Compensation Actually Paid” to our PEO and the “Average Compensation Actually Paid” to our non-PEO named executive officers and TSR, Peer Group TSR, Net Income and Normalized FFO per share.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jc w:val="center"/>
        <w:rPr>
          <w:rFonts w:ascii="Arial" w:hAnsi="Arial"/>
          <w:b/>
          <w:color w:val="1A2343"/>
          <w:sz w:val="20"/>
        </w:rPr>
      </w:pPr>
      <w:r>
        <w:rPr>
          <w:rFonts w:ascii="Arial" w:hAnsi="Arial"/>
          <w:b/>
          <w:color w:val="1A2343"/>
          <w:sz w:val="20"/>
        </w:rPr>
        <w:t>COMPENSATION ACTUALLY PAID VS. TSR</w:t>
      </w:r>
    </w:p>
    <w:p>
      <w:pPr>
        <w:pStyle w:val="TextBody"/>
        <w:jc w:val="center"/>
        <w:rPr/>
      </w:pPr>
      <w:r>
        <w:rPr/>
        <w:drawing>
          <wp:inline distT="0" distB="0" distL="0" distR="0">
            <wp:extent cx="4524375" cy="2809875"/>
            <wp:effectExtent l="0" t="0" r="0" b="0"/>
            <wp:docPr id="503"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358" descr=""/>
                    <pic:cNvPicPr>
                      <a:picLocks noChangeAspect="1" noChangeArrowheads="1"/>
                    </pic:cNvPicPr>
                  </pic:nvPicPr>
                  <pic:blipFill>
                    <a:blip r:embed="rId359"/>
                    <a:srcRect l="-222" t="-358" r="-222" b="-358"/>
                    <a:stretch>
                      <a:fillRect/>
                    </a:stretch>
                  </pic:blipFill>
                  <pic:spPr bwMode="auto">
                    <a:xfrm>
                      <a:off x="0" y="0"/>
                      <a:ext cx="4524375" cy="2809875"/>
                    </a:xfrm>
                    <a:prstGeom prst="rect">
                      <a:avLst/>
                    </a:prstGeom>
                    <a:ln w="635">
                      <a:solidFill>
                        <a:srgbClr val="000000"/>
                      </a:solidFill>
                    </a:ln>
                  </pic:spPr>
                </pic:pic>
              </a:graphicData>
            </a:graphic>
          </wp:inline>
        </w:drawing>
      </w: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rFonts w:ascii="Arial" w:hAnsi="Arial"/>
          <w:b/>
          <w:color w:val="1A2343"/>
          <w:sz w:val="20"/>
        </w:rPr>
      </w:pPr>
      <w:r>
        <w:rPr>
          <w:rFonts w:ascii="Arial" w:hAnsi="Arial"/>
          <w:b/>
          <w:color w:val="1A2343"/>
          <w:sz w:val="20"/>
        </w:rPr>
        <w:t>COMPENSATION ACTUALLY PAID VS. NET INCOME (LOSS)</w:t>
      </w:r>
    </w:p>
    <w:p>
      <w:pPr>
        <w:pStyle w:val="TextBody"/>
        <w:jc w:val="center"/>
        <w:rPr/>
      </w:pPr>
      <w:r>
        <w:rPr/>
        <w:drawing>
          <wp:inline distT="0" distB="0" distL="0" distR="0">
            <wp:extent cx="4552950" cy="2657475"/>
            <wp:effectExtent l="0" t="0" r="0" b="0"/>
            <wp:docPr id="504"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359" descr=""/>
                    <pic:cNvPicPr>
                      <a:picLocks noChangeAspect="1" noChangeArrowheads="1"/>
                    </pic:cNvPicPr>
                  </pic:nvPicPr>
                  <pic:blipFill>
                    <a:blip r:embed="rId360"/>
                    <a:srcRect l="-221" t="-379" r="-221" b="-379"/>
                    <a:stretch>
                      <a:fillRect/>
                    </a:stretch>
                  </pic:blipFill>
                  <pic:spPr bwMode="auto">
                    <a:xfrm>
                      <a:off x="0" y="0"/>
                      <a:ext cx="4552950" cy="2657475"/>
                    </a:xfrm>
                    <a:prstGeom prst="rect">
                      <a:avLst/>
                    </a:prstGeom>
                    <a:ln w="635">
                      <a:solidFill>
                        <a:srgbClr val="000000"/>
                      </a:solidFill>
                    </a:ln>
                  </pic:spPr>
                </pic:pic>
              </a:graphicData>
            </a:graphic>
          </wp:inline>
        </w:drawing>
      </w: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500" w:type="dxa"/>
        <w:jc w:val="left"/>
        <w:tblInd w:w="0" w:type="dxa"/>
        <w:tblCellMar>
          <w:top w:w="0" w:type="dxa"/>
          <w:left w:w="0" w:type="dxa"/>
          <w:bottom w:w="0" w:type="dxa"/>
          <w:right w:w="0" w:type="dxa"/>
        </w:tblCellMar>
      </w:tblPr>
      <w:tblGrid>
        <w:gridCol w:w="2210"/>
        <w:gridCol w:w="290"/>
      </w:tblGrid>
      <w:tr>
        <w:trPr/>
        <w:tc>
          <w:tcPr>
            <w:tcW w:w="2210" w:type="dxa"/>
            <w:tcBorders/>
            <w:shd w:fill="auto" w:val="clear"/>
            <w:vAlign w:val="center"/>
          </w:tcPr>
          <w:p>
            <w:pPr>
              <w:pStyle w:val="TableContents"/>
              <w:spacing w:before="0" w:after="283"/>
              <w:jc w:val="left"/>
              <w:rPr>
                <w:rFonts w:ascii="Arial" w:hAnsi="Arial"/>
                <w:sz w:val="15"/>
              </w:rPr>
            </w:pPr>
            <w:r>
              <w:rPr>
                <w:rFonts w:ascii="Arial" w:hAnsi="Arial"/>
                <w:b/>
                <w:sz w:val="15"/>
              </w:rPr>
              <w:t>EXECUTIVE COMPENSATION</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79</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283"/>
        <w:jc w:val="center"/>
        <w:rPr>
          <w:rFonts w:ascii="Arial" w:hAnsi="Arial"/>
          <w:b/>
          <w:color w:val="1A2343"/>
          <w:sz w:val="20"/>
        </w:rPr>
      </w:pPr>
      <w:r>
        <w:rPr>
          <w:rFonts w:ascii="Arial" w:hAnsi="Arial"/>
          <w:b/>
          <w:color w:val="1A2343"/>
          <w:sz w:val="20"/>
        </w:rPr>
        <w:t>COMPENSATION ACTUALLY PAID VS. NORMALIZED</w:t>
        <w:br/>
        <w:t>FFO PER SHARE</w:t>
      </w:r>
    </w:p>
    <w:p>
      <w:pPr>
        <w:pStyle w:val="TextBody"/>
        <w:jc w:val="center"/>
        <w:rPr/>
      </w:pPr>
      <w:r>
        <w:rPr/>
        <w:drawing>
          <wp:inline distT="0" distB="0" distL="0" distR="0">
            <wp:extent cx="4600575" cy="2676525"/>
            <wp:effectExtent l="0" t="0" r="0" b="0"/>
            <wp:docPr id="505"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360" descr=""/>
                    <pic:cNvPicPr>
                      <a:picLocks noChangeAspect="1" noChangeArrowheads="1"/>
                    </pic:cNvPicPr>
                  </pic:nvPicPr>
                  <pic:blipFill>
                    <a:blip r:embed="rId361"/>
                    <a:srcRect l="-219" t="-376" r="-219" b="-376"/>
                    <a:stretch>
                      <a:fillRect/>
                    </a:stretch>
                  </pic:blipFill>
                  <pic:spPr bwMode="auto">
                    <a:xfrm>
                      <a:off x="0" y="0"/>
                      <a:ext cx="4600575" cy="2676525"/>
                    </a:xfrm>
                    <a:prstGeom prst="rect">
                      <a:avLst/>
                    </a:prstGeom>
                    <a:ln w="635">
                      <a:solidFill>
                        <a:srgbClr val="000000"/>
                      </a:solidFill>
                    </a:ln>
                  </pic:spPr>
                </pic:pic>
              </a:graphicData>
            </a:graphic>
          </wp:inline>
        </w:drawing>
      </w: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rFonts w:ascii="Arial" w:hAnsi="Arial"/>
          <w:b/>
          <w:color w:val="8EAD3C"/>
          <w:sz w:val="22"/>
        </w:rPr>
      </w:pPr>
      <w:r>
        <w:rPr>
          <w:rFonts w:ascii="Arial" w:hAnsi="Arial"/>
          <w:b/>
          <w:color w:val="8EAD3C"/>
          <w:sz w:val="22"/>
        </w:rPr>
        <w:t>Tabular List of Performance Measures</w:t>
      </w:r>
    </w:p>
    <w:p>
      <w:pPr>
        <w:pStyle w:val="TextBody"/>
        <w:jc w:val="left"/>
        <w:rPr>
          <w:rFonts w:ascii="Arial" w:hAnsi="Arial"/>
          <w:sz w:val="20"/>
        </w:rPr>
      </w:pPr>
      <w:r>
        <w:rPr>
          <w:rFonts w:ascii="Arial" w:hAnsi="Arial"/>
          <w:sz w:val="20"/>
        </w:rPr>
        <w:t>The following table lists the performance measures that we consider to be the most important performance measures we use to link compensation actually paid to its named executive officers for the most recently completed fiscal year to our performance.</w:t>
      </w:r>
    </w:p>
    <w:p>
      <w:pPr>
        <w:pStyle w:val="TextBody"/>
        <w:jc w:val="left"/>
        <w:rPr>
          <w:rFonts w:ascii="Arial" w:hAnsi="Arial"/>
          <w:b/>
          <w:color w:val="1A2343"/>
          <w:sz w:val="20"/>
        </w:rPr>
      </w:pPr>
      <w:r>
        <w:rPr>
          <w:rFonts w:ascii="Arial" w:hAnsi="Arial"/>
          <w:b/>
          <w:color w:val="1A2343"/>
          <w:sz w:val="20"/>
        </w:rPr>
        <w:t>Performance Measure</w:t>
      </w:r>
    </w:p>
    <w:p>
      <w:pPr>
        <w:pStyle w:val="Normal"/>
        <w:spacing w:before="0" w:after="0"/>
        <w:rPr>
          <w:sz w:val="4"/>
          <w:szCs w:val="4"/>
        </w:rPr>
      </w:pPr>
      <w:r>
        <w:rPr>
          <w:sz w:val="4"/>
          <w:szCs w:val="4"/>
        </w:rPr>
      </w:r>
      <w:bookmarkStart w:id="92" w:name="xdx_30B_z7FrnucSEow9"/>
      <w:bookmarkStart w:id="93" w:name="xdx_30B_z7FrnucSEow9"/>
      <w:bookmarkEnd w:id="93"/>
    </w:p>
    <w:tbl>
      <w:tblPr>
        <w:tblW w:w="5425" w:type="dxa"/>
        <w:jc w:val="left"/>
        <w:tblInd w:w="0" w:type="dxa"/>
        <w:tblCellMar>
          <w:top w:w="0" w:type="dxa"/>
          <w:left w:w="0" w:type="dxa"/>
          <w:bottom w:w="0" w:type="dxa"/>
          <w:right w:w="0" w:type="dxa"/>
        </w:tblCellMar>
      </w:tblPr>
      <w:tblGrid>
        <w:gridCol w:w="170"/>
        <w:gridCol w:w="5255"/>
      </w:tblGrid>
      <w:tr>
        <w:trPr/>
        <w:tc>
          <w:tcPr>
            <w:tcW w:w="170" w:type="dxa"/>
            <w:tcBorders/>
            <w:shd w:fill="auto" w:val="clear"/>
            <w:vAlign w:val="center"/>
          </w:tcPr>
          <w:p>
            <w:pPr>
              <w:pStyle w:val="TableContents"/>
              <w:spacing w:before="0" w:after="283"/>
              <w:rPr>
                <w:color w:val="000000"/>
              </w:rPr>
            </w:pPr>
            <w:r>
              <w:rPr>
                <w:color w:val="000000"/>
              </w:rPr>
              <w:t>●</w:t>
            </w:r>
          </w:p>
        </w:tc>
        <w:tc>
          <w:tcPr>
            <w:tcW w:w="5255" w:type="dxa"/>
            <w:tcBorders/>
            <w:shd w:fill="auto" w:val="clear"/>
            <w:vAlign w:val="center"/>
          </w:tcPr>
          <w:p>
            <w:pPr>
              <w:pStyle w:val="TableContents"/>
              <w:spacing w:before="0" w:after="283"/>
              <w:rPr>
                <w:rFonts w:ascii="arial" w:hAnsi="arial"/>
                <w:color w:val="000000"/>
              </w:rPr>
            </w:pPr>
            <w:bookmarkStart w:id="94" w:name="xdx_90E_eecd--MeasureName_c20220101__202"/>
            <w:bookmarkEnd w:id="94"/>
            <w:r>
              <w:rPr>
                <w:rFonts w:ascii="arial" w:hAnsi="arial"/>
                <w:color w:val="000000"/>
              </w:rPr>
              <w:t>Normalized FFO per Share</w:t>
            </w:r>
          </w:p>
        </w:tc>
      </w:tr>
      <w:tr>
        <w:trPr/>
        <w:tc>
          <w:tcPr>
            <w:tcW w:w="170" w:type="dxa"/>
            <w:tcBorders/>
            <w:shd w:fill="auto" w:val="clear"/>
            <w:vAlign w:val="center"/>
          </w:tcPr>
          <w:p>
            <w:pPr>
              <w:pStyle w:val="TableContents"/>
              <w:spacing w:before="0" w:after="283"/>
              <w:rPr>
                <w:color w:val="000000"/>
              </w:rPr>
            </w:pPr>
            <w:r>
              <w:rPr>
                <w:color w:val="000000"/>
              </w:rPr>
              <w:t>●</w:t>
            </w:r>
          </w:p>
        </w:tc>
        <w:tc>
          <w:tcPr>
            <w:tcW w:w="5255" w:type="dxa"/>
            <w:tcBorders/>
            <w:shd w:fill="auto" w:val="clear"/>
            <w:vAlign w:val="center"/>
          </w:tcPr>
          <w:p>
            <w:pPr>
              <w:pStyle w:val="TableContents"/>
              <w:spacing w:before="0" w:after="283"/>
              <w:rPr>
                <w:rFonts w:ascii="arial" w:hAnsi="arial"/>
                <w:color w:val="000000"/>
              </w:rPr>
            </w:pPr>
            <w:bookmarkStart w:id="95" w:name="xdx_90E_eecd--MeasureName_c20220101__202"/>
            <w:bookmarkEnd w:id="95"/>
            <w:r>
              <w:rPr>
                <w:rFonts w:ascii="arial" w:hAnsi="arial"/>
                <w:color w:val="000000"/>
              </w:rPr>
              <w:t>Relative TSR</w:t>
            </w:r>
          </w:p>
        </w:tc>
      </w:tr>
      <w:tr>
        <w:trPr/>
        <w:tc>
          <w:tcPr>
            <w:tcW w:w="170" w:type="dxa"/>
            <w:tcBorders/>
            <w:shd w:fill="auto" w:val="clear"/>
            <w:vAlign w:val="center"/>
          </w:tcPr>
          <w:p>
            <w:pPr>
              <w:pStyle w:val="TableContents"/>
              <w:spacing w:before="0" w:after="283"/>
              <w:rPr>
                <w:color w:val="000000"/>
              </w:rPr>
            </w:pPr>
            <w:r>
              <w:rPr>
                <w:color w:val="000000"/>
              </w:rPr>
              <w:t>●</w:t>
            </w:r>
          </w:p>
        </w:tc>
        <w:tc>
          <w:tcPr>
            <w:tcW w:w="5255" w:type="dxa"/>
            <w:tcBorders/>
            <w:shd w:fill="auto" w:val="clear"/>
            <w:vAlign w:val="center"/>
          </w:tcPr>
          <w:p>
            <w:pPr>
              <w:pStyle w:val="TableContents"/>
              <w:spacing w:before="0" w:after="283"/>
              <w:rPr>
                <w:rFonts w:ascii="arial" w:hAnsi="arial"/>
                <w:color w:val="000000"/>
              </w:rPr>
            </w:pPr>
            <w:bookmarkStart w:id="96" w:name="xdx_90B_eecd--MeasureName_c20220101__202"/>
            <w:bookmarkEnd w:id="96"/>
            <w:r>
              <w:rPr>
                <w:rFonts w:ascii="arial" w:hAnsi="arial"/>
                <w:color w:val="000000"/>
              </w:rPr>
              <w:t>Annual Same Store Cash NOI Growth</w:t>
            </w:r>
          </w:p>
        </w:tc>
      </w:tr>
      <w:tr>
        <w:trPr/>
        <w:tc>
          <w:tcPr>
            <w:tcW w:w="170" w:type="dxa"/>
            <w:tcBorders/>
            <w:shd w:fill="auto" w:val="clear"/>
            <w:vAlign w:val="center"/>
          </w:tcPr>
          <w:p>
            <w:pPr>
              <w:pStyle w:val="TableContents"/>
              <w:spacing w:before="0" w:after="283"/>
              <w:rPr>
                <w:color w:val="000000"/>
              </w:rPr>
            </w:pPr>
            <w:r>
              <w:rPr>
                <w:color w:val="000000"/>
              </w:rPr>
              <w:t>●</w:t>
            </w:r>
          </w:p>
        </w:tc>
        <w:tc>
          <w:tcPr>
            <w:tcW w:w="5255" w:type="dxa"/>
            <w:tcBorders/>
            <w:shd w:fill="auto" w:val="clear"/>
            <w:vAlign w:val="center"/>
          </w:tcPr>
          <w:p>
            <w:pPr>
              <w:pStyle w:val="TableContents"/>
              <w:spacing w:before="0" w:after="283"/>
              <w:rPr>
                <w:rFonts w:ascii="arial" w:hAnsi="arial"/>
                <w:color w:val="000000"/>
              </w:rPr>
            </w:pPr>
            <w:bookmarkStart w:id="97" w:name="xdx_90D_eecd--MeasureName_c20220101__202"/>
            <w:bookmarkEnd w:id="97"/>
            <w:r>
              <w:rPr>
                <w:rFonts w:ascii="arial" w:hAnsi="arial"/>
                <w:color w:val="000000"/>
              </w:rPr>
              <w:t>Funds Available for Distribution</w:t>
            </w:r>
          </w:p>
        </w:tc>
      </w:tr>
      <w:tr>
        <w:trPr/>
        <w:tc>
          <w:tcPr>
            <w:tcW w:w="170" w:type="dxa"/>
            <w:tcBorders/>
            <w:shd w:fill="auto" w:val="clear"/>
            <w:vAlign w:val="center"/>
          </w:tcPr>
          <w:p>
            <w:pPr>
              <w:pStyle w:val="TableContents"/>
              <w:spacing w:before="0" w:after="283"/>
              <w:rPr>
                <w:color w:val="000000"/>
              </w:rPr>
            </w:pPr>
            <w:r>
              <w:rPr>
                <w:color w:val="000000"/>
              </w:rPr>
              <w:t>●</w:t>
            </w:r>
          </w:p>
        </w:tc>
        <w:tc>
          <w:tcPr>
            <w:tcW w:w="5255" w:type="dxa"/>
            <w:tcBorders/>
            <w:shd w:fill="auto" w:val="clear"/>
            <w:vAlign w:val="center"/>
          </w:tcPr>
          <w:p>
            <w:pPr>
              <w:pStyle w:val="TableContents"/>
              <w:spacing w:before="0" w:after="283"/>
              <w:rPr>
                <w:rFonts w:ascii="arial" w:hAnsi="arial"/>
                <w:color w:val="000000"/>
              </w:rPr>
            </w:pPr>
            <w:bookmarkStart w:id="98" w:name="xdx_903_eecd--MeasureName_c20220101__202"/>
            <w:bookmarkEnd w:id="98"/>
            <w:r>
              <w:rPr>
                <w:rFonts w:ascii="arial" w:hAnsi="arial"/>
                <w:color w:val="000000"/>
              </w:rPr>
              <w:t>Debt/EBITDA Ratio</w:t>
            </w:r>
          </w:p>
        </w:tc>
      </w:tr>
      <w:tr>
        <w:trPr/>
        <w:tc>
          <w:tcPr>
            <w:tcW w:w="170" w:type="dxa"/>
            <w:tcBorders/>
            <w:shd w:fill="auto" w:val="clear"/>
            <w:vAlign w:val="center"/>
          </w:tcPr>
          <w:p>
            <w:pPr>
              <w:pStyle w:val="TableContents"/>
              <w:spacing w:before="0" w:after="283"/>
              <w:rPr>
                <w:color w:val="000000"/>
              </w:rPr>
            </w:pPr>
            <w:r>
              <w:rPr>
                <w:color w:val="000000"/>
              </w:rPr>
              <w:t>●</w:t>
            </w:r>
          </w:p>
        </w:tc>
        <w:tc>
          <w:tcPr>
            <w:tcW w:w="5255" w:type="dxa"/>
            <w:tcBorders/>
            <w:shd w:fill="auto" w:val="clear"/>
            <w:vAlign w:val="center"/>
          </w:tcPr>
          <w:p>
            <w:pPr>
              <w:pStyle w:val="TableContents"/>
              <w:spacing w:before="0" w:after="283"/>
              <w:rPr>
                <w:rFonts w:ascii="arial" w:hAnsi="arial"/>
                <w:color w:val="000000"/>
              </w:rPr>
            </w:pPr>
            <w:bookmarkStart w:id="99" w:name="xdx_901_eecd--MeasureName_c20220101__202"/>
            <w:bookmarkEnd w:id="99"/>
            <w:r>
              <w:rPr>
                <w:rFonts w:ascii="arial" w:hAnsi="arial"/>
                <w:color w:val="000000"/>
              </w:rPr>
              <w:t>Manhattan Office Same Store Leased Occupancy</w:t>
            </w:r>
          </w:p>
        </w:tc>
      </w:tr>
      <w:tr>
        <w:trPr/>
        <w:tc>
          <w:tcPr>
            <w:tcW w:w="170" w:type="dxa"/>
            <w:tcBorders/>
            <w:shd w:fill="auto" w:val="clear"/>
            <w:vAlign w:val="center"/>
          </w:tcPr>
          <w:p>
            <w:pPr>
              <w:pStyle w:val="TableContents"/>
              <w:spacing w:before="0" w:after="283"/>
              <w:rPr>
                <w:color w:val="000000"/>
              </w:rPr>
            </w:pPr>
            <w:r>
              <w:rPr>
                <w:color w:val="000000"/>
              </w:rPr>
              <w:t>●</w:t>
            </w:r>
          </w:p>
        </w:tc>
        <w:tc>
          <w:tcPr>
            <w:tcW w:w="5255" w:type="dxa"/>
            <w:tcBorders/>
            <w:shd w:fill="auto" w:val="clear"/>
            <w:vAlign w:val="center"/>
          </w:tcPr>
          <w:p>
            <w:pPr>
              <w:pStyle w:val="TableContents"/>
              <w:spacing w:before="0" w:after="283"/>
              <w:rPr>
                <w:rFonts w:ascii="arial" w:hAnsi="arial"/>
                <w:color w:val="000000"/>
              </w:rPr>
            </w:pPr>
            <w:bookmarkStart w:id="100" w:name="xdx_908_eecd--MeasureName_c20220101__202"/>
            <w:bookmarkEnd w:id="100"/>
            <w:r>
              <w:rPr>
                <w:rFonts w:ascii="arial" w:hAnsi="arial"/>
                <w:color w:val="000000"/>
              </w:rPr>
              <w:t>Manhattan Office Leasing Volume</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80</w:t>
            </w:r>
          </w:p>
        </w:tc>
      </w:tr>
    </w:tbl>
    <w:p>
      <w:pPr>
        <w:pStyle w:val="TextBody"/>
        <w:jc w:val="left"/>
        <w:rPr>
          <w:rFonts w:ascii="Arial" w:hAnsi="Arial"/>
          <w:b/>
          <w:color w:val="1A2343"/>
          <w:sz w:val="42"/>
        </w:rPr>
      </w:pPr>
      <w:bookmarkStart w:id="101" w:name="pg_AUDITCOMMITTEEMATTERS"/>
      <w:bookmarkEnd w:id="101"/>
      <w:r>
        <w:rPr>
          <w:rFonts w:ascii="Arial" w:hAnsi="Arial"/>
          <w:b/>
          <w:color w:val="1A2343"/>
          <w:sz w:val="42"/>
        </w:rPr>
        <w:t>AUDIT COMMITTEE MATTERS</w:t>
      </w:r>
    </w:p>
    <w:p>
      <w:pPr>
        <w:pStyle w:val="TextBody"/>
        <w:jc w:val="left"/>
        <w:rPr>
          <w:rFonts w:ascii="Arial" w:hAnsi="Arial"/>
          <w:b/>
          <w:color w:val="8EAD3C"/>
          <w:sz w:val="32"/>
        </w:rPr>
      </w:pPr>
      <w:bookmarkStart w:id="102" w:name="pg_AuditCommitteeReport"/>
      <w:bookmarkEnd w:id="102"/>
      <w:r>
        <w:rPr>
          <w:rFonts w:ascii="Arial" w:hAnsi="Arial"/>
          <w:b/>
          <w:color w:val="8EAD3C"/>
          <w:sz w:val="32"/>
        </w:rPr>
        <w:t>AUDIT COMMITTEE REPORT</w:t>
      </w:r>
    </w:p>
    <w:p>
      <w:pPr>
        <w:pStyle w:val="TextBody"/>
        <w:jc w:val="left"/>
        <w:rPr>
          <w:rFonts w:ascii="Arial" w:hAnsi="Arial"/>
          <w:sz w:val="20"/>
        </w:rPr>
      </w:pPr>
      <w:r>
        <w:rPr>
          <w:rFonts w:ascii="Arial" w:hAnsi="Arial"/>
          <w:sz w:val="20"/>
        </w:rPr>
        <w:t>The following report of the Audit Committee of the Board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p>
    <w:p>
      <w:pPr>
        <w:pStyle w:val="TextBody"/>
        <w:jc w:val="left"/>
        <w:rPr>
          <w:rFonts w:ascii="Arial" w:hAnsi="Arial"/>
          <w:sz w:val="20"/>
        </w:rPr>
      </w:pPr>
      <w:r>
        <w:rPr>
          <w:rFonts w:ascii="Arial" w:hAnsi="Arial"/>
          <w:sz w:val="20"/>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2022 filed by the Company with management.</w:t>
      </w:r>
    </w:p>
    <w:p>
      <w:pPr>
        <w:pStyle w:val="TextBody"/>
        <w:jc w:val="left"/>
        <w:rPr>
          <w:rFonts w:ascii="Arial" w:hAnsi="Arial"/>
          <w:sz w:val="20"/>
        </w:rPr>
      </w:pPr>
      <w:r>
        <w:rPr>
          <w:rFonts w:ascii="Arial" w:hAnsi="Arial"/>
          <w:sz w:val="20"/>
        </w:rPr>
        <w:t>Our Audit Committee reviewed and discussed with Ernst &amp; Young LLP, our independent registered public accounting firm, the matters required to be discussed with the Audit Committee by the applicable requirements of the Public Company Accounting Oversight Board and the SEC. Our Audit Committee received from Ernst &amp; Young LLP the written disclosures and the letter required by the applicable requirements of the Public Company Accounting Oversight Board regarding communications with the Audit Committee concerning independence, and has discussed with Ernst &amp; Young LLP their independence.</w:t>
      </w:r>
    </w:p>
    <w:p>
      <w:pPr>
        <w:pStyle w:val="TextBody"/>
        <w:jc w:val="left"/>
        <w:rPr>
          <w:rFonts w:ascii="Arial" w:hAnsi="Arial"/>
          <w:sz w:val="20"/>
        </w:rPr>
      </w:pPr>
      <w:r>
        <w:rPr>
          <w:rFonts w:ascii="Arial" w:hAnsi="Arial"/>
          <w:sz w:val="20"/>
        </w:rPr>
        <w:t>Based on the review and discussions referred to above, our Audit Committee recommended to the Board that the audited financial statements be included in the Annual Report on Form 10-K for the year ended December 31, 2022 filed by the Company.</w:t>
      </w:r>
    </w:p>
    <w:p>
      <w:pPr>
        <w:pStyle w:val="TextBody"/>
        <w:jc w:val="left"/>
        <w:rPr>
          <w:rFonts w:ascii="Arial" w:hAnsi="Arial"/>
          <w:sz w:val="20"/>
        </w:rPr>
      </w:pPr>
      <w:r>
        <w:rPr>
          <w:rFonts w:ascii="Arial" w:hAnsi="Arial"/>
          <w:sz w:val="20"/>
        </w:rPr>
        <w:t>The members of our Audit Committee are not engaged professionally in the practice of auditing or accounting. Committee members rely, without independent investigation or verification, on the information provided to them and on the 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that the financial statements are presented in accordance with accounting principles generally accepted in the U.S. or that our registered public accounting firm is in fact independent.</w:t>
      </w:r>
    </w:p>
    <w:p>
      <w:pPr>
        <w:pStyle w:val="TextBody"/>
        <w:jc w:val="left"/>
        <w:rPr>
          <w:rFonts w:ascii="Arial" w:hAnsi="Arial"/>
          <w:sz w:val="20"/>
        </w:rPr>
      </w:pPr>
      <w:r>
        <w:rPr>
          <w:rFonts w:ascii="Arial" w:hAnsi="Arial"/>
          <w:sz w:val="20"/>
        </w:rPr>
        <w:t>Submitted by our Audit Committee</w:t>
      </w:r>
    </w:p>
    <w:tbl>
      <w:tblPr>
        <w:tblW w:w="7040" w:type="dxa"/>
        <w:jc w:val="left"/>
        <w:tblInd w:w="0" w:type="dxa"/>
        <w:tblCellMar>
          <w:top w:w="0" w:type="dxa"/>
          <w:left w:w="0" w:type="dxa"/>
          <w:bottom w:w="0" w:type="dxa"/>
          <w:right w:w="0" w:type="dxa"/>
        </w:tblCellMar>
      </w:tblPr>
      <w:tblGrid>
        <w:gridCol w:w="2510"/>
        <w:gridCol w:w="1430"/>
        <w:gridCol w:w="1595"/>
        <w:gridCol w:w="1505"/>
      </w:tblGrid>
      <w:tr>
        <w:trPr/>
        <w:tc>
          <w:tcPr>
            <w:tcW w:w="2510" w:type="dxa"/>
            <w:tcBorders/>
            <w:shd w:fill="auto" w:val="clear"/>
            <w:vAlign w:val="center"/>
          </w:tcPr>
          <w:p>
            <w:pPr>
              <w:pStyle w:val="TableContents"/>
              <w:spacing w:before="0" w:after="283"/>
              <w:jc w:val="left"/>
              <w:rPr>
                <w:rFonts w:ascii="Arial" w:hAnsi="Arial"/>
                <w:b/>
                <w:color w:val="1A2343"/>
                <w:sz w:val="20"/>
              </w:rPr>
            </w:pPr>
            <w:r>
              <w:rPr>
                <w:rFonts w:ascii="Arial" w:hAnsi="Arial"/>
                <w:b/>
                <w:color w:val="1A2343"/>
                <w:sz w:val="20"/>
              </w:rPr>
              <w:t>Edwin T. Burton, III (Chair)</w:t>
            </w:r>
          </w:p>
        </w:tc>
        <w:tc>
          <w:tcPr>
            <w:tcW w:w="1430" w:type="dxa"/>
            <w:tcBorders/>
            <w:shd w:fill="auto" w:val="clear"/>
            <w:vAlign w:val="center"/>
          </w:tcPr>
          <w:p>
            <w:pPr>
              <w:pStyle w:val="TableContents"/>
              <w:spacing w:before="0" w:after="283"/>
              <w:jc w:val="center"/>
              <w:rPr>
                <w:rFonts w:ascii="Arial" w:hAnsi="Arial"/>
                <w:b/>
                <w:color w:val="1A2343"/>
                <w:sz w:val="20"/>
              </w:rPr>
            </w:pPr>
            <w:r>
              <w:rPr>
                <w:rFonts w:ascii="Arial" w:hAnsi="Arial"/>
                <w:b/>
                <w:color w:val="1A2343"/>
                <w:sz w:val="20"/>
              </w:rPr>
              <w:t>Betsy S. Atkins</w:t>
            </w:r>
          </w:p>
        </w:tc>
        <w:tc>
          <w:tcPr>
            <w:tcW w:w="1595" w:type="dxa"/>
            <w:tcBorders/>
            <w:shd w:fill="auto" w:val="clear"/>
            <w:vAlign w:val="center"/>
          </w:tcPr>
          <w:p>
            <w:pPr>
              <w:pStyle w:val="TableContents"/>
              <w:spacing w:before="0" w:after="283"/>
              <w:jc w:val="center"/>
              <w:rPr>
                <w:rFonts w:ascii="Arial" w:hAnsi="Arial"/>
                <w:b/>
                <w:color w:val="1A2343"/>
                <w:sz w:val="20"/>
              </w:rPr>
            </w:pPr>
            <w:r>
              <w:rPr>
                <w:rFonts w:ascii="Arial" w:hAnsi="Arial"/>
                <w:b/>
                <w:color w:val="1A2343"/>
                <w:sz w:val="20"/>
              </w:rPr>
              <w:t>Lauren B. Dillard</w:t>
            </w:r>
          </w:p>
        </w:tc>
        <w:tc>
          <w:tcPr>
            <w:tcW w:w="1505" w:type="dxa"/>
            <w:tcBorders/>
            <w:shd w:fill="auto" w:val="clear"/>
            <w:vAlign w:val="center"/>
          </w:tcPr>
          <w:p>
            <w:pPr>
              <w:pStyle w:val="TableContents"/>
              <w:spacing w:before="0" w:after="283"/>
              <w:jc w:val="center"/>
              <w:rPr>
                <w:rFonts w:ascii="Arial" w:hAnsi="Arial"/>
                <w:b/>
                <w:color w:val="1A2343"/>
                <w:sz w:val="20"/>
              </w:rPr>
            </w:pPr>
            <w:r>
              <w:rPr>
                <w:rFonts w:ascii="Arial" w:hAnsi="Arial"/>
                <w:b/>
                <w:color w:val="1A2343"/>
                <w:sz w:val="20"/>
              </w:rPr>
              <w:t>Craig M. Hatkoff</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530" w:type="dxa"/>
        <w:jc w:val="left"/>
        <w:tblInd w:w="0" w:type="dxa"/>
        <w:tblCellMar>
          <w:top w:w="0" w:type="dxa"/>
          <w:left w:w="0" w:type="dxa"/>
          <w:bottom w:w="0" w:type="dxa"/>
          <w:right w:w="0" w:type="dxa"/>
        </w:tblCellMar>
      </w:tblPr>
      <w:tblGrid>
        <w:gridCol w:w="2240"/>
        <w:gridCol w:w="290"/>
      </w:tblGrid>
      <w:tr>
        <w:trPr/>
        <w:tc>
          <w:tcPr>
            <w:tcW w:w="2240" w:type="dxa"/>
            <w:tcBorders/>
            <w:shd w:fill="auto" w:val="clear"/>
            <w:vAlign w:val="center"/>
          </w:tcPr>
          <w:p>
            <w:pPr>
              <w:pStyle w:val="TableContents"/>
              <w:spacing w:before="0" w:after="283"/>
              <w:jc w:val="left"/>
              <w:rPr/>
            </w:pPr>
            <w:r>
              <w:rPr>
                <w:rFonts w:ascii="Arial" w:hAnsi="Arial"/>
                <w:b/>
                <w:sz w:val="15"/>
              </w:rPr>
              <w:t>AUDIT COMMITTEE MATTERS</w:t>
            </w:r>
            <w:r>
              <w:rPr/>
              <w:t xml:space="preserve"> </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81</w:t>
            </w:r>
          </w:p>
        </w:tc>
      </w:tr>
    </w:tbl>
    <w:p>
      <w:pPr>
        <w:pStyle w:val="TextBody"/>
        <w:spacing w:before="0" w:after="0"/>
        <w:rPr/>
      </w:pPr>
      <w:r>
        <w:rPr/>
      </w:r>
    </w:p>
    <w:p>
      <w:pPr>
        <w:pStyle w:val="Normal"/>
        <w:spacing w:before="0" w:after="0"/>
        <w:rPr>
          <w:sz w:val="4"/>
          <w:szCs w:val="4"/>
        </w:rPr>
      </w:pPr>
      <w:r>
        <w:rPr>
          <w:sz w:val="4"/>
          <w:szCs w:val="4"/>
        </w:rPr>
      </w:r>
      <w:bookmarkStart w:id="103" w:name="pg_Proposal3RatificationofAppointmentofI"/>
      <w:bookmarkStart w:id="104" w:name="pg_Proposal3RatificationofAppointmentofI"/>
      <w:bookmarkEnd w:id="104"/>
    </w:p>
    <w:tbl>
      <w:tblPr>
        <w:tblW w:w="4760" w:type="dxa"/>
        <w:jc w:val="left"/>
        <w:tblInd w:w="0" w:type="dxa"/>
        <w:tblCellMar>
          <w:top w:w="0" w:type="dxa"/>
          <w:left w:w="0" w:type="dxa"/>
          <w:bottom w:w="0" w:type="dxa"/>
          <w:right w:w="0" w:type="dxa"/>
        </w:tblCellMar>
      </w:tblPr>
      <w:tblGrid>
        <w:gridCol w:w="1760"/>
        <w:gridCol w:w="3000"/>
      </w:tblGrid>
      <w:tr>
        <w:trPr/>
        <w:tc>
          <w:tcPr>
            <w:tcW w:w="1760" w:type="dxa"/>
            <w:vMerge w:val="restart"/>
            <w:tcBorders/>
            <w:shd w:fill="auto" w:val="clear"/>
            <w:vAlign w:val="center"/>
          </w:tcPr>
          <w:p>
            <w:pPr>
              <w:pStyle w:val="TableContents"/>
              <w:spacing w:before="0" w:after="283"/>
              <w:jc w:val="left"/>
              <w:rPr>
                <w:rFonts w:ascii="Arial" w:hAnsi="Arial"/>
                <w:b/>
                <w:color w:val="8BA73B"/>
                <w:sz w:val="24"/>
              </w:rPr>
            </w:pPr>
            <w:r>
              <w:rPr>
                <w:rFonts w:ascii="Arial" w:hAnsi="Arial"/>
                <w:b/>
                <w:color w:val="8BA73B"/>
                <w:sz w:val="24"/>
              </w:rPr>
              <w:t>PROPOSAL 3   </w:t>
            </w:r>
          </w:p>
        </w:tc>
        <w:tc>
          <w:tcPr>
            <w:tcW w:w="3000" w:type="dxa"/>
            <w:tcBorders>
              <w:bottom w:val="single" w:sz="8" w:space="0" w:color="8EAD3C"/>
            </w:tcBorders>
            <w:shd w:fill="auto" w:val="clear"/>
            <w:tcMar>
              <w:bottom w:w="28" w:type="dxa"/>
            </w:tcMar>
            <w:vAlign w:val="center"/>
          </w:tcPr>
          <w:p>
            <w:pPr>
              <w:pStyle w:val="TableContents"/>
              <w:spacing w:before="0" w:after="283"/>
              <w:jc w:val="left"/>
              <w:rPr/>
            </w:pPr>
            <w:r>
              <w:rPr/>
              <w:t>                                                  </w:t>
            </w:r>
          </w:p>
        </w:tc>
      </w:tr>
      <w:tr>
        <w:trPr/>
        <w:tc>
          <w:tcPr>
            <w:tcW w:w="1760" w:type="dxa"/>
            <w:vMerge w:val="continue"/>
            <w:tcBorders/>
            <w:shd w:fill="auto" w:val="clear"/>
            <w:vAlign w:val="center"/>
          </w:tcPr>
          <w:p>
            <w:pPr>
              <w:pStyle w:val="Normal"/>
              <w:rPr/>
            </w:pPr>
            <w:r>
              <w:rPr/>
            </w:r>
          </w:p>
        </w:tc>
        <w:tc>
          <w:tcPr>
            <w:tcW w:w="3000" w:type="dxa"/>
            <w:tcBorders/>
            <w:shd w:fill="auto" w:val="clear"/>
            <w:vAlign w:val="center"/>
          </w:tcPr>
          <w:p>
            <w:pPr>
              <w:pStyle w:val="TableContents"/>
              <w:spacing w:before="0" w:after="283"/>
              <w:jc w:val="left"/>
              <w:rPr/>
            </w:pPr>
            <w:r>
              <w:rPr/>
              <w:t> </w:t>
            </w:r>
          </w:p>
        </w:tc>
      </w:tr>
    </w:tbl>
    <w:p>
      <w:pPr>
        <w:pStyle w:val="TextBody"/>
        <w:jc w:val="left"/>
        <w:rPr>
          <w:rFonts w:ascii="Arial" w:hAnsi="Arial"/>
          <w:b/>
          <w:color w:val="1A2343"/>
          <w:sz w:val="36"/>
          <w:highlight w:val="yellow"/>
        </w:rPr>
      </w:pPr>
      <w:r>
        <w:rPr>
          <w:rFonts w:ascii="Arial" w:hAnsi="Arial"/>
          <w:b/>
          <w:color w:val="1A2343"/>
          <w:sz w:val="36"/>
          <w:highlight w:val="yellow"/>
        </w:rPr>
        <w:t>RATIFICATION OF APPOINTMENT OF</w:t>
        <w:br/>
        <w:t>INDEPENDENT REGISTERED PUBLIC</w:t>
        <w:br/>
        <w:t>ACCOUNTING FIRM</w:t>
      </w:r>
    </w:p>
    <w:p>
      <w:pPr>
        <w:pStyle w:val="TextBody"/>
        <w:jc w:val="left"/>
        <w:rPr>
          <w:rFonts w:ascii="Arial" w:hAnsi="Arial"/>
          <w:sz w:val="20"/>
          <w:highlight w:val="yellow"/>
        </w:rPr>
      </w:pPr>
      <w:r>
        <w:rPr>
          <w:rFonts w:ascii="Arial" w:hAnsi="Arial"/>
          <w:sz w:val="20"/>
          <w:highlight w:val="yellow"/>
        </w:rPr>
        <w:t>The Audit Committee of the Board has appointed the accounting firm of Ernst &amp; Young LLP to serve as our independent registered public accounting firm for the fiscal year ending December 31, 2023. Stockholder ratification of the appointment of Ernst &amp; Young LLP is not required by law, the NYSE or the Company’s organizational documents. However, as a matter of good corporate governance, the Board has elected to submit the appointment of Ernst &amp; Young LLP to the stockholders for ratification at the 2023 annual meeting. Even if the appointment is ratified, the Audit Committee, in its discretion, may select a different independent registered public accounting firm at any time if the Audit Committee believes that such a change would be in the best interests of the Company and its stockholders. If our stockholders do not ratify the appointment of Ernst &amp; Young LLP, the Audit Committee will take that fact into consideration, together with such other factors it deems relevant, in determining its next selection of an independent registered public accounting firm.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the Company or any of our subsidiaries in any capacity.</w:t>
      </w:r>
    </w:p>
    <w:p>
      <w:pPr>
        <w:pStyle w:val="TextBody"/>
        <w:jc w:val="left"/>
        <w:rPr>
          <w:rFonts w:ascii="Arial" w:hAnsi="Arial"/>
          <w:sz w:val="20"/>
          <w:highlight w:val="yellow"/>
        </w:rPr>
      </w:pPr>
      <w:r>
        <w:rPr>
          <w:rFonts w:ascii="Arial" w:hAnsi="Arial"/>
          <w:sz w:val="20"/>
          <w:highlight w:val="yellow"/>
        </w:rPr>
        <w:t>A representative of Ernst &amp; Young LLP will attend the annual meeting, will be given the opportunity to make a statement at the annual meeting if he or she so desires and will be available to respond to appropriate questions.</w:t>
      </w:r>
    </w:p>
    <w:p>
      <w:pPr>
        <w:pStyle w:val="TextBody"/>
        <w:jc w:val="left"/>
        <w:rPr>
          <w:rFonts w:ascii="Arial" w:hAnsi="Arial"/>
          <w:sz w:val="20"/>
          <w:highlight w:val="yellow"/>
        </w:rPr>
      </w:pPr>
      <w:r>
        <w:rPr>
          <w:rFonts w:ascii="Arial" w:hAnsi="Arial"/>
          <w:sz w:val="20"/>
          <w:highlight w:val="yellow"/>
        </w:rPr>
        <w:t>A majority of all of the votes cast with respect to this proposal is required for the ratification of the appointment of Ernst &amp; Young LLP as our independent registered public accounting firm for the fiscal year ending December 31, 2023. Abstentions do not constitute a vote “for” or “against” and will not be counted as “votes cast”. Therefore, abstentions will have no effect on this proposal.</w:t>
      </w:r>
    </w:p>
    <w:tbl>
      <w:tblPr>
        <w:tblW w:w="10205" w:type="dxa"/>
        <w:jc w:val="left"/>
        <w:tblInd w:w="0" w:type="dxa"/>
        <w:tblCellMar>
          <w:top w:w="0" w:type="dxa"/>
          <w:left w:w="0" w:type="dxa"/>
          <w:bottom w:w="0" w:type="dxa"/>
          <w:right w:w="0" w:type="dxa"/>
        </w:tblCellMar>
      </w:tblPr>
      <w:tblGrid>
        <w:gridCol w:w="9170"/>
        <w:gridCol w:w="300"/>
        <w:gridCol w:w="735"/>
      </w:tblGrid>
      <w:tr>
        <w:trPr/>
        <w:tc>
          <w:tcPr>
            <w:tcW w:w="9170" w:type="dxa"/>
            <w:tcBorders/>
            <w:shd w:fill="FFFFFF" w:val="clear"/>
            <w:vAlign w:val="center"/>
          </w:tcPr>
          <w:p>
            <w:pPr>
              <w:pStyle w:val="TableContents"/>
              <w:spacing w:before="0" w:after="283"/>
              <w:jc w:val="left"/>
              <w:rPr/>
            </w:pPr>
            <w:r>
              <w:rPr>
                <w:rFonts w:ascii="Arial" w:hAnsi="Arial"/>
                <w:b/>
                <w:color w:val="1A2343"/>
                <w:sz w:val="22"/>
              </w:rPr>
              <w:t xml:space="preserve">The Board unanimously recommends a vote </w:t>
            </w:r>
            <w:r>
              <w:rPr>
                <w:color w:val="8BA73B"/>
              </w:rPr>
              <w:t>“</w:t>
            </w:r>
            <w:r>
              <w:rPr>
                <w:rFonts w:ascii="Arial" w:hAnsi="Arial"/>
                <w:b/>
                <w:color w:val="8BA73B"/>
                <w:sz w:val="22"/>
              </w:rPr>
              <w:t xml:space="preserve">FOR” </w:t>
            </w:r>
            <w:r>
              <w:rPr>
                <w:rFonts w:ascii="Arial" w:hAnsi="Arial"/>
                <w:b/>
                <w:color w:val="1A2343"/>
                <w:sz w:val="22"/>
              </w:rPr>
              <w:t>the ratification of the appointment of Ernst &amp; Young LLP as our independent registered public accounting firm.</w:t>
            </w:r>
          </w:p>
        </w:tc>
        <w:tc>
          <w:tcPr>
            <w:tcW w:w="300" w:type="dxa"/>
            <w:tcBorders/>
            <w:shd w:fill="FFFFFF" w:val="clear"/>
            <w:vAlign w:val="center"/>
          </w:tcPr>
          <w:p>
            <w:pPr>
              <w:pStyle w:val="TableContents"/>
              <w:spacing w:before="0" w:after="283"/>
              <w:jc w:val="left"/>
              <w:rPr/>
            </w:pPr>
            <w:r>
              <w:rPr/>
              <w:t>     </w:t>
            </w:r>
          </w:p>
        </w:tc>
        <w:tc>
          <w:tcPr>
            <w:tcW w:w="735" w:type="dxa"/>
            <w:tcBorders/>
            <w:shd w:fill="FFFFFF" w:val="clear"/>
            <w:vAlign w:val="center"/>
          </w:tcPr>
          <w:p>
            <w:pPr>
              <w:pStyle w:val="TableContents"/>
              <w:spacing w:before="0" w:after="283"/>
              <w:jc w:val="left"/>
              <w:rPr/>
            </w:pPr>
            <w:r>
              <w:rPr/>
              <w:drawing>
                <wp:inline distT="0" distB="0" distL="0" distR="0">
                  <wp:extent cx="466725" cy="466725"/>
                  <wp:effectExtent l="0" t="0" r="0" b="0"/>
                  <wp:docPr id="506"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361" descr=""/>
                          <pic:cNvPicPr>
                            <a:picLocks noChangeAspect="1" noChangeArrowheads="1"/>
                          </pic:cNvPicPr>
                        </pic:nvPicPr>
                        <pic:blipFill>
                          <a:blip r:embed="rId362"/>
                          <a:srcRect l="-2160" t="-2160" r="-2160" b="-2160"/>
                          <a:stretch>
                            <a:fillRect/>
                          </a:stretch>
                        </pic:blipFill>
                        <pic:spPr bwMode="auto">
                          <a:xfrm>
                            <a:off x="0" y="0"/>
                            <a:ext cx="466725" cy="466725"/>
                          </a:xfrm>
                          <a:prstGeom prst="rect">
                            <a:avLst/>
                          </a:prstGeom>
                          <a:ln w="635">
                            <a:solidFill>
                              <a:srgbClr val="000000"/>
                            </a:solidFill>
                          </a:ln>
                        </pic:spPr>
                      </pic:pic>
                    </a:graphicData>
                  </a:graphic>
                </wp:inline>
              </w:drawing>
            </w:r>
          </w:p>
        </w:tc>
      </w:tr>
    </w:tbl>
    <w:p>
      <w:pPr>
        <w:pStyle w:val="TextBody"/>
        <w:spacing w:before="0" w:after="0"/>
        <w:rPr>
          <w:highlight w:val="yellow"/>
        </w:rPr>
      </w:pPr>
      <w:r>
        <w:rPr>
          <w:highlight w:val="yellow"/>
        </w:rPr>
      </w:r>
    </w:p>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82</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pPr>
      <w:bookmarkStart w:id="105" w:name="pg_PreApprovalPoliciesandProceduresofour"/>
      <w:bookmarkEnd w:id="105"/>
      <w:r>
        <w:rPr>
          <w:rStyle w:val="StrongEmphasis"/>
          <w:rFonts w:ascii="Arial" w:hAnsi="Arial"/>
          <w:color w:val="8BA73B"/>
          <w:sz w:val="32"/>
        </w:rPr>
        <w:t>PRE-APPROVAL POLICIES AND PROCEDURES OF OUR AUDIT COMMITTEE</w:t>
      </w:r>
    </w:p>
    <w:p>
      <w:pPr>
        <w:pStyle w:val="TextBody"/>
        <w:jc w:val="left"/>
        <w:rPr>
          <w:rFonts w:ascii="Arial" w:hAnsi="Arial"/>
          <w:sz w:val="20"/>
        </w:rPr>
      </w:pPr>
      <w:r>
        <w:rPr>
          <w:rFonts w:ascii="Arial" w:hAnsi="Arial"/>
          <w:sz w:val="20"/>
        </w:rPr>
        <w:t>Our Audit Committee must pre-approve all audit services and permissible non-audit services provided by our independent registered public accounting firm, except for any de minimis non-audit services. Non-audit services are considered de minimis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below were incurred as a result of non-audit services provided by our independent registered public accounting firm pursuant to this de minimis exception. All services provided by Ernst &amp; Young LLP in 2022 were pre-approved by our Audit Committee. Our Audit Committee may delegate to one or more of its members who is an independent director the authority to grant pre-approvals.</w:t>
      </w:r>
    </w:p>
    <w:p>
      <w:pPr>
        <w:pStyle w:val="TextBody"/>
        <w:jc w:val="left"/>
        <w:rPr/>
      </w:pPr>
      <w:bookmarkStart w:id="106" w:name="pg_FeeDisclosure"/>
      <w:bookmarkEnd w:id="106"/>
      <w:r>
        <w:rPr>
          <w:rStyle w:val="StrongEmphasis"/>
          <w:rFonts w:ascii="Arial" w:hAnsi="Arial"/>
          <w:color w:val="8BA73B"/>
          <w:sz w:val="32"/>
        </w:rPr>
        <w:t>FEE DISCLOSURE</w:t>
      </w:r>
    </w:p>
    <w:tbl>
      <w:tblPr>
        <w:tblW w:w="4035" w:type="dxa"/>
        <w:jc w:val="left"/>
        <w:tblInd w:w="0" w:type="dxa"/>
        <w:tblCellMar>
          <w:top w:w="0" w:type="dxa"/>
          <w:left w:w="0" w:type="dxa"/>
          <w:bottom w:w="40" w:type="dxa"/>
          <w:right w:w="0" w:type="dxa"/>
        </w:tblCellMar>
      </w:tblPr>
      <w:tblGrid>
        <w:gridCol w:w="1685"/>
        <w:gridCol w:w="300"/>
        <w:gridCol w:w="875"/>
        <w:gridCol w:w="300"/>
        <w:gridCol w:w="875"/>
      </w:tblGrid>
      <w:tr>
        <w:trPr/>
        <w:tc>
          <w:tcPr>
            <w:tcW w:w="1685"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jc w:val="right"/>
              <w:rPr/>
            </w:pPr>
            <w:r>
              <w:rPr/>
              <w:t>     </w:t>
            </w:r>
          </w:p>
        </w:tc>
        <w:tc>
          <w:tcPr>
            <w:tcW w:w="875"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2022</w:t>
              <w:br/>
              <w:t>($)</w:t>
            </w:r>
          </w:p>
        </w:tc>
        <w:tc>
          <w:tcPr>
            <w:tcW w:w="300" w:type="dxa"/>
            <w:tcBorders/>
            <w:shd w:fill="auto" w:val="clear"/>
            <w:tcMar>
              <w:bottom w:w="0" w:type="dxa"/>
            </w:tcMar>
            <w:vAlign w:val="center"/>
          </w:tcPr>
          <w:p>
            <w:pPr>
              <w:pStyle w:val="TableContents"/>
              <w:spacing w:before="0" w:after="283"/>
              <w:jc w:val="right"/>
              <w:rPr/>
            </w:pPr>
            <w:r>
              <w:rPr/>
              <w:t>     </w:t>
            </w:r>
          </w:p>
        </w:tc>
        <w:tc>
          <w:tcPr>
            <w:tcW w:w="875"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2021</w:t>
              <w:br/>
              <w:t>($)</w:t>
            </w:r>
          </w:p>
        </w:tc>
      </w:tr>
      <w:tr>
        <w:trPr/>
        <w:tc>
          <w:tcPr>
            <w:tcW w:w="1685"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Audit Fees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3,547,000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3,272,000</w:t>
            </w:r>
          </w:p>
        </w:tc>
      </w:tr>
      <w:tr>
        <w:trPr/>
        <w:tc>
          <w:tcPr>
            <w:tcW w:w="1685"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Audit-Related Fees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87,000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89,000</w:t>
            </w:r>
          </w:p>
        </w:tc>
      </w:tr>
      <w:tr>
        <w:trPr/>
        <w:tc>
          <w:tcPr>
            <w:tcW w:w="1685"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Tax Fees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vAlign w:val="center"/>
          </w:tcPr>
          <w:p>
            <w:pPr>
              <w:pStyle w:val="TableContents"/>
              <w:spacing w:before="0" w:after="283"/>
              <w:jc w:val="right"/>
              <w:rPr/>
            </w:pPr>
            <w:r>
              <w:rPr/>
              <w:t>—</w:t>
            </w:r>
          </w:p>
        </w:tc>
      </w:tr>
      <w:tr>
        <w:trPr/>
        <w:tc>
          <w:tcPr>
            <w:tcW w:w="1685"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All Other Fees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vAlign w:val="center"/>
          </w:tcPr>
          <w:p>
            <w:pPr>
              <w:pStyle w:val="TableContents"/>
              <w:spacing w:before="0" w:after="283"/>
              <w:jc w:val="right"/>
              <w:rPr/>
            </w:pPr>
            <w:r>
              <w:rPr/>
              <w: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vAlign w:val="center"/>
          </w:tcPr>
          <w:p>
            <w:pPr>
              <w:pStyle w:val="TableContents"/>
              <w:spacing w:before="0" w:after="283"/>
              <w:jc w:val="right"/>
              <w:rPr/>
            </w:pPr>
            <w:r>
              <w:rPr/>
              <w:t>—</w:t>
            </w:r>
          </w:p>
        </w:tc>
      </w:tr>
      <w:tr>
        <w:trPr/>
        <w:tc>
          <w:tcPr>
            <w:tcW w:w="1685" w:type="dxa"/>
            <w:tcBorders>
              <w:bottom w:val="single" w:sz="12" w:space="0" w:color="1A2343"/>
            </w:tcBorders>
            <w:shd w:fill="auto" w:val="clear"/>
            <w:vAlign w:val="center"/>
          </w:tcPr>
          <w:p>
            <w:pPr>
              <w:pStyle w:val="TableContents"/>
              <w:spacing w:before="0" w:after="283"/>
              <w:jc w:val="left"/>
              <w:rPr/>
            </w:pPr>
            <w:r>
              <w:rPr>
                <w:rStyle w:val="StrongEmphasis"/>
                <w:rFonts w:ascii="Arial" w:hAnsi="Arial"/>
                <w:sz w:val="20"/>
              </w:rPr>
              <w:t>TOTAL</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875" w:type="dxa"/>
            <w:tcBorders>
              <w:bottom w:val="single" w:sz="12" w:space="0" w:color="1A2343"/>
            </w:tcBorders>
            <w:shd w:fill="auto" w:val="clear"/>
            <w:vAlign w:val="center"/>
          </w:tcPr>
          <w:p>
            <w:pPr>
              <w:pStyle w:val="TableContents"/>
              <w:spacing w:before="0" w:after="283"/>
              <w:jc w:val="right"/>
              <w:rPr>
                <w:rFonts w:ascii="Arial" w:hAnsi="Arial"/>
                <w:sz w:val="20"/>
              </w:rPr>
            </w:pPr>
            <w:r>
              <w:rPr>
                <w:rFonts w:ascii="Arial" w:hAnsi="Arial"/>
                <w:sz w:val="20"/>
              </w:rPr>
              <w:t>3,634,000</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875" w:type="dxa"/>
            <w:tcBorders>
              <w:bottom w:val="single" w:sz="12" w:space="0" w:color="1A2343"/>
            </w:tcBorders>
            <w:shd w:fill="auto" w:val="clear"/>
            <w:vAlign w:val="center"/>
          </w:tcPr>
          <w:p>
            <w:pPr>
              <w:pStyle w:val="TableContents"/>
              <w:spacing w:before="0" w:after="283"/>
              <w:jc w:val="right"/>
              <w:rPr>
                <w:rFonts w:ascii="Arial" w:hAnsi="Arial"/>
                <w:sz w:val="20"/>
              </w:rPr>
            </w:pPr>
            <w:r>
              <w:rPr>
                <w:rFonts w:ascii="Arial" w:hAnsi="Arial"/>
                <w:sz w:val="20"/>
              </w:rPr>
              <w:t>3,361,000</w:t>
            </w:r>
          </w:p>
        </w:tc>
      </w:tr>
    </w:tbl>
    <w:p>
      <w:pPr>
        <w:pStyle w:val="TextBody"/>
        <w:spacing w:before="240" w:after="283"/>
        <w:jc w:val="left"/>
        <w:rPr/>
      </w:pPr>
      <w:r>
        <w:rPr>
          <w:rStyle w:val="StrongEmphasis"/>
          <w:rFonts w:ascii="Arial" w:hAnsi="Arial"/>
          <w:color w:val="1A2343"/>
          <w:sz w:val="26"/>
        </w:rPr>
        <w:t>Audit Fees</w:t>
      </w:r>
    </w:p>
    <w:p>
      <w:pPr>
        <w:pStyle w:val="TextBody"/>
        <w:jc w:val="left"/>
        <w:rPr>
          <w:rFonts w:ascii="Arial" w:hAnsi="Arial"/>
          <w:sz w:val="20"/>
        </w:rPr>
      </w:pPr>
      <w:r>
        <w:rPr>
          <w:rFonts w:ascii="Arial" w:hAnsi="Arial"/>
          <w:sz w:val="20"/>
        </w:rPr>
        <w:t>Fees, including out-of-pocket expenses, for audit services totaled approximately $3,547,000 in fiscal year 2022 and $3,272,000 in fiscal year 2021. Audit fees include fees associated with our annual audits and related reviews of our annual reports on Form 10-K and quarterly reports on Form 10-Q. In addition, audit fees include Sarbanes-Oxley Section 404 planning and testing, fees for joint venture audits, and services relating to public filings in connection with our preferred and common stock and debt offerings and certain other transactions. Our joint venture partners paid their pro rata share of any joint venture audit fees. Audit fees also include fees for accounting research and consultations.</w:t>
      </w:r>
    </w:p>
    <w:p>
      <w:pPr>
        <w:pStyle w:val="TextBody"/>
        <w:jc w:val="left"/>
        <w:rPr/>
      </w:pPr>
      <w:r>
        <w:rPr>
          <w:rStyle w:val="StrongEmphasis"/>
          <w:rFonts w:ascii="Arial" w:hAnsi="Arial"/>
          <w:color w:val="1A2343"/>
          <w:sz w:val="26"/>
        </w:rPr>
        <w:t>Audit-Related Fees</w:t>
      </w:r>
    </w:p>
    <w:p>
      <w:pPr>
        <w:pStyle w:val="TextBody"/>
        <w:jc w:val="left"/>
        <w:rPr>
          <w:rFonts w:ascii="Arial" w:hAnsi="Arial"/>
          <w:sz w:val="20"/>
        </w:rPr>
      </w:pPr>
      <w:r>
        <w:rPr>
          <w:rFonts w:ascii="Arial" w:hAnsi="Arial"/>
          <w:sz w:val="20"/>
        </w:rPr>
        <w:t>Fees for audit-related services totaled approximately $87,000 in 2022 and $89,000 in 2021. The audit-related services principally include fees for operating expense audits and agreed-upon procedures projects.</w:t>
      </w:r>
    </w:p>
    <w:p>
      <w:pPr>
        <w:pStyle w:val="TextBody"/>
        <w:jc w:val="left"/>
        <w:rPr/>
      </w:pPr>
      <w:r>
        <w:rPr>
          <w:rStyle w:val="StrongEmphasis"/>
          <w:rFonts w:ascii="Arial" w:hAnsi="Arial"/>
          <w:color w:val="1A2343"/>
          <w:sz w:val="26"/>
        </w:rPr>
        <w:t>Tax Fees</w:t>
      </w:r>
    </w:p>
    <w:p>
      <w:pPr>
        <w:pStyle w:val="TextBody"/>
        <w:jc w:val="left"/>
        <w:rPr>
          <w:rFonts w:ascii="Arial" w:hAnsi="Arial"/>
          <w:sz w:val="20"/>
        </w:rPr>
      </w:pPr>
      <w:r>
        <w:rPr>
          <w:rFonts w:ascii="Arial" w:hAnsi="Arial"/>
          <w:sz w:val="20"/>
        </w:rPr>
        <w:t>There were no fees for tax services, including tax compliance, tax advice and tax planning, in either 2022 or 2021.</w:t>
      </w:r>
    </w:p>
    <w:p>
      <w:pPr>
        <w:pStyle w:val="TextBody"/>
        <w:jc w:val="left"/>
        <w:rPr/>
      </w:pPr>
      <w:r>
        <w:rPr>
          <w:rStyle w:val="StrongEmphasis"/>
          <w:rFonts w:ascii="Arial" w:hAnsi="Arial"/>
          <w:color w:val="1A2343"/>
          <w:sz w:val="26"/>
        </w:rPr>
        <w:t>All Other Fees</w:t>
      </w:r>
    </w:p>
    <w:p>
      <w:pPr>
        <w:pStyle w:val="TextBody"/>
        <w:jc w:val="left"/>
        <w:rPr>
          <w:rFonts w:ascii="Arial" w:hAnsi="Arial"/>
          <w:sz w:val="20"/>
        </w:rPr>
      </w:pPr>
      <w:r>
        <w:rPr>
          <w:rFonts w:ascii="Arial" w:hAnsi="Arial"/>
          <w:sz w:val="20"/>
        </w:rPr>
        <w:t>There were no fees for other services not included above in either 2022 or 2021.</w:t>
      </w:r>
    </w:p>
    <w:p>
      <w:pPr>
        <w:pStyle w:val="TextBody"/>
        <w:jc w:val="left"/>
        <w:rPr>
          <w:rFonts w:ascii="Arial" w:hAnsi="Arial"/>
          <w:sz w:val="20"/>
        </w:rPr>
      </w:pPr>
      <w:r>
        <w:rPr>
          <w:rFonts w:ascii="Arial" w:hAnsi="Arial"/>
          <w:sz w:val="20"/>
        </w:rPr>
        <w:t>Our Audit Committee considers whether the provision by Ernst &amp; Young LLP of any services that would be required to be described under “All Other Fees” would be compatible with maintaining Ernst &amp; Young LLP’s independence from both management and the Company.</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right"/>
              <w:rPr>
                <w:rFonts w:ascii="Arial" w:hAnsi="Arial"/>
                <w:b/>
                <w:color w:val="111741"/>
                <w:sz w:val="24"/>
              </w:rPr>
            </w:pPr>
            <w:r>
              <w:rPr>
                <w:rFonts w:ascii="Arial" w:hAnsi="Arial"/>
                <w:b/>
                <w:color w:val="111741"/>
                <w:sz w:val="24"/>
              </w:rPr>
              <w:t>83</w:t>
            </w:r>
          </w:p>
        </w:tc>
      </w:tr>
    </w:tbl>
    <w:p>
      <w:pPr>
        <w:pStyle w:val="TextBody"/>
        <w:spacing w:before="240" w:after="283"/>
        <w:jc w:val="left"/>
        <w:rPr>
          <w:rFonts w:ascii="Arial" w:hAnsi="Arial"/>
          <w:b/>
          <w:color w:val="1A2343"/>
          <w:sz w:val="42"/>
        </w:rPr>
      </w:pPr>
      <w:bookmarkStart w:id="107" w:name="pg_OTHERPROPOSALS"/>
      <w:bookmarkEnd w:id="107"/>
      <w:r>
        <w:rPr>
          <w:rFonts w:ascii="Arial" w:hAnsi="Arial"/>
          <w:b/>
          <w:color w:val="1A2343"/>
          <w:sz w:val="42"/>
        </w:rPr>
        <w:t>OTHER PROPOSALS</w:t>
      </w:r>
    </w:p>
    <w:p>
      <w:pPr>
        <w:pStyle w:val="Normal"/>
        <w:spacing w:before="0" w:after="0"/>
        <w:rPr>
          <w:sz w:val="4"/>
          <w:szCs w:val="4"/>
        </w:rPr>
      </w:pPr>
      <w:r>
        <w:rPr>
          <w:sz w:val="4"/>
          <w:szCs w:val="4"/>
        </w:rPr>
      </w:r>
      <w:bookmarkStart w:id="108" w:name="pg_Proposal4NonBinding"/>
      <w:bookmarkStart w:id="109" w:name="pg_Proposal4NonBinding"/>
      <w:bookmarkEnd w:id="109"/>
    </w:p>
    <w:tbl>
      <w:tblPr>
        <w:tblW w:w="4760" w:type="dxa"/>
        <w:jc w:val="left"/>
        <w:tblInd w:w="0" w:type="dxa"/>
        <w:tblCellMar>
          <w:top w:w="0" w:type="dxa"/>
          <w:left w:w="0" w:type="dxa"/>
          <w:bottom w:w="0" w:type="dxa"/>
          <w:right w:w="0" w:type="dxa"/>
        </w:tblCellMar>
      </w:tblPr>
      <w:tblGrid>
        <w:gridCol w:w="1760"/>
        <w:gridCol w:w="3000"/>
      </w:tblGrid>
      <w:tr>
        <w:trPr/>
        <w:tc>
          <w:tcPr>
            <w:tcW w:w="1760" w:type="dxa"/>
            <w:vMerge w:val="restart"/>
            <w:tcBorders/>
            <w:shd w:fill="auto" w:val="clear"/>
            <w:vAlign w:val="center"/>
          </w:tcPr>
          <w:p>
            <w:pPr>
              <w:pStyle w:val="TableContents"/>
              <w:spacing w:before="0" w:after="283"/>
              <w:jc w:val="left"/>
              <w:rPr>
                <w:rFonts w:ascii="Arial" w:hAnsi="Arial"/>
                <w:b/>
                <w:color w:val="8BA73B"/>
                <w:sz w:val="24"/>
              </w:rPr>
            </w:pPr>
            <w:r>
              <w:rPr>
                <w:rFonts w:ascii="Arial" w:hAnsi="Arial"/>
                <w:b/>
                <w:color w:val="8BA73B"/>
                <w:sz w:val="24"/>
              </w:rPr>
              <w:t>PROPOSAL 4   </w:t>
            </w:r>
          </w:p>
        </w:tc>
        <w:tc>
          <w:tcPr>
            <w:tcW w:w="3000" w:type="dxa"/>
            <w:tcBorders>
              <w:bottom w:val="single" w:sz="8" w:space="0" w:color="8EAD3C"/>
            </w:tcBorders>
            <w:shd w:fill="auto" w:val="clear"/>
            <w:tcMar>
              <w:bottom w:w="28" w:type="dxa"/>
            </w:tcMar>
            <w:vAlign w:val="center"/>
          </w:tcPr>
          <w:p>
            <w:pPr>
              <w:pStyle w:val="TableContents"/>
              <w:spacing w:before="0" w:after="283"/>
              <w:jc w:val="left"/>
              <w:rPr/>
            </w:pPr>
            <w:r>
              <w:rPr/>
              <w:t>                                                  </w:t>
            </w:r>
          </w:p>
        </w:tc>
      </w:tr>
      <w:tr>
        <w:trPr/>
        <w:tc>
          <w:tcPr>
            <w:tcW w:w="1760" w:type="dxa"/>
            <w:vMerge w:val="continue"/>
            <w:tcBorders/>
            <w:shd w:fill="auto" w:val="clear"/>
            <w:vAlign w:val="center"/>
          </w:tcPr>
          <w:p>
            <w:pPr>
              <w:pStyle w:val="Normal"/>
              <w:rPr/>
            </w:pPr>
            <w:r>
              <w:rPr/>
            </w:r>
          </w:p>
        </w:tc>
        <w:tc>
          <w:tcPr>
            <w:tcW w:w="3000" w:type="dxa"/>
            <w:tcBorders/>
            <w:shd w:fill="auto" w:val="clear"/>
            <w:vAlign w:val="center"/>
          </w:tcPr>
          <w:p>
            <w:pPr>
              <w:pStyle w:val="TableContents"/>
              <w:spacing w:before="0" w:after="283"/>
              <w:jc w:val="left"/>
              <w:rPr/>
            </w:pPr>
            <w:r>
              <w:rPr/>
              <w:t> </w:t>
            </w:r>
          </w:p>
        </w:tc>
      </w:tr>
    </w:tbl>
    <w:p>
      <w:pPr>
        <w:pStyle w:val="TextBody"/>
        <w:jc w:val="left"/>
        <w:rPr>
          <w:rFonts w:ascii="Arial" w:hAnsi="Arial"/>
          <w:b/>
          <w:color w:val="1A2343"/>
          <w:sz w:val="36"/>
          <w:highlight w:val="yellow"/>
        </w:rPr>
      </w:pPr>
      <w:r>
        <w:rPr>
          <w:rFonts w:ascii="Arial" w:hAnsi="Arial"/>
          <w:b/>
          <w:color w:val="1A2343"/>
          <w:sz w:val="36"/>
          <w:highlight w:val="yellow"/>
        </w:rPr>
        <w:t>NON-BINDING, ADVISORY VOTE ON THE</w:t>
        <w:br/>
        <w:t>FREQUENCY OF FUTURE STOCKHOLDER</w:t>
        <w:br/>
        <w:t>ADVISORY VOTES ON THE COMPENSATION OF</w:t>
        <w:br/>
        <w:t>OUR NAMED EXECUTIVE OFFICERS</w:t>
      </w:r>
    </w:p>
    <w:p>
      <w:pPr>
        <w:pStyle w:val="TextBody"/>
        <w:jc w:val="left"/>
        <w:rPr>
          <w:rFonts w:ascii="Arial" w:hAnsi="Arial"/>
          <w:sz w:val="20"/>
          <w:highlight w:val="yellow"/>
        </w:rPr>
      </w:pPr>
      <w:r>
        <w:rPr>
          <w:rFonts w:ascii="Arial" w:hAnsi="Arial"/>
          <w:sz w:val="20"/>
          <w:highlight w:val="yellow"/>
        </w:rPr>
        <w:t>Section 14A(a)(2) of the Exchange Act enables stockholders to vote, on a non-binding advisory basis, on the frequency of future stockholder advisory votes on the compensation of our named executive officers, such as Proposal 2 included in this proxy statement. Under Section 14A(a)(2), generally, each public company must submit this proposal to its stockholders not less than every six years, and this proposal was last submitted to our stockholders at our 2017 annual meeting of stockholders. By voting on this Proposal 4, stockholders may recommend whether future advisory votes on executive compensation should be conducted every “one year,” “two years” or “three years.” In addition, stockholders may choose to abstain from voting on this proposal.</w:t>
      </w:r>
    </w:p>
    <w:p>
      <w:pPr>
        <w:pStyle w:val="TextBody"/>
        <w:jc w:val="left"/>
        <w:rPr>
          <w:rFonts w:ascii="Arial" w:hAnsi="Arial"/>
          <w:sz w:val="20"/>
          <w:highlight w:val="yellow"/>
        </w:rPr>
      </w:pPr>
      <w:r>
        <w:rPr>
          <w:rFonts w:ascii="Arial" w:hAnsi="Arial"/>
          <w:sz w:val="20"/>
          <w:highlight w:val="yellow"/>
        </w:rPr>
        <w:t>The Compensation Committee and the Board believe that an advisory vote on the compensation of our named executive officers every year is in the best interests of the Company. An annual vote provides the Compensation Committee and the Board with more timely stockholder feedback on our executive compensation practices.</w:t>
      </w:r>
    </w:p>
    <w:p>
      <w:pPr>
        <w:pStyle w:val="TextBody"/>
        <w:jc w:val="left"/>
        <w:rPr>
          <w:rFonts w:ascii="Arial" w:hAnsi="Arial"/>
          <w:sz w:val="20"/>
          <w:highlight w:val="yellow"/>
        </w:rPr>
      </w:pPr>
      <w:r>
        <w:rPr>
          <w:rFonts w:ascii="Arial" w:hAnsi="Arial"/>
          <w:sz w:val="20"/>
          <w:highlight w:val="yellow"/>
        </w:rPr>
        <w:t>Although this advisory vote on the frequency of future “say-on-pay” votes is non-binding, the Board and the Compensation Committee will take into account the outcome of the vote when considering the frequency of future advisory votes on executive compensation.</w:t>
      </w:r>
    </w:p>
    <w:p>
      <w:pPr>
        <w:pStyle w:val="TextBody"/>
        <w:jc w:val="left"/>
        <w:rPr>
          <w:rFonts w:ascii="Arial" w:hAnsi="Arial"/>
          <w:sz w:val="20"/>
          <w:highlight w:val="yellow"/>
        </w:rPr>
      </w:pPr>
      <w:r>
        <w:rPr>
          <w:rFonts w:ascii="Arial" w:hAnsi="Arial"/>
          <w:sz w:val="20"/>
          <w:highlight w:val="yellow"/>
        </w:rPr>
        <w:t>The option of one year, two years or three years that receives the most votes will be considered the option recommended by the stockholders. Abstentions and broker non-votes, if any, will have no effect on the outcome of this matter.</w:t>
      </w:r>
    </w:p>
    <w:tbl>
      <w:tblPr>
        <w:tblW w:w="10205" w:type="dxa"/>
        <w:jc w:val="left"/>
        <w:tblInd w:w="0" w:type="dxa"/>
        <w:tblCellMar>
          <w:top w:w="0" w:type="dxa"/>
          <w:left w:w="0" w:type="dxa"/>
          <w:bottom w:w="0" w:type="dxa"/>
          <w:right w:w="0" w:type="dxa"/>
        </w:tblCellMar>
      </w:tblPr>
      <w:tblGrid>
        <w:gridCol w:w="9170"/>
        <w:gridCol w:w="300"/>
        <w:gridCol w:w="735"/>
      </w:tblGrid>
      <w:tr>
        <w:trPr/>
        <w:tc>
          <w:tcPr>
            <w:tcW w:w="9170" w:type="dxa"/>
            <w:tcBorders/>
            <w:shd w:fill="FFFFFF" w:val="clear"/>
            <w:vAlign w:val="center"/>
          </w:tcPr>
          <w:p>
            <w:pPr>
              <w:pStyle w:val="TableContents"/>
              <w:spacing w:before="0" w:after="283"/>
              <w:jc w:val="left"/>
              <w:rPr/>
            </w:pPr>
            <w:r>
              <w:rPr>
                <w:rFonts w:ascii="Arial" w:hAnsi="Arial"/>
                <w:b/>
                <w:color w:val="1A2343"/>
                <w:sz w:val="22"/>
              </w:rPr>
              <w:t xml:space="preserve">The Board unanimously recommends a vote for </w:t>
            </w:r>
            <w:r>
              <w:rPr>
                <w:color w:val="8BA73B"/>
              </w:rPr>
              <w:t>“</w:t>
            </w:r>
            <w:r>
              <w:rPr>
                <w:rFonts w:ascii="Arial" w:hAnsi="Arial"/>
                <w:b/>
                <w:color w:val="8BA73B"/>
                <w:sz w:val="22"/>
              </w:rPr>
              <w:t xml:space="preserve">ONE YEAR” </w:t>
            </w:r>
            <w:r>
              <w:rPr>
                <w:rFonts w:ascii="Arial" w:hAnsi="Arial"/>
                <w:b/>
                <w:color w:val="1A2343"/>
                <w:sz w:val="22"/>
              </w:rPr>
              <w:t>as the frequency for future non-binding advisory votes on the compensation of our named executive officers.</w:t>
            </w:r>
          </w:p>
        </w:tc>
        <w:tc>
          <w:tcPr>
            <w:tcW w:w="300" w:type="dxa"/>
            <w:tcBorders/>
            <w:shd w:fill="FFFFFF" w:val="clear"/>
            <w:vAlign w:val="center"/>
          </w:tcPr>
          <w:p>
            <w:pPr>
              <w:pStyle w:val="TableContents"/>
              <w:spacing w:before="0" w:after="283"/>
              <w:jc w:val="left"/>
              <w:rPr/>
            </w:pPr>
            <w:r>
              <w:rPr/>
              <w:t>     </w:t>
            </w:r>
          </w:p>
        </w:tc>
        <w:tc>
          <w:tcPr>
            <w:tcW w:w="735" w:type="dxa"/>
            <w:tcBorders/>
            <w:shd w:fill="FFFFFF" w:val="clear"/>
            <w:vAlign w:val="center"/>
          </w:tcPr>
          <w:p>
            <w:pPr>
              <w:pStyle w:val="TableContents"/>
              <w:spacing w:before="0" w:after="283"/>
              <w:jc w:val="left"/>
              <w:rPr/>
            </w:pPr>
            <w:r>
              <w:rPr/>
              <w:drawing>
                <wp:inline distT="0" distB="0" distL="0" distR="0">
                  <wp:extent cx="466725" cy="466725"/>
                  <wp:effectExtent l="0" t="0" r="0" b="0"/>
                  <wp:docPr id="507"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362" descr=""/>
                          <pic:cNvPicPr>
                            <a:picLocks noChangeAspect="1" noChangeArrowheads="1"/>
                          </pic:cNvPicPr>
                        </pic:nvPicPr>
                        <pic:blipFill>
                          <a:blip r:embed="rId363"/>
                          <a:srcRect l="-2160" t="-2160" r="-2160" b="-2160"/>
                          <a:stretch>
                            <a:fillRect/>
                          </a:stretch>
                        </pic:blipFill>
                        <pic:spPr bwMode="auto">
                          <a:xfrm>
                            <a:off x="0" y="0"/>
                            <a:ext cx="466725" cy="466725"/>
                          </a:xfrm>
                          <a:prstGeom prst="rect">
                            <a:avLst/>
                          </a:prstGeom>
                          <a:ln w="635">
                            <a:solidFill>
                              <a:srgbClr val="000000"/>
                            </a:solidFill>
                          </a:ln>
                        </pic:spPr>
                      </pic:pic>
                    </a:graphicData>
                  </a:graphic>
                </wp:inline>
              </w:drawing>
            </w:r>
          </w:p>
        </w:tc>
      </w:tr>
    </w:tbl>
    <w:p>
      <w:pPr>
        <w:pStyle w:val="TextBody"/>
        <w:spacing w:before="0" w:after="0"/>
        <w:rPr>
          <w:highlight w:val="yellow"/>
        </w:rPr>
      </w:pPr>
      <w:r>
        <w:rPr>
          <w:highlight w:val="yellow"/>
        </w:rPr>
      </w:r>
    </w:p>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left"/>
              <w:rPr>
                <w:rFonts w:ascii="Arial" w:hAnsi="Arial"/>
                <w:b/>
                <w:color w:val="111741"/>
                <w:sz w:val="24"/>
              </w:rPr>
            </w:pPr>
            <w:r>
              <w:rPr>
                <w:rFonts w:ascii="Arial" w:hAnsi="Arial"/>
                <w:b/>
                <w:color w:val="111741"/>
                <w:sz w:val="24"/>
              </w:rPr>
              <w:t>84</w:t>
            </w:r>
          </w:p>
        </w:tc>
      </w:tr>
    </w:tbl>
    <w:p>
      <w:pPr>
        <w:pStyle w:val="TextBody"/>
        <w:jc w:val="left"/>
        <w:rPr>
          <w:rFonts w:ascii="Arial" w:hAnsi="Arial"/>
          <w:b/>
          <w:color w:val="1A2343"/>
          <w:sz w:val="42"/>
        </w:rPr>
      </w:pPr>
      <w:bookmarkStart w:id="110" w:name="pg_STOCKOWNERSHIPINFORMATION"/>
      <w:bookmarkEnd w:id="110"/>
      <w:r>
        <w:rPr>
          <w:rFonts w:ascii="Arial" w:hAnsi="Arial"/>
          <w:b/>
          <w:color w:val="1A2343"/>
          <w:sz w:val="42"/>
        </w:rPr>
        <w:t>STOCK OWNERSHIP INFORMATION</w:t>
      </w:r>
    </w:p>
    <w:p>
      <w:pPr>
        <w:pStyle w:val="TextBody"/>
        <w:jc w:val="left"/>
        <w:rPr/>
      </w:pPr>
      <w:bookmarkStart w:id="111" w:name="pg_SecurityOwnershipofCertainBeneficialO"/>
      <w:bookmarkEnd w:id="111"/>
      <w:r>
        <w:rPr>
          <w:rStyle w:val="StrongEmphasis"/>
          <w:rFonts w:ascii="Arial" w:hAnsi="Arial"/>
          <w:color w:val="8BA73B"/>
          <w:sz w:val="32"/>
        </w:rPr>
        <w:t>SECURITY OWNERSHIP OF CERTAIN BENEFICIAL OWNERS AND MANAGEMENT</w:t>
      </w:r>
    </w:p>
    <w:p>
      <w:pPr>
        <w:pStyle w:val="TextBody"/>
        <w:jc w:val="left"/>
        <w:rPr>
          <w:rFonts w:ascii="Arial" w:hAnsi="Arial"/>
          <w:sz w:val="20"/>
        </w:rPr>
      </w:pPr>
      <w:r>
        <w:rPr>
          <w:rFonts w:ascii="Arial" w:hAnsi="Arial"/>
          <w:sz w:val="20"/>
        </w:rPr>
        <w:t>The following table sets forth the beneficial ownership of our common stock, $0.01 par value per share, and our common stock and common units in our operating partnership as of March 31, 2023, unless otherwise noted, for (i) each person known to us to be the beneficial owner of more than 5% of our outstanding common stock, (ii) each of our directors, (iii) each of our named executive officers who is not a director and (iv)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w:t>
      </w:r>
    </w:p>
    <w:p>
      <w:pPr>
        <w:pStyle w:val="TextBody"/>
        <w:jc w:val="left"/>
        <w:rPr>
          <w:rFonts w:ascii="Arial" w:hAnsi="Arial"/>
          <w:sz w:val="20"/>
        </w:rPr>
      </w:pPr>
      <w:r>
        <w:rPr>
          <w:rFonts w:ascii="Arial" w:hAnsi="Arial"/>
          <w:sz w:val="20"/>
        </w:rPr>
        <w:t>As of March 31, 2023, the following shares and units were outstanding: (i) 65,433,143 shares of our common stock, (ii) 963,423 common units in our operating partnership (other than the units held by us) and (iii) 3,275,912 LTIP units (excluding unearned performance-based LTIP units, which may be earned based on the achievement of performance-based vesting hurdles).</w:t>
      </w:r>
    </w:p>
    <w:tbl>
      <w:tblPr>
        <w:tblW w:w="10205" w:type="dxa"/>
        <w:jc w:val="left"/>
        <w:tblInd w:w="0" w:type="dxa"/>
        <w:tblCellMar>
          <w:top w:w="0" w:type="dxa"/>
          <w:left w:w="0" w:type="dxa"/>
          <w:bottom w:w="0" w:type="dxa"/>
          <w:right w:w="0" w:type="dxa"/>
        </w:tblCellMar>
      </w:tblPr>
      <w:tblGrid>
        <w:gridCol w:w="5500"/>
        <w:gridCol w:w="300"/>
        <w:gridCol w:w="980"/>
        <w:gridCol w:w="300"/>
        <w:gridCol w:w="731"/>
        <w:gridCol w:w="300"/>
        <w:gridCol w:w="980"/>
        <w:gridCol w:w="300"/>
        <w:gridCol w:w="814"/>
      </w:tblGrid>
      <w:tr>
        <w:trPr/>
        <w:tc>
          <w:tcPr>
            <w:tcW w:w="55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011" w:type="dxa"/>
            <w:gridSpan w:val="3"/>
            <w:tcBorders>
              <w:bottom w:val="single" w:sz="12" w:space="0" w:color="1A2343"/>
            </w:tcBorders>
            <w:shd w:fill="auto" w:val="clear"/>
            <w:tcMar>
              <w:bottom w:w="40" w:type="dxa"/>
            </w:tcMar>
            <w:vAlign w:val="center"/>
          </w:tcPr>
          <w:p>
            <w:pPr>
              <w:pStyle w:val="TableContents"/>
              <w:spacing w:before="0" w:after="283"/>
              <w:jc w:val="center"/>
              <w:rPr>
                <w:rFonts w:ascii="Arial" w:hAnsi="Arial"/>
                <w:color w:val="1A2343"/>
                <w:sz w:val="15"/>
              </w:rPr>
            </w:pPr>
            <w:r>
              <w:rPr>
                <w:rFonts w:ascii="Arial" w:hAnsi="Arial"/>
                <w:color w:val="1A2343"/>
                <w:sz w:val="15"/>
              </w:rPr>
              <w:t>Common Stock</w:t>
            </w:r>
          </w:p>
        </w:tc>
        <w:tc>
          <w:tcPr>
            <w:tcW w:w="300" w:type="dxa"/>
            <w:tcBorders/>
            <w:shd w:fill="auto" w:val="clear"/>
            <w:vAlign w:val="center"/>
          </w:tcPr>
          <w:p>
            <w:pPr>
              <w:pStyle w:val="TableContents"/>
              <w:spacing w:before="0" w:after="283"/>
              <w:rPr>
                <w:sz w:val="4"/>
                <w:szCs w:val="4"/>
              </w:rPr>
            </w:pPr>
            <w:r>
              <w:rPr>
                <w:sz w:val="4"/>
                <w:szCs w:val="4"/>
              </w:rPr>
            </w:r>
          </w:p>
        </w:tc>
        <w:tc>
          <w:tcPr>
            <w:tcW w:w="2094" w:type="dxa"/>
            <w:gridSpan w:val="3"/>
            <w:tcBorders>
              <w:bottom w:val="single" w:sz="12" w:space="0" w:color="1A2343"/>
            </w:tcBorders>
            <w:shd w:fill="auto" w:val="clear"/>
            <w:tcMar>
              <w:bottom w:w="40" w:type="dxa"/>
            </w:tcMar>
            <w:vAlign w:val="center"/>
          </w:tcPr>
          <w:p>
            <w:pPr>
              <w:pStyle w:val="TableContents"/>
              <w:spacing w:before="0" w:after="283"/>
              <w:jc w:val="center"/>
              <w:rPr>
                <w:rFonts w:ascii="Arial" w:hAnsi="Arial"/>
                <w:color w:val="1A2343"/>
                <w:sz w:val="15"/>
              </w:rPr>
            </w:pPr>
            <w:r>
              <w:rPr>
                <w:rFonts w:ascii="Arial" w:hAnsi="Arial"/>
                <w:color w:val="1A2343"/>
                <w:sz w:val="15"/>
              </w:rPr>
              <w:t>Common Stock and Units</w:t>
            </w:r>
          </w:p>
        </w:tc>
      </w:tr>
      <w:tr>
        <w:trPr/>
        <w:tc>
          <w:tcPr>
            <w:tcW w:w="5500" w:type="dxa"/>
            <w:tcBorders>
              <w:bottom w:val="single" w:sz="12" w:space="0" w:color="1A2343"/>
            </w:tcBorders>
            <w:shd w:fill="auto" w:val="clear"/>
            <w:tcMar>
              <w:bottom w:w="40" w:type="dxa"/>
            </w:tcMar>
            <w:vAlign w:val="center"/>
          </w:tcPr>
          <w:p>
            <w:pPr>
              <w:pStyle w:val="TableContents"/>
              <w:spacing w:before="0" w:after="283"/>
              <w:jc w:val="left"/>
              <w:rPr>
                <w:rFonts w:ascii="Arial" w:hAnsi="Arial"/>
                <w:color w:val="1A2343"/>
                <w:sz w:val="15"/>
              </w:rPr>
            </w:pPr>
            <w:r>
              <w:rPr>
                <w:rFonts w:ascii="Arial" w:hAnsi="Arial"/>
                <w:color w:val="1A2343"/>
                <w:sz w:val="15"/>
              </w:rPr>
              <w:t>Name**</w:t>
            </w:r>
          </w:p>
        </w:tc>
        <w:tc>
          <w:tcPr>
            <w:tcW w:w="300" w:type="dxa"/>
            <w:tcBorders/>
            <w:shd w:fill="auto" w:val="clear"/>
            <w:vAlign w:val="center"/>
          </w:tcPr>
          <w:p>
            <w:pPr>
              <w:pStyle w:val="TableContents"/>
              <w:spacing w:before="0" w:after="283"/>
              <w:jc w:val="right"/>
              <w:rPr/>
            </w:pPr>
            <w:r>
              <w:rPr/>
              <w:t>     </w:t>
            </w:r>
          </w:p>
        </w:tc>
        <w:tc>
          <w:tcPr>
            <w:tcW w:w="98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Number</w:t>
              <w:br/>
              <w:t>of Shares</w:t>
              <w:br/>
              <w:t>Beneficially</w:t>
              <w:br/>
              <w:t>Owned</w:t>
            </w:r>
            <w:r>
              <w:rPr>
                <w:rFonts w:ascii="Arial" w:hAnsi="Arial"/>
                <w:color w:val="1A2343"/>
                <w:position w:val="5"/>
                <w:sz w:val="12"/>
                <w:sz w:val="15"/>
              </w:rPr>
              <w:t>(1)</w:t>
            </w:r>
          </w:p>
        </w:tc>
        <w:tc>
          <w:tcPr>
            <w:tcW w:w="300" w:type="dxa"/>
            <w:tcBorders/>
            <w:shd w:fill="auto" w:val="clear"/>
            <w:vAlign w:val="center"/>
          </w:tcPr>
          <w:p>
            <w:pPr>
              <w:pStyle w:val="TableContents"/>
              <w:spacing w:before="0" w:after="283"/>
              <w:jc w:val="right"/>
              <w:rPr/>
            </w:pPr>
            <w:r>
              <w:rPr/>
              <w:t>     </w:t>
            </w:r>
          </w:p>
        </w:tc>
        <w:tc>
          <w:tcPr>
            <w:tcW w:w="731"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Percent of</w:t>
              <w:br/>
              <w:t>Common</w:t>
              <w:br/>
              <w:t>Stock</w:t>
            </w:r>
            <w:r>
              <w:rPr>
                <w:rFonts w:ascii="Arial" w:hAnsi="Arial"/>
                <w:color w:val="1A2343"/>
                <w:position w:val="5"/>
                <w:sz w:val="12"/>
                <w:sz w:val="15"/>
              </w:rPr>
              <w:t>(2)</w:t>
            </w:r>
          </w:p>
        </w:tc>
        <w:tc>
          <w:tcPr>
            <w:tcW w:w="300" w:type="dxa"/>
            <w:tcBorders/>
            <w:shd w:fill="auto" w:val="clear"/>
            <w:vAlign w:val="center"/>
          </w:tcPr>
          <w:p>
            <w:pPr>
              <w:pStyle w:val="TableContents"/>
              <w:spacing w:before="0" w:after="283"/>
              <w:jc w:val="right"/>
              <w:rPr/>
            </w:pPr>
            <w:r>
              <w:rPr/>
              <w:t>     </w:t>
            </w:r>
          </w:p>
        </w:tc>
        <w:tc>
          <w:tcPr>
            <w:tcW w:w="98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Number of</w:t>
              <w:br/>
              <w:t>Shares and</w:t>
              <w:br/>
              <w:t>Units</w:t>
              <w:br/>
              <w:t>Beneficially</w:t>
              <w:br/>
              <w:t>Owned</w:t>
            </w:r>
            <w:r>
              <w:rPr>
                <w:rFonts w:ascii="Arial" w:hAnsi="Arial"/>
                <w:color w:val="1A2343"/>
                <w:position w:val="5"/>
                <w:sz w:val="12"/>
                <w:sz w:val="15"/>
              </w:rPr>
              <w:t>(1)</w:t>
            </w:r>
          </w:p>
        </w:tc>
        <w:tc>
          <w:tcPr>
            <w:tcW w:w="300" w:type="dxa"/>
            <w:tcBorders/>
            <w:shd w:fill="auto" w:val="clear"/>
            <w:vAlign w:val="center"/>
          </w:tcPr>
          <w:p>
            <w:pPr>
              <w:pStyle w:val="TableContents"/>
              <w:spacing w:before="0" w:after="283"/>
              <w:jc w:val="right"/>
              <w:rPr/>
            </w:pPr>
            <w:r>
              <w:rPr/>
              <w:t>     </w:t>
            </w:r>
          </w:p>
        </w:tc>
        <w:tc>
          <w:tcPr>
            <w:tcW w:w="814"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Percent of</w:t>
              <w:br/>
              <w:t>Common</w:t>
              <w:br/>
              <w:t>Stock</w:t>
              <w:br/>
              <w:t>and Units</w:t>
            </w:r>
            <w:r>
              <w:rPr>
                <w:rFonts w:ascii="Arial" w:hAnsi="Arial"/>
                <w:color w:val="1A2343"/>
                <w:position w:val="5"/>
                <w:sz w:val="12"/>
                <w:sz w:val="15"/>
              </w:rPr>
              <w:t>(2)</w:t>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rFonts w:ascii="Arial" w:hAnsi="Arial"/>
                <w:b/>
                <w:color w:val="1A2343"/>
                <w:sz w:val="20"/>
              </w:rPr>
            </w:pPr>
            <w:r>
              <w:rPr>
                <w:rFonts w:ascii="Arial" w:hAnsi="Arial"/>
                <w:b/>
                <w:color w:val="1A2343"/>
                <w:sz w:val="20"/>
              </w:rPr>
              <w:t>5% HOLDERS</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BlackRock, Inc.</w:t>
            </w:r>
            <w:r>
              <w:rPr>
                <w:rFonts w:ascii="Arial" w:hAnsi="Arial"/>
                <w:position w:val="7"/>
                <w:sz w:val="16"/>
                <w:sz w:val="20"/>
              </w:rPr>
              <w:t>(3)</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10,257,395</w:t>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15.68%</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10,257,395</w:t>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14.72%</w:t>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The Vanguard Group</w:t>
            </w:r>
            <w:r>
              <w:rPr>
                <w:rFonts w:ascii="Arial" w:hAnsi="Arial"/>
                <w:position w:val="7"/>
                <w:sz w:val="16"/>
                <w:sz w:val="20"/>
              </w:rPr>
              <w:t>(4)</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9,442,145</w:t>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14.43%</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9,442,145</w:t>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13.55%</w:t>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State Street Corporation</w:t>
            </w:r>
            <w:r>
              <w:rPr>
                <w:rFonts w:ascii="Arial" w:hAnsi="Arial"/>
                <w:position w:val="7"/>
                <w:sz w:val="16"/>
                <w:sz w:val="20"/>
              </w:rPr>
              <w:t>(5)</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3,748,307</w:t>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5.73%</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3,748,307</w:t>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5.38%</w:t>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Directors, Nominees for Director and Named Executive Officers</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John H. Alschuler</w:t>
            </w:r>
            <w:r>
              <w:rPr>
                <w:rFonts w:ascii="Arial" w:hAnsi="Arial"/>
                <w:position w:val="7"/>
                <w:sz w:val="16"/>
                <w:sz w:val="20"/>
              </w:rPr>
              <w:t>(6)</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9,085</w:t>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32,996</w:t>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Betsy S. Atkins</w:t>
            </w:r>
            <w:r>
              <w:rPr>
                <w:rFonts w:ascii="Arial" w:hAnsi="Arial"/>
                <w:position w:val="7"/>
                <w:sz w:val="16"/>
                <w:sz w:val="20"/>
              </w:rPr>
              <w:t>(7)</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16,555</w:t>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18,308</w:t>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Carol N. Brown</w:t>
            </w:r>
            <w:r>
              <w:rPr>
                <w:rFonts w:ascii="Arial" w:hAnsi="Arial"/>
                <w:position w:val="7"/>
                <w:sz w:val="16"/>
                <w:sz w:val="20"/>
              </w:rPr>
              <w:t>(8)</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9,784</w:t>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Edwin T. Burton, III</w:t>
            </w:r>
            <w:r>
              <w:rPr>
                <w:rFonts w:ascii="Arial" w:hAnsi="Arial"/>
                <w:position w:val="7"/>
                <w:sz w:val="16"/>
                <w:sz w:val="20"/>
              </w:rPr>
              <w:t>(9)</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6,889</w:t>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42,323</w:t>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Matthew J. DiLiberto</w:t>
            </w:r>
            <w:r>
              <w:rPr>
                <w:rFonts w:ascii="Arial" w:hAnsi="Arial"/>
                <w:position w:val="7"/>
                <w:sz w:val="16"/>
                <w:sz w:val="20"/>
              </w:rPr>
              <w:t>(10)</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3,311</w:t>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167,996</w:t>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Lauren B. Dillard</w:t>
            </w:r>
            <w:r>
              <w:rPr>
                <w:rFonts w:ascii="Arial" w:hAnsi="Arial"/>
                <w:position w:val="7"/>
                <w:sz w:val="16"/>
                <w:sz w:val="20"/>
              </w:rPr>
              <w:t>(11)</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6,889</w:t>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40,895</w:t>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Stephen L. Green</w:t>
            </w:r>
            <w:r>
              <w:rPr>
                <w:rFonts w:ascii="Arial" w:hAnsi="Arial"/>
                <w:position w:val="7"/>
                <w:sz w:val="16"/>
                <w:sz w:val="20"/>
              </w:rPr>
              <w:t>(12)</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851,006</w:t>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1.22%</w:t>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Craig M. Hatkoff</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2,052</w:t>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2,052</w:t>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Marc Holliday</w:t>
            </w:r>
            <w:r>
              <w:rPr>
                <w:rFonts w:ascii="Arial" w:hAnsi="Arial"/>
                <w:position w:val="7"/>
                <w:sz w:val="16"/>
                <w:sz w:val="20"/>
              </w:rPr>
              <w:t>(13)</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9,741</w:t>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1,165,765</w:t>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1.67%</w:t>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Andrew S. Levine</w:t>
            </w:r>
            <w:r>
              <w:rPr>
                <w:rFonts w:ascii="Arial" w:hAnsi="Arial"/>
                <w:position w:val="7"/>
                <w:sz w:val="16"/>
                <w:sz w:val="20"/>
              </w:rPr>
              <w:t>(14)</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22,977</w:t>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238,141</w:t>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John S. Levy</w:t>
            </w:r>
            <w:r>
              <w:rPr>
                <w:rFonts w:ascii="Arial" w:hAnsi="Arial"/>
                <w:position w:val="7"/>
                <w:sz w:val="16"/>
                <w:sz w:val="20"/>
              </w:rPr>
              <w:t>(15)</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28,482</w:t>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125,583</w:t>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r>
      <w:tr>
        <w:trPr/>
        <w:tc>
          <w:tcPr>
            <w:tcW w:w="550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Andrew Mathias</w:t>
            </w:r>
            <w:r>
              <w:rPr>
                <w:rFonts w:ascii="Arial" w:hAnsi="Arial"/>
                <w:position w:val="7"/>
                <w:sz w:val="16"/>
                <w:sz w:val="20"/>
              </w:rPr>
              <w:t>(16)</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248,674</w:t>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1,221,090</w:t>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1.75%</w:t>
            </w:r>
          </w:p>
        </w:tc>
      </w:tr>
      <w:tr>
        <w:trPr/>
        <w:tc>
          <w:tcPr>
            <w:tcW w:w="5500" w:type="dxa"/>
            <w:tcBorders>
              <w:bottom w:val="single" w:sz="12" w:space="0" w:color="1A2343"/>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All Directors and Executive Officers as a Group (12 Persons)</w:t>
            </w:r>
            <w:r>
              <w:rPr>
                <w:rStyle w:val="StrongEmphasis"/>
                <w:rFonts w:ascii="Arial" w:hAnsi="Arial"/>
                <w:color w:val="1A2343"/>
                <w:position w:val="7"/>
                <w:sz w:val="16"/>
                <w:sz w:val="20"/>
              </w:rPr>
              <w:t>(17)</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354,654</w:t>
            </w:r>
          </w:p>
        </w:tc>
        <w:tc>
          <w:tcPr>
            <w:tcW w:w="300" w:type="dxa"/>
            <w:tcBorders/>
            <w:shd w:fill="auto" w:val="clear"/>
            <w:vAlign w:val="center"/>
          </w:tcPr>
          <w:p>
            <w:pPr>
              <w:pStyle w:val="TableContents"/>
              <w:spacing w:before="0" w:after="283"/>
              <w:rPr>
                <w:sz w:val="4"/>
                <w:szCs w:val="4"/>
              </w:rPr>
            </w:pPr>
            <w:r>
              <w:rPr>
                <w:sz w:val="4"/>
                <w:szCs w:val="4"/>
              </w:rPr>
            </w:r>
          </w:p>
        </w:tc>
        <w:tc>
          <w:tcPr>
            <w:tcW w:w="731"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980"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3,915,937</w:t>
            </w:r>
          </w:p>
        </w:tc>
        <w:tc>
          <w:tcPr>
            <w:tcW w:w="300" w:type="dxa"/>
            <w:tcBorders/>
            <w:shd w:fill="auto" w:val="clear"/>
            <w:vAlign w:val="center"/>
          </w:tcPr>
          <w:p>
            <w:pPr>
              <w:pStyle w:val="TableContents"/>
              <w:spacing w:before="0" w:after="283"/>
              <w:rPr>
                <w:sz w:val="4"/>
                <w:szCs w:val="4"/>
              </w:rPr>
            </w:pPr>
            <w:r>
              <w:rPr>
                <w:sz w:val="4"/>
                <w:szCs w:val="4"/>
              </w:rPr>
            </w:r>
          </w:p>
        </w:tc>
        <w:tc>
          <w:tcPr>
            <w:tcW w:w="814"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5.60%</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10035" w:type="dxa"/>
            <w:tcBorders/>
            <w:shd w:fill="auto" w:val="clear"/>
            <w:vAlign w:val="center"/>
          </w:tcPr>
          <w:p>
            <w:pPr>
              <w:pStyle w:val="TableContents"/>
              <w:spacing w:before="0" w:after="283"/>
              <w:jc w:val="left"/>
              <w:rPr>
                <w:rFonts w:ascii="Arial" w:hAnsi="Arial"/>
                <w:sz w:val="15"/>
              </w:rPr>
            </w:pPr>
            <w:r>
              <w:rPr>
                <w:rFonts w:ascii="Arial" w:hAnsi="Arial"/>
                <w:sz w:val="15"/>
              </w:rPr>
              <w:t>Less than 1%.</w:t>
            </w:r>
          </w:p>
        </w:tc>
      </w:tr>
      <w:tr>
        <w:trPr/>
        <w:tc>
          <w:tcPr>
            <w:tcW w:w="170" w:type="dxa"/>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10035" w:type="dxa"/>
            <w:tcBorders/>
            <w:shd w:fill="auto" w:val="clear"/>
            <w:vAlign w:val="center"/>
          </w:tcPr>
          <w:p>
            <w:pPr>
              <w:pStyle w:val="TableContents"/>
              <w:spacing w:before="0" w:after="283"/>
              <w:jc w:val="left"/>
              <w:rPr>
                <w:rFonts w:ascii="Arial" w:hAnsi="Arial"/>
                <w:sz w:val="15"/>
              </w:rPr>
            </w:pPr>
            <w:r>
              <w:rPr>
                <w:rFonts w:ascii="Arial" w:hAnsi="Arial"/>
                <w:sz w:val="15"/>
              </w:rPr>
              <w:t>Unless otherwise indicated, the business address is One Vanderbilt Avenue, 28th Floor, New York, New York 10017-3852.</w:t>
            </w:r>
          </w:p>
        </w:tc>
      </w:tr>
      <w:tr>
        <w:trPr/>
        <w:tc>
          <w:tcPr>
            <w:tcW w:w="170"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10035" w:type="dxa"/>
            <w:tcBorders/>
            <w:shd w:fill="auto" w:val="clear"/>
            <w:vAlign w:val="center"/>
          </w:tcPr>
          <w:p>
            <w:pPr>
              <w:pStyle w:val="TableContents"/>
              <w:spacing w:before="0" w:after="283"/>
              <w:jc w:val="left"/>
              <w:rPr>
                <w:rFonts w:ascii="Arial" w:hAnsi="Arial"/>
                <w:sz w:val="15"/>
              </w:rPr>
            </w:pPr>
            <w:r>
              <w:rPr>
                <w:rFonts w:ascii="Arial" w:hAnsi="Arial"/>
                <w:sz w:val="15"/>
              </w:rPr>
              <w:t>The number of shares of common stock “beneficially owned” by each beneficial owner is determined under rules issued by the SEC regarding the beneficial ownership of securities. This information is not necessarily indicative of beneficial ownership for any other purpose. “Number of Shares Beneficially Owned” includes shares of common stock that may be acquired upon the exercise of options</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965" w:type="dxa"/>
        <w:jc w:val="left"/>
        <w:tblInd w:w="0" w:type="dxa"/>
        <w:tblCellMar>
          <w:top w:w="0" w:type="dxa"/>
          <w:left w:w="0" w:type="dxa"/>
          <w:bottom w:w="0" w:type="dxa"/>
          <w:right w:w="0" w:type="dxa"/>
        </w:tblCellMar>
      </w:tblPr>
      <w:tblGrid>
        <w:gridCol w:w="2675"/>
        <w:gridCol w:w="290"/>
      </w:tblGrid>
      <w:tr>
        <w:trPr/>
        <w:tc>
          <w:tcPr>
            <w:tcW w:w="2675" w:type="dxa"/>
            <w:tcBorders/>
            <w:shd w:fill="auto" w:val="clear"/>
            <w:vAlign w:val="center"/>
          </w:tcPr>
          <w:p>
            <w:pPr>
              <w:pStyle w:val="TableContents"/>
              <w:spacing w:before="0" w:after="283"/>
              <w:jc w:val="left"/>
              <w:rPr/>
            </w:pPr>
            <w:r>
              <w:rPr>
                <w:rFonts w:ascii="Arial" w:hAnsi="Arial"/>
                <w:b/>
                <w:sz w:val="15"/>
              </w:rPr>
              <w:t>STOCK OWNERSHIP INFORMATION</w:t>
            </w:r>
            <w:r>
              <w:rPr/>
              <w:t xml:space="preserve"> </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85</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rPr>
                <w:sz w:val="4"/>
                <w:szCs w:val="4"/>
              </w:rPr>
            </w:pPr>
            <w:r>
              <w:rPr>
                <w:sz w:val="4"/>
                <w:szCs w:val="4"/>
              </w:rPr>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that are exercisable on or within 60 days after March 31, 2023. The “Number of Shares and Units Beneficially Owned” includes all shares included in the “Number of Shares Beneficially Owned” column plus (i) the number of shares of common stock for which common units and LTIP units may be redeemed (assuming, in the case of LTIP units, that they have first been converted into common units) regardless of whether such common units and LTIP units are currently redeemable, but excluding unearned performance-based LTIP units and (ii) the number of shares of common stock issuable upon settlement of outstanding phantom units. Class O LTIP units are not included in the “Number of Shares and Units Beneficially Owned.” Class O LTIP units are not economically equivalent to common units, but vested Class O LTIP units may be converted in a manner similar to a net exercise of a stock option into a number of common units that will vary based on the value of the common units upon conversion and the conversion threshold for the Class O LTIP units. Common units are generally redeemable by the holder for cash or, at our election, on a one-for-one basis into shares of our common stock. LTIP units, subject to the satisfaction of certain conditions, may be converted on a one-for-one basis into common units. Holders of common units, LTIP units and phantom units are not entitled to vote such units on any of the matters presented at the 2023 annual meeting.</w:t>
            </w:r>
          </w:p>
        </w:tc>
      </w:tr>
      <w:tr>
        <w:trPr/>
        <w:tc>
          <w:tcPr>
            <w:tcW w:w="252" w:type="dxa"/>
            <w:tcBorders/>
            <w:shd w:fill="auto" w:val="clear"/>
            <w:vAlign w:val="center"/>
          </w:tcPr>
          <w:p>
            <w:pPr>
              <w:pStyle w:val="TableContents"/>
              <w:spacing w:before="0" w:after="283"/>
              <w:jc w:val="left"/>
              <w:rPr>
                <w:rFonts w:ascii="Arial" w:hAnsi="Arial"/>
                <w:sz w:val="15"/>
              </w:rPr>
            </w:pPr>
            <w:r>
              <w:rPr>
                <w:rFonts w:ascii="Arial" w:hAnsi="Arial"/>
                <w:sz w:val="15"/>
              </w:rPr>
              <w:t xml:space="preserve">(2) </w:t>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The total number of shares outstanding used in calculating the percentage of common stock held by each person assumes the exercise of all options to acquire shares of common stock that are exercisable on or within 60 days after March 31, 2023 held by the beneficial owner and that no options held by other beneficial owners are exercised. The total number of shares and units outstanding used in calculating the percentage of common stock and units held by each person (a) assumes that all common units and LTIP units (other than unearned performance-based LTIP units) are vested in full and presented (assuming conversion in full into common units, if applicable) to our operating partnership for redemption and are acquired by us for shares of common stock, (b) does not separately include outstanding common units held by us, as these common units are already reflected in the denominator by the inclusion of all outstanding shares of common stock and (c) assumes the exercise of all options to acquire shares of common stock that are exercisable on or within 60 days after March 31, 2023 and settlement for an equal number of shares of common stock of all phantom units held by the beneficial owner and that no options or phantom units held by other beneficial owners are exercised or settled.</w:t>
            </w:r>
          </w:p>
        </w:tc>
      </w:tr>
      <w:tr>
        <w:trPr/>
        <w:tc>
          <w:tcPr>
            <w:tcW w:w="252" w:type="dxa"/>
            <w:tcBorders/>
            <w:shd w:fill="auto" w:val="clear"/>
            <w:vAlign w:val="center"/>
          </w:tcPr>
          <w:p>
            <w:pPr>
              <w:pStyle w:val="TableContents"/>
              <w:spacing w:before="0" w:after="283"/>
              <w:jc w:val="left"/>
              <w:rPr>
                <w:rFonts w:ascii="Arial" w:hAnsi="Arial"/>
                <w:sz w:val="15"/>
              </w:rPr>
            </w:pPr>
            <w:r>
              <w:rPr>
                <w:rFonts w:ascii="Arial" w:hAnsi="Arial"/>
                <w:sz w:val="15"/>
              </w:rPr>
              <w:t xml:space="preserve">(3) </w:t>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Based on information provided on a Schedule 13G filed with the SEC on January 23, 2023, as of December 31, 2022, by BlackRock, Inc. BlackRock, Inc. reported sole voting power with respect to 9,693,228 shares and sole dispositive power with respect to 10,257,395 shares. The business address for BlackRock, Inc. is 55 East 52nd Street, New York, NY 10022.</w:t>
            </w:r>
          </w:p>
        </w:tc>
      </w:tr>
      <w:tr>
        <w:trPr/>
        <w:tc>
          <w:tcPr>
            <w:tcW w:w="252" w:type="dxa"/>
            <w:tcBorders/>
            <w:shd w:fill="auto" w:val="clear"/>
            <w:vAlign w:val="center"/>
          </w:tcPr>
          <w:p>
            <w:pPr>
              <w:pStyle w:val="TableContents"/>
              <w:spacing w:before="0" w:after="283"/>
              <w:jc w:val="left"/>
              <w:rPr>
                <w:rFonts w:ascii="Arial" w:hAnsi="Arial"/>
                <w:sz w:val="15"/>
              </w:rPr>
            </w:pPr>
            <w:r>
              <w:rPr>
                <w:rFonts w:ascii="Arial" w:hAnsi="Arial"/>
                <w:sz w:val="15"/>
              </w:rPr>
              <w:t xml:space="preserve">(4) </w:t>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Based on information provided on a Schedule 13G/A filed with the SEC on February 9, 2023, as of December 30, 2022, by The Vanguard Group, or Vanguard. Vanguard reported shared voting power with respect to 78,757 shares, sole dispositive power with respect to 9,299,788 shares and shared dispositive power with respect to 142,358 shares. The business address of Vanguard is 100 Vanguard Blvd., Malvern, PA 19355.</w:t>
            </w:r>
          </w:p>
        </w:tc>
      </w:tr>
      <w:tr>
        <w:trPr/>
        <w:tc>
          <w:tcPr>
            <w:tcW w:w="252" w:type="dxa"/>
            <w:tcBorders/>
            <w:shd w:fill="auto" w:val="clear"/>
            <w:vAlign w:val="center"/>
          </w:tcPr>
          <w:p>
            <w:pPr>
              <w:pStyle w:val="TableContents"/>
              <w:spacing w:before="0" w:after="283"/>
              <w:jc w:val="left"/>
              <w:rPr>
                <w:rFonts w:ascii="Arial" w:hAnsi="Arial"/>
                <w:sz w:val="15"/>
              </w:rPr>
            </w:pPr>
            <w:r>
              <w:rPr>
                <w:rFonts w:ascii="Arial" w:hAnsi="Arial"/>
                <w:sz w:val="15"/>
              </w:rPr>
              <w:t xml:space="preserve">(5) </w:t>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Based on information provided on a Schedule 13G/A filed with the SEC on February 7, 2023 as of December 31, 2022, by State Street Corporation. State Street Corporation reported shared voting power with respect to 2,830,444 shares and shared dispositive power with respect to 3,748,307 shares. The business address for State Street Corporation is One Lincoln Street, Boston, MA 02111.</w:t>
            </w:r>
          </w:p>
        </w:tc>
      </w:tr>
      <w:tr>
        <w:trPr/>
        <w:tc>
          <w:tcPr>
            <w:tcW w:w="252" w:type="dxa"/>
            <w:tcBorders/>
            <w:shd w:fill="auto" w:val="clear"/>
            <w:vAlign w:val="center"/>
          </w:tcPr>
          <w:p>
            <w:pPr>
              <w:pStyle w:val="TableContents"/>
              <w:spacing w:before="0" w:after="283"/>
              <w:jc w:val="left"/>
              <w:rPr>
                <w:rFonts w:ascii="Arial" w:hAnsi="Arial"/>
                <w:sz w:val="15"/>
              </w:rPr>
            </w:pPr>
            <w:r>
              <w:rPr>
                <w:rFonts w:ascii="Arial" w:hAnsi="Arial"/>
                <w:sz w:val="15"/>
              </w:rPr>
              <w:t xml:space="preserve">(6) </w:t>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Includes 8,500 shares of our common stock subject to options exercisable within 60 days of March 31, 2023. Also includes, only under the “Number of Shares and Units Beneficially Owned” column, 23,911 phantom units.</w:t>
            </w:r>
          </w:p>
        </w:tc>
      </w:tr>
      <w:tr>
        <w:trPr/>
        <w:tc>
          <w:tcPr>
            <w:tcW w:w="252" w:type="dxa"/>
            <w:tcBorders/>
            <w:shd w:fill="auto" w:val="clear"/>
            <w:vAlign w:val="center"/>
          </w:tcPr>
          <w:p>
            <w:pPr>
              <w:pStyle w:val="TableContents"/>
              <w:spacing w:before="0" w:after="283"/>
              <w:jc w:val="left"/>
              <w:rPr>
                <w:rFonts w:ascii="Arial" w:hAnsi="Arial"/>
                <w:sz w:val="15"/>
              </w:rPr>
            </w:pPr>
            <w:r>
              <w:rPr>
                <w:rFonts w:ascii="Arial" w:hAnsi="Arial"/>
                <w:sz w:val="15"/>
              </w:rPr>
              <w:t xml:space="preserve">(7) </w:t>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Includes, only under the “Number of Shares and Units Beneficially Owned” column, 1,753 phantom units.</w:t>
            </w:r>
          </w:p>
        </w:tc>
      </w:tr>
      <w:tr>
        <w:trPr/>
        <w:tc>
          <w:tcPr>
            <w:tcW w:w="252" w:type="dxa"/>
            <w:tcBorders/>
            <w:shd w:fill="auto" w:val="clear"/>
            <w:vAlign w:val="center"/>
          </w:tcPr>
          <w:p>
            <w:pPr>
              <w:pStyle w:val="TableContents"/>
              <w:spacing w:before="0" w:after="283"/>
              <w:jc w:val="left"/>
              <w:rPr>
                <w:rFonts w:ascii="Arial" w:hAnsi="Arial"/>
                <w:sz w:val="15"/>
              </w:rPr>
            </w:pPr>
            <w:r>
              <w:rPr>
                <w:rFonts w:ascii="Arial" w:hAnsi="Arial"/>
                <w:sz w:val="15"/>
              </w:rPr>
              <w:t xml:space="preserve">(8) </w:t>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Includes, only under the “Number of Shares and Units Beneficially Owned” column, 9,784 phantom units.</w:t>
            </w:r>
          </w:p>
        </w:tc>
      </w:tr>
      <w:tr>
        <w:trPr/>
        <w:tc>
          <w:tcPr>
            <w:tcW w:w="252" w:type="dxa"/>
            <w:tcBorders/>
            <w:shd w:fill="auto" w:val="clear"/>
            <w:vAlign w:val="center"/>
          </w:tcPr>
          <w:p>
            <w:pPr>
              <w:pStyle w:val="TableContents"/>
              <w:spacing w:before="0" w:after="283"/>
              <w:jc w:val="left"/>
              <w:rPr>
                <w:rFonts w:ascii="Arial" w:hAnsi="Arial"/>
                <w:sz w:val="15"/>
              </w:rPr>
            </w:pPr>
            <w:r>
              <w:rPr>
                <w:rFonts w:ascii="Arial" w:hAnsi="Arial"/>
                <w:sz w:val="15"/>
              </w:rPr>
              <w:t xml:space="preserve">(9) </w:t>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Includes, only under the “Number of Shares and Units Beneficially Owned” column, 35,434 phantom units.</w:t>
            </w:r>
          </w:p>
        </w:tc>
      </w:tr>
      <w:tr>
        <w:trPr/>
        <w:tc>
          <w:tcPr>
            <w:tcW w:w="252"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(10) </w:t>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Includes, only under the “Number of Shares and Units Beneficially Owned” column, 164,685 LTIP units (of which 66,340 LTIP units are subject to vesting). The totals exclude 15,000 Class O LTIP units and all unearned performance-based LTIP units.</w:t>
            </w:r>
          </w:p>
        </w:tc>
      </w:tr>
      <w:tr>
        <w:trPr/>
        <w:tc>
          <w:tcPr>
            <w:tcW w:w="252"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(11) </w:t>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Includes, only under the “Number of Shares and Units Beneficially Owned” column, 34,006 phantom units.</w:t>
            </w:r>
          </w:p>
        </w:tc>
      </w:tr>
      <w:tr>
        <w:trPr/>
        <w:tc>
          <w:tcPr>
            <w:tcW w:w="252"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(12) </w:t>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Includes, only under the “Number of Shares and Units Beneficially Owned” column, 664,097 common units, 167,134 LTIP units and 19,775 phantom units.</w:t>
            </w:r>
          </w:p>
        </w:tc>
      </w:tr>
      <w:tr>
        <w:trPr/>
        <w:tc>
          <w:tcPr>
            <w:tcW w:w="252"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(13) </w:t>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Includes, only under the “Number of Shares and Units Beneficially Owned” column, 1,156,024 LTIP units (of which 395,629 LTIP units are subject to vesting). The totals exclude 105,000 Class O LTIP units and all unearned performance-based LTIP units.</w:t>
            </w:r>
          </w:p>
        </w:tc>
      </w:tr>
      <w:tr>
        <w:trPr/>
        <w:tc>
          <w:tcPr>
            <w:tcW w:w="252"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(14) </w:t>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Includes 12,500 shares of our common stock subject to options exercisable within 60 days of March 31, 2023. Includes, only under the “Number of Shares and Units Beneficially Owned” column, 215,164 LTIP units (of which 74,470 LTIP units are subject to vesting). The totals exclude 15,000 Class O LTIP units and all unearned performance-based LTIP units.</w:t>
            </w:r>
          </w:p>
        </w:tc>
      </w:tr>
      <w:tr>
        <w:trPr/>
        <w:tc>
          <w:tcPr>
            <w:tcW w:w="252"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(15) </w:t>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Includes 8,500 shares of our common stock subject to options exercisable within 60 days of March 31, 2023. Also includes, only under the “Number of Shares and Units Beneficially Owned” column, 97,101 phantom units.</w:t>
            </w:r>
          </w:p>
        </w:tc>
      </w:tr>
      <w:tr>
        <w:trPr/>
        <w:tc>
          <w:tcPr>
            <w:tcW w:w="252"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(16) </w:t>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Includes 65,000 shares of our common stock subject to options exercisable within 60 days of March 31, 2023. Also includes, only under the “Number of Shares and Units Beneficially Owned” column, 972,416 LTIP units (of which 311,499 LTIP units are subject to vesting). The totals exclude all unearned performance-based LTIP units.</w:t>
            </w:r>
          </w:p>
        </w:tc>
      </w:tr>
      <w:tr>
        <w:trPr/>
        <w:tc>
          <w:tcPr>
            <w:tcW w:w="252"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(17) </w:t>
            </w:r>
          </w:p>
        </w:tc>
        <w:tc>
          <w:tcPr>
            <w:tcW w:w="9953" w:type="dxa"/>
            <w:tcBorders/>
            <w:shd w:fill="auto" w:val="clear"/>
            <w:vAlign w:val="center"/>
          </w:tcPr>
          <w:p>
            <w:pPr>
              <w:pStyle w:val="TableContents"/>
              <w:spacing w:before="0" w:after="283"/>
              <w:jc w:val="left"/>
              <w:rPr>
                <w:rFonts w:ascii="Arial" w:hAnsi="Arial"/>
                <w:sz w:val="15"/>
              </w:rPr>
            </w:pPr>
            <w:r>
              <w:rPr>
                <w:rFonts w:ascii="Arial" w:hAnsi="Arial"/>
                <w:sz w:val="15"/>
              </w:rPr>
              <w:t>Includes an aggregate of 260,154 shares of common stock and 94,500 shares of common stock underlying exercisable stock options. Also includes, only under the “Number of Shares and Units Beneficially Owned” column, 664,097 common units, 2,675,423 LTIP units and 221,763 phantom units. See also Notes (6) – (16) above. Excludes unearned performance-based LTIP units and Class O LTIP units.</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86</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b/>
          <w:color w:val="1A2343"/>
          <w:sz w:val="26"/>
        </w:rPr>
      </w:pPr>
      <w:r>
        <w:rPr>
          <w:rFonts w:ascii="Arial" w:hAnsi="Arial"/>
          <w:b/>
          <w:color w:val="1A2343"/>
          <w:sz w:val="26"/>
        </w:rPr>
        <w:t>Series I Preferred Stock</w:t>
      </w:r>
    </w:p>
    <w:p>
      <w:pPr>
        <w:pStyle w:val="TextBody"/>
        <w:jc w:val="left"/>
        <w:rPr>
          <w:rFonts w:ascii="Arial" w:hAnsi="Arial"/>
          <w:sz w:val="20"/>
        </w:rPr>
      </w:pPr>
      <w:r>
        <w:rPr>
          <w:rFonts w:ascii="Arial" w:hAnsi="Arial"/>
          <w:sz w:val="20"/>
        </w:rPr>
        <w:t>The following table sets forth the beneficial ownership of our Series I Cumulative Redeemable Preferred Stock, $0.01 par value, as of March 31, 2023, for (i) each of our directors, (ii) each of our named executive officers who is not a director and (iii) our directors and executive officers as a group. None of our executive officers or directors own any shares of our Series I Cumulative Redeemable Preferred Stock except as set forth below. As of March 31, 2023, there were 9,200,000 shares of our Series I Cumulative Redeemable Preferred Stock outstanding.</w:t>
      </w:r>
    </w:p>
    <w:tbl>
      <w:tblPr>
        <w:tblW w:w="7545" w:type="dxa"/>
        <w:jc w:val="left"/>
        <w:tblInd w:w="0" w:type="dxa"/>
        <w:tblCellMar>
          <w:top w:w="0" w:type="dxa"/>
          <w:left w:w="0" w:type="dxa"/>
          <w:bottom w:w="0" w:type="dxa"/>
          <w:right w:w="0" w:type="dxa"/>
        </w:tblCellMar>
      </w:tblPr>
      <w:tblGrid>
        <w:gridCol w:w="5330"/>
        <w:gridCol w:w="240"/>
        <w:gridCol w:w="800"/>
        <w:gridCol w:w="300"/>
        <w:gridCol w:w="875"/>
      </w:tblGrid>
      <w:tr>
        <w:trPr/>
        <w:tc>
          <w:tcPr>
            <w:tcW w:w="533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975" w:type="dxa"/>
            <w:gridSpan w:val="3"/>
            <w:tcBorders>
              <w:bottom w:val="single" w:sz="12" w:space="0" w:color="1A2343"/>
            </w:tcBorders>
            <w:shd w:fill="auto" w:val="clear"/>
            <w:tcMar>
              <w:bottom w:w="40" w:type="dxa"/>
            </w:tcMar>
            <w:vAlign w:val="center"/>
          </w:tcPr>
          <w:p>
            <w:pPr>
              <w:pStyle w:val="TableContents"/>
              <w:spacing w:before="0" w:after="283"/>
              <w:jc w:val="center"/>
              <w:rPr>
                <w:rFonts w:ascii="Arial" w:hAnsi="Arial"/>
                <w:color w:val="1A2343"/>
                <w:sz w:val="15"/>
              </w:rPr>
            </w:pPr>
            <w:r>
              <w:rPr>
                <w:rFonts w:ascii="Arial" w:hAnsi="Arial"/>
                <w:color w:val="1A2343"/>
                <w:sz w:val="15"/>
              </w:rPr>
              <w:t>Series I Cumulative</w:t>
              <w:br/>
              <w:t>Redeemable</w:t>
              <w:br/>
              <w:t>Preferred Stock</w:t>
            </w:r>
          </w:p>
        </w:tc>
      </w:tr>
      <w:tr>
        <w:trPr/>
        <w:tc>
          <w:tcPr>
            <w:tcW w:w="5330" w:type="dxa"/>
            <w:tcBorders>
              <w:bottom w:val="single" w:sz="12" w:space="0" w:color="1A2343"/>
            </w:tcBorders>
            <w:shd w:fill="auto" w:val="clear"/>
            <w:tcMar>
              <w:bottom w:w="40" w:type="dxa"/>
            </w:tcMar>
            <w:vAlign w:val="center"/>
          </w:tcPr>
          <w:p>
            <w:pPr>
              <w:pStyle w:val="TableContents"/>
              <w:spacing w:before="0" w:after="283"/>
              <w:jc w:val="left"/>
              <w:rPr>
                <w:rFonts w:ascii="Arial" w:hAnsi="Arial"/>
                <w:color w:val="1A2343"/>
                <w:sz w:val="15"/>
              </w:rPr>
            </w:pPr>
            <w:r>
              <w:rPr>
                <w:rFonts w:ascii="Arial" w:hAnsi="Arial"/>
                <w:color w:val="1A2343"/>
                <w:sz w:val="15"/>
              </w:rPr>
              <w:t>Name**</w:t>
            </w:r>
          </w:p>
        </w:tc>
        <w:tc>
          <w:tcPr>
            <w:tcW w:w="240" w:type="dxa"/>
            <w:tcBorders/>
            <w:shd w:fill="auto" w:val="clear"/>
            <w:vAlign w:val="center"/>
          </w:tcPr>
          <w:p>
            <w:pPr>
              <w:pStyle w:val="TableContents"/>
              <w:spacing w:before="0" w:after="283"/>
              <w:jc w:val="right"/>
              <w:rPr/>
            </w:pPr>
            <w:r>
              <w:rPr/>
              <w:t>    </w:t>
            </w:r>
          </w:p>
        </w:tc>
        <w:tc>
          <w:tcPr>
            <w:tcW w:w="80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Number</w:t>
              <w:br/>
              <w:t>of Shares</w:t>
              <w:br/>
              <w:t>Beneficially</w:t>
              <w:br/>
              <w:t>Owned</w:t>
            </w:r>
          </w:p>
        </w:tc>
        <w:tc>
          <w:tcPr>
            <w:tcW w:w="300" w:type="dxa"/>
            <w:tcBorders/>
            <w:shd w:fill="auto" w:val="clear"/>
            <w:vAlign w:val="center"/>
          </w:tcPr>
          <w:p>
            <w:pPr>
              <w:pStyle w:val="TableContents"/>
              <w:spacing w:before="0" w:after="283"/>
              <w:jc w:val="right"/>
              <w:rPr/>
            </w:pPr>
            <w:r>
              <w:rPr/>
              <w:t>     </w:t>
            </w:r>
          </w:p>
        </w:tc>
        <w:tc>
          <w:tcPr>
            <w:tcW w:w="875"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Percent of</w:t>
              <w:br/>
              <w:t>Outstanding</w:t>
            </w:r>
          </w:p>
        </w:tc>
      </w:tr>
      <w:tr>
        <w:trPr/>
        <w:tc>
          <w:tcPr>
            <w:tcW w:w="533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Matthew J. DiLiberto</w:t>
            </w:r>
          </w:p>
        </w:tc>
        <w:tc>
          <w:tcPr>
            <w:tcW w:w="240" w:type="dxa"/>
            <w:tcBorders/>
            <w:shd w:fill="auto" w:val="clear"/>
            <w:vAlign w:val="center"/>
          </w:tcPr>
          <w:p>
            <w:pPr>
              <w:pStyle w:val="TableContents"/>
              <w:spacing w:before="0" w:after="283"/>
              <w:rPr>
                <w:sz w:val="4"/>
                <w:szCs w:val="4"/>
              </w:rPr>
            </w:pPr>
            <w:r>
              <w:rPr>
                <w:sz w:val="4"/>
                <w:szCs w:val="4"/>
              </w:rPr>
            </w:r>
          </w:p>
        </w:tc>
        <w:tc>
          <w:tcPr>
            <w:tcW w:w="80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13,000</w:t>
            </w:r>
          </w:p>
        </w:tc>
        <w:tc>
          <w:tcPr>
            <w:tcW w:w="30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r>
      <w:tr>
        <w:trPr/>
        <w:tc>
          <w:tcPr>
            <w:tcW w:w="533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Marc Holliday</w:t>
            </w:r>
          </w:p>
        </w:tc>
        <w:tc>
          <w:tcPr>
            <w:tcW w:w="240" w:type="dxa"/>
            <w:tcBorders/>
            <w:shd w:fill="auto" w:val="clear"/>
            <w:vAlign w:val="center"/>
          </w:tcPr>
          <w:p>
            <w:pPr>
              <w:pStyle w:val="TableContents"/>
              <w:spacing w:before="0" w:after="283"/>
              <w:rPr>
                <w:sz w:val="4"/>
                <w:szCs w:val="4"/>
              </w:rPr>
            </w:pPr>
            <w:r>
              <w:rPr>
                <w:sz w:val="4"/>
                <w:szCs w:val="4"/>
              </w:rPr>
            </w:r>
          </w:p>
        </w:tc>
        <w:tc>
          <w:tcPr>
            <w:tcW w:w="80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111,473</w:t>
            </w:r>
          </w:p>
        </w:tc>
        <w:tc>
          <w:tcPr>
            <w:tcW w:w="30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1.21%</w:t>
            </w:r>
          </w:p>
        </w:tc>
      </w:tr>
      <w:tr>
        <w:trPr/>
        <w:tc>
          <w:tcPr>
            <w:tcW w:w="5330" w:type="dxa"/>
            <w:tcBorders>
              <w:bottom w:val="single" w:sz="8" w:space="0" w:color="5B5975"/>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Andrew S. Levine</w:t>
            </w:r>
          </w:p>
        </w:tc>
        <w:tc>
          <w:tcPr>
            <w:tcW w:w="240" w:type="dxa"/>
            <w:tcBorders/>
            <w:shd w:fill="auto" w:val="clear"/>
            <w:vAlign w:val="center"/>
          </w:tcPr>
          <w:p>
            <w:pPr>
              <w:pStyle w:val="TableContents"/>
              <w:spacing w:before="0" w:after="283"/>
              <w:rPr>
                <w:sz w:val="4"/>
                <w:szCs w:val="4"/>
              </w:rPr>
            </w:pPr>
            <w:r>
              <w:rPr>
                <w:sz w:val="4"/>
                <w:szCs w:val="4"/>
              </w:rPr>
            </w:r>
          </w:p>
        </w:tc>
        <w:tc>
          <w:tcPr>
            <w:tcW w:w="800"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15,000</w:t>
            </w:r>
          </w:p>
        </w:tc>
        <w:tc>
          <w:tcPr>
            <w:tcW w:w="300" w:type="dxa"/>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5B5975"/>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r>
      <w:tr>
        <w:trPr/>
        <w:tc>
          <w:tcPr>
            <w:tcW w:w="5330" w:type="dxa"/>
            <w:tcBorders>
              <w:bottom w:val="single" w:sz="12" w:space="0" w:color="1A2343"/>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All Directors and Executive Officers as a Group (12 Persons)</w:t>
            </w:r>
          </w:p>
        </w:tc>
        <w:tc>
          <w:tcPr>
            <w:tcW w:w="240" w:type="dxa"/>
            <w:tcBorders/>
            <w:shd w:fill="auto" w:val="clear"/>
            <w:vAlign w:val="center"/>
          </w:tcPr>
          <w:p>
            <w:pPr>
              <w:pStyle w:val="TableContents"/>
              <w:spacing w:before="0" w:after="283"/>
              <w:rPr>
                <w:sz w:val="4"/>
                <w:szCs w:val="4"/>
              </w:rPr>
            </w:pPr>
            <w:r>
              <w:rPr>
                <w:sz w:val="4"/>
                <w:szCs w:val="4"/>
              </w:rPr>
            </w:r>
          </w:p>
        </w:tc>
        <w:tc>
          <w:tcPr>
            <w:tcW w:w="800"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139,473</w:t>
            </w:r>
          </w:p>
        </w:tc>
        <w:tc>
          <w:tcPr>
            <w:tcW w:w="300" w:type="dxa"/>
            <w:tcBorders/>
            <w:shd w:fill="auto" w:val="clear"/>
            <w:vAlign w:val="center"/>
          </w:tcPr>
          <w:p>
            <w:pPr>
              <w:pStyle w:val="TableContents"/>
              <w:spacing w:before="0" w:after="283"/>
              <w:rPr>
                <w:sz w:val="4"/>
                <w:szCs w:val="4"/>
              </w:rPr>
            </w:pPr>
            <w:r>
              <w:rPr>
                <w:sz w:val="4"/>
                <w:szCs w:val="4"/>
              </w:rPr>
            </w:r>
          </w:p>
        </w:tc>
        <w:tc>
          <w:tcPr>
            <w:tcW w:w="875" w:type="dxa"/>
            <w:tcBorders>
              <w:bottom w:val="single" w:sz="12" w:space="0" w:color="1A2343"/>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1.52%</w:t>
            </w:r>
          </w:p>
        </w:tc>
      </w:tr>
    </w:tbl>
    <w:tbl>
      <w:tblPr>
        <w:tblW w:w="1150" w:type="dxa"/>
        <w:jc w:val="left"/>
        <w:tblInd w:w="0" w:type="dxa"/>
        <w:tblCellMar>
          <w:top w:w="0" w:type="dxa"/>
          <w:left w:w="0" w:type="dxa"/>
          <w:bottom w:w="0" w:type="dxa"/>
          <w:right w:w="0" w:type="dxa"/>
        </w:tblCellMar>
      </w:tblPr>
      <w:tblGrid>
        <w:gridCol w:w="125"/>
        <w:gridCol w:w="1025"/>
      </w:tblGrid>
      <w:tr>
        <w:trPr/>
        <w:tc>
          <w:tcPr>
            <w:tcW w:w="125" w:type="dxa"/>
            <w:tcBorders/>
            <w:shd w:fill="auto" w:val="clear"/>
            <w:vAlign w:val="center"/>
          </w:tcPr>
          <w:p>
            <w:pPr>
              <w:pStyle w:val="TableContents"/>
              <w:spacing w:before="0" w:after="283"/>
              <w:jc w:val="left"/>
              <w:rPr>
                <w:rFonts w:ascii="Arial" w:hAnsi="Arial"/>
                <w:sz w:val="15"/>
              </w:rPr>
            </w:pPr>
            <w:r>
              <w:rPr>
                <w:rFonts w:ascii="Arial" w:hAnsi="Arial"/>
                <w:sz w:val="15"/>
              </w:rPr>
              <w:t xml:space="preserve">* </w:t>
            </w:r>
          </w:p>
        </w:tc>
        <w:tc>
          <w:tcPr>
            <w:tcW w:w="1025" w:type="dxa"/>
            <w:tcBorders/>
            <w:shd w:fill="auto" w:val="clear"/>
            <w:vAlign w:val="center"/>
          </w:tcPr>
          <w:p>
            <w:pPr>
              <w:pStyle w:val="TableContents"/>
              <w:spacing w:before="0" w:after="283"/>
              <w:jc w:val="left"/>
              <w:rPr>
                <w:rFonts w:ascii="Arial" w:hAnsi="Arial"/>
                <w:sz w:val="15"/>
              </w:rPr>
            </w:pPr>
            <w:r>
              <w:rPr>
                <w:rFonts w:ascii="Arial" w:hAnsi="Arial"/>
                <w:sz w:val="15"/>
              </w:rPr>
              <w:t>Less than 1%.</w:t>
            </w:r>
          </w:p>
        </w:tc>
      </w:tr>
    </w:tbl>
    <w:p>
      <w:pPr>
        <w:pStyle w:val="TextBody"/>
        <w:spacing w:before="240" w:after="283"/>
        <w:jc w:val="left"/>
        <w:rPr/>
      </w:pPr>
      <w:bookmarkStart w:id="112" w:name="delinquet_sec"/>
      <w:bookmarkEnd w:id="112"/>
      <w:r>
        <w:rPr>
          <w:rStyle w:val="StrongEmphasis"/>
          <w:rFonts w:ascii="Arial" w:hAnsi="Arial"/>
          <w:color w:val="8BA73B"/>
          <w:sz w:val="32"/>
        </w:rPr>
        <w:t>DELINQUENT SECTION 16(a) REPORTS</w:t>
      </w:r>
    </w:p>
    <w:p>
      <w:pPr>
        <w:pStyle w:val="TextBody"/>
        <w:jc w:val="left"/>
        <w:rPr>
          <w:rFonts w:ascii="Arial" w:hAnsi="Arial"/>
          <w:sz w:val="20"/>
        </w:rPr>
      </w:pPr>
      <w:r>
        <w:rPr>
          <w:rFonts w:ascii="Arial" w:hAnsi="Arial"/>
          <w:sz w:val="20"/>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 with the exception of (i) Mr. Alschuler who inadvertently failed to file timely a Form 4 relating to the disposition of phantom stock units on February 8, 2023 which transaction was subsequently reflected on a Form 4 filed on February 22, 2023 and (ii) Ms. Dillard, whose Form 4 filed on January 26, 2023 contained an error in the number of shares of common stock and number of phantom stock units acquired, and which was subsequently corrected on a Form 4/A filed on February 8, 2023.</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right"/>
              <w:rPr>
                <w:rFonts w:ascii="Arial" w:hAnsi="Arial"/>
                <w:b/>
                <w:color w:val="1A2343"/>
                <w:sz w:val="24"/>
              </w:rPr>
            </w:pPr>
            <w:r>
              <w:rPr>
                <w:rFonts w:ascii="Arial" w:hAnsi="Arial"/>
                <w:b/>
                <w:color w:val="1A2343"/>
                <w:sz w:val="24"/>
              </w:rPr>
              <w:t>87</w:t>
            </w:r>
          </w:p>
        </w:tc>
      </w:tr>
    </w:tbl>
    <w:p>
      <w:pPr>
        <w:pStyle w:val="TextBody"/>
        <w:spacing w:before="240" w:after="283"/>
        <w:jc w:val="left"/>
        <w:rPr>
          <w:rFonts w:ascii="Arial" w:hAnsi="Arial"/>
          <w:b/>
          <w:i w:val="false"/>
          <w:caps w:val="false"/>
          <w:smallCaps w:val="false"/>
          <w:color w:val="1A2343"/>
          <w:sz w:val="42"/>
        </w:rPr>
      </w:pPr>
      <w:bookmarkStart w:id="113" w:name="pg_CERTAINRELATIONSHIPSANDRELATEDPARTYTR"/>
      <w:bookmarkEnd w:id="113"/>
      <w:r>
        <w:rPr>
          <w:rFonts w:ascii="Arial" w:hAnsi="Arial"/>
          <w:b/>
          <w:i w:val="false"/>
          <w:caps w:val="false"/>
          <w:smallCaps w:val="false"/>
          <w:color w:val="1A2343"/>
          <w:sz w:val="42"/>
        </w:rPr>
        <w:t>CERTAIN RELATIONSHIPS AND RELATED PARTY TRANSACTIONS</w:t>
      </w:r>
    </w:p>
    <w:p>
      <w:pPr>
        <w:pStyle w:val="TextBody"/>
        <w:jc w:val="left"/>
        <w:rPr>
          <w:rFonts w:ascii="Arial" w:hAnsi="Arial"/>
          <w:b/>
          <w:i w:val="false"/>
          <w:caps w:val="false"/>
          <w:smallCaps w:val="false"/>
          <w:color w:val="8EAD3C"/>
          <w:sz w:val="32"/>
        </w:rPr>
      </w:pPr>
      <w:r>
        <w:rPr>
          <w:rFonts w:ascii="Arial" w:hAnsi="Arial"/>
          <w:b/>
          <w:i w:val="false"/>
          <w:caps w:val="false"/>
          <w:smallCaps w:val="false"/>
          <w:color w:val="8EAD3C"/>
          <w:sz w:val="32"/>
        </w:rPr>
        <w:t>POLICIES AND PROCEDURES WITH RESPECT TO RELATED PARTY TRANSACTIONS</w:t>
      </w:r>
    </w:p>
    <w:p>
      <w:pPr>
        <w:pStyle w:val="TextBody"/>
        <w:jc w:val="left"/>
        <w:rPr>
          <w:rFonts w:ascii="Arial" w:hAnsi="Arial"/>
          <w:sz w:val="20"/>
        </w:rPr>
      </w:pPr>
      <w:r>
        <w:rPr>
          <w:rFonts w:ascii="Arial" w:hAnsi="Arial"/>
          <w:sz w:val="20"/>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p>
    <w:p>
      <w:pPr>
        <w:pStyle w:val="TextBody"/>
        <w:jc w:val="left"/>
        <w:rPr>
          <w:rFonts w:ascii="Arial" w:hAnsi="Arial"/>
          <w:sz w:val="20"/>
        </w:rPr>
      </w:pPr>
      <w:r>
        <w:rPr>
          <w:rFonts w:ascii="Arial" w:hAnsi="Arial"/>
          <w:sz w:val="20"/>
        </w:rPr>
        <w:t>Our Nominating and Corporate Governance Committee reviews the material facts of all related party transactions and either approves or disapproves the entry into such related party transaction. If advance approval of a related party transaction is not feasible, then the related party transaction will be considered and, if our Nominating and Corporate Governance Committee determines it to be appropriate, ratified, at the next regularly scheduled meeting of our Nominating and Corporate Governance Committee. In determining whether to approve or ratify a related party transaction, our Nominating and Corporate Governance Committee takes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pStyle w:val="TextBody"/>
        <w:jc w:val="left"/>
        <w:rPr>
          <w:rFonts w:ascii="Arial" w:hAnsi="Arial"/>
          <w:sz w:val="20"/>
        </w:rPr>
      </w:pPr>
      <w:r>
        <w:rPr>
          <w:rFonts w:ascii="Arial" w:hAnsi="Arial"/>
          <w:sz w:val="20"/>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w:t>
      </w:r>
    </w:p>
    <w:p>
      <w:pPr>
        <w:pStyle w:val="TextBody"/>
        <w:jc w:val="left"/>
        <w:rPr>
          <w:rFonts w:ascii="Arial" w:hAnsi="Arial"/>
          <w:sz w:val="20"/>
        </w:rPr>
      </w:pPr>
      <w:r>
        <w:rPr>
          <w:rFonts w:ascii="Arial" w:hAnsi="Arial"/>
          <w:sz w:val="20"/>
        </w:rPr>
        <w:t>If a related party transaction will be ongoing, our Nominating and Corporate Governance Committee may establish guidelines for our management to follow in its ongoing dealings with the related party. Thereafter, our Nominating and Corporate Governance Committee, on at least an annual basis, reviews and assesses ongoing relationships with such related party to see that our management is in compliance with our Nominating and Corporate Governance Committee’s guidelines and that such related party transaction remains appropriate.</w:t>
      </w:r>
    </w:p>
    <w:p>
      <w:pPr>
        <w:pStyle w:val="TextBody"/>
        <w:jc w:val="left"/>
        <w:rPr>
          <w:rFonts w:ascii="Arial" w:hAnsi="Arial"/>
          <w:sz w:val="20"/>
        </w:rPr>
      </w:pPr>
      <w:r>
        <w:rPr>
          <w:rFonts w:ascii="Arial" w:hAnsi="Arial"/>
          <w:sz w:val="20"/>
        </w:rPr>
        <w:t>Related party transactions are disclosed in our SEC filings.</w:t>
      </w:r>
    </w:p>
    <w:p>
      <w:pPr>
        <w:pStyle w:val="TextBody"/>
        <w:jc w:val="left"/>
        <w:rPr>
          <w:rFonts w:ascii="Arial" w:hAnsi="Arial"/>
          <w:b/>
          <w:i w:val="false"/>
          <w:caps w:val="false"/>
          <w:smallCaps w:val="false"/>
          <w:color w:val="8EAD3C"/>
          <w:sz w:val="32"/>
        </w:rPr>
      </w:pPr>
      <w:r>
        <w:rPr>
          <w:rFonts w:ascii="Arial" w:hAnsi="Arial"/>
          <w:b/>
          <w:i w:val="false"/>
          <w:caps w:val="false"/>
          <w:smallCaps w:val="false"/>
          <w:color w:val="8EAD3C"/>
          <w:sz w:val="32"/>
        </w:rPr>
        <w:t>CLEANING/SECURITY/MESSENGER AND RESTORATION SERVICES</w:t>
      </w:r>
    </w:p>
    <w:p>
      <w:pPr>
        <w:pStyle w:val="TextBody"/>
        <w:jc w:val="left"/>
        <w:rPr>
          <w:rFonts w:ascii="Arial" w:hAnsi="Arial"/>
          <w:sz w:val="20"/>
        </w:rPr>
      </w:pPr>
      <w:r>
        <w:rPr>
          <w:rFonts w:ascii="Arial" w:hAnsi="Arial"/>
          <w:sz w:val="20"/>
        </w:rPr>
        <w:t>Alliance Building Services, or Alliance, and its affiliates, which provide services to certain properties owned by us, were previously partially owned by Gary Green, a son of Stephen L. Green, who serves as a member and Chairman Emeritus of the Board. Alliance’s affiliates include First Quality Maintenance, L.P., or First Quality, Classic Security LLC, Bright Star Couriers LLC and Onyx Restoration Works, and provide cleaning, extermination, security, messenger, and restoration services, respectively. In addition, First Quality has the non-exclusive opportunity to provide cleaning and related services to individual tenants at our properties on a basis separately negotiated with any tenant seeking such additional services. S.L. Green Management Corp., a consolidated entity, has entered into an arrangement with Alliance whereby it will receive a profit participation above a certain threshold for services provided by Alliance to certain tenants at certain buildings above the base services specified in their lease agreements. Income earned from the profit participation was $1.4 million, $1.7 million and $1.4 million for the years ended December 31, 2022, 2021 and 2020, respectively. We also recorded expenses, inclusive of capitalized expenses, of $8.6 million, $14.0 million and $13.3 million for the years ended December 31, 2022, 2021 and 2020, respectively, for these services (excluding services provided directly to tenants).</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88</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b/>
          <w:i w:val="false"/>
          <w:caps w:val="false"/>
          <w:smallCaps w:val="false"/>
          <w:color w:val="8EAD3C"/>
          <w:sz w:val="32"/>
        </w:rPr>
      </w:pPr>
      <w:r>
        <w:rPr>
          <w:rFonts w:ascii="Arial" w:hAnsi="Arial"/>
          <w:b/>
          <w:i w:val="false"/>
          <w:caps w:val="false"/>
          <w:smallCaps w:val="false"/>
          <w:color w:val="8EAD3C"/>
          <w:sz w:val="32"/>
        </w:rPr>
        <w:t>MANAGEMENT FEES</w:t>
      </w:r>
    </w:p>
    <w:p>
      <w:pPr>
        <w:pStyle w:val="TextBody"/>
        <w:jc w:val="left"/>
        <w:rPr>
          <w:rFonts w:ascii="Arial" w:hAnsi="Arial"/>
          <w:sz w:val="20"/>
        </w:rPr>
      </w:pPr>
      <w:r>
        <w:rPr>
          <w:rFonts w:ascii="Arial" w:hAnsi="Arial"/>
          <w:sz w:val="20"/>
        </w:rPr>
        <w:t>S.L. Green Management Corp. receives property management fees from an entity in which Stephen L. Green owns an interest. We received management fees from such entity of approximately $0.6 million, $0.7 million and $0.6 million for the years ended December 31, 2022, 2021 and 2020, respectively.</w:t>
      </w:r>
    </w:p>
    <w:p>
      <w:pPr>
        <w:pStyle w:val="TextBody"/>
        <w:jc w:val="left"/>
        <w:rPr>
          <w:rFonts w:ascii="Arial" w:hAnsi="Arial"/>
          <w:b/>
          <w:i w:val="false"/>
          <w:caps w:val="false"/>
          <w:smallCaps w:val="false"/>
          <w:color w:val="8EAD3C"/>
          <w:sz w:val="32"/>
        </w:rPr>
      </w:pPr>
      <w:r>
        <w:rPr>
          <w:rFonts w:ascii="Arial" w:hAnsi="Arial"/>
          <w:b/>
          <w:i w:val="false"/>
          <w:caps w:val="false"/>
          <w:smallCaps w:val="false"/>
          <w:color w:val="8EAD3C"/>
          <w:sz w:val="32"/>
        </w:rPr>
        <w:t>MARKETING SERVICES</w:t>
      </w:r>
    </w:p>
    <w:p>
      <w:pPr>
        <w:pStyle w:val="TextBody"/>
        <w:jc w:val="left"/>
        <w:rPr>
          <w:rFonts w:ascii="Arial" w:hAnsi="Arial"/>
          <w:sz w:val="20"/>
        </w:rPr>
      </w:pPr>
      <w:r>
        <w:rPr>
          <w:rFonts w:ascii="Arial" w:hAnsi="Arial"/>
          <w:sz w:val="20"/>
        </w:rPr>
        <w:t>A-List Marketing, LLC, or A-List, provided marketing services to us. Deena Wolff, a sister of Marc Holliday, our Chief Executive Officer, is the founder of A-List. We recorded expenses of approximately $0.3 million for each of the years ended December 31, 2022, 2021 and 2020, respectively, for these services.</w:t>
      </w:r>
    </w:p>
    <w:p>
      <w:pPr>
        <w:pStyle w:val="TextBody"/>
        <w:jc w:val="left"/>
        <w:rPr>
          <w:rFonts w:ascii="Arial" w:hAnsi="Arial"/>
          <w:b/>
          <w:i w:val="false"/>
          <w:caps w:val="false"/>
          <w:smallCaps w:val="false"/>
          <w:color w:val="8EAD3C"/>
          <w:sz w:val="32"/>
        </w:rPr>
      </w:pPr>
      <w:r>
        <w:rPr>
          <w:rFonts w:ascii="Arial" w:hAnsi="Arial"/>
          <w:b/>
          <w:i w:val="false"/>
          <w:caps w:val="false"/>
          <w:smallCaps w:val="false"/>
          <w:color w:val="8EAD3C"/>
          <w:sz w:val="32"/>
        </w:rPr>
        <w:t>CHAIRMAN EMERITUS AGREEMENT</w:t>
      </w:r>
    </w:p>
    <w:p>
      <w:pPr>
        <w:pStyle w:val="TextBody"/>
        <w:jc w:val="left"/>
        <w:rPr>
          <w:rFonts w:ascii="Arial" w:hAnsi="Arial"/>
          <w:sz w:val="20"/>
        </w:rPr>
      </w:pPr>
      <w:r>
        <w:rPr>
          <w:rFonts w:ascii="Arial" w:hAnsi="Arial"/>
          <w:sz w:val="20"/>
        </w:rPr>
        <w:t>On December 21, 2018, we and Stephen L. Green, the former Chairman of the Company, entered into a chairman emeritus agreement in connection with Mr. Greens retirement as Chairman of the Company and transition into the role of Chairman Emeritus.</w:t>
      </w:r>
    </w:p>
    <w:p>
      <w:pPr>
        <w:pStyle w:val="TextBody"/>
        <w:jc w:val="left"/>
        <w:rPr>
          <w:rFonts w:ascii="Arial" w:hAnsi="Arial"/>
          <w:sz w:val="20"/>
        </w:rPr>
      </w:pPr>
      <w:r>
        <w:rPr>
          <w:rFonts w:ascii="Arial" w:hAnsi="Arial"/>
          <w:sz w:val="20"/>
        </w:rPr>
        <w:t>On March 29, 2022, we entered into a letter agreement with Mr. Green that amended certain terms of the chairman emeritus agreement. Pursuant to the letter agreement, Mr. Greens monthly retainer fee was reduced and will ultimately be eliminated. For his service during the period from January 1, 2022 through December 31, 2022, Mr. Green received a monthly retainer fee of $36,111, and during the period from January 1, 2023 through December 31, 2023, Mr. Green will receive a monthly retainer fee of $18,056, in addition to any fees to which Mr. Green is entitled as a non-employee director.</w:t>
      </w:r>
    </w:p>
    <w:p>
      <w:pPr>
        <w:pStyle w:val="TextBody"/>
        <w:jc w:val="left"/>
        <w:rPr>
          <w:rFonts w:ascii="Arial" w:hAnsi="Arial"/>
          <w:sz w:val="20"/>
        </w:rPr>
      </w:pPr>
      <w:r>
        <w:rPr>
          <w:rFonts w:ascii="Arial" w:hAnsi="Arial"/>
          <w:sz w:val="20"/>
        </w:rPr>
        <w:t>Beginning January 1, 2024, Mr. Green will no longer receive a monthly retainer and will no longer provide consulting services to the Company, but will continue to hold the title of Chairman Emeritus. We will also continue to provide Mr. Green with perquisites under the chairman emeritus agreement consistent with those he previously received as Chairman, as modified by the letter agreement. In addition, Mr. Green will be entitled, to the extent eligible, to continue to participate in our group health insurance at the expense of the Company or, if Mr. Green is not eligible, monthly cash payments equal to the amount payable by Mr. Green under COBRA for continued participation in our group health insurance under COBRA.</w:t>
      </w:r>
    </w:p>
    <w:p>
      <w:pPr>
        <w:pStyle w:val="TextBody"/>
        <w:jc w:val="left"/>
        <w:rPr>
          <w:rFonts w:ascii="Arial" w:hAnsi="Arial"/>
          <w:b/>
          <w:i w:val="false"/>
          <w:caps w:val="false"/>
          <w:smallCaps w:val="false"/>
          <w:color w:val="8EAD3C"/>
          <w:sz w:val="32"/>
        </w:rPr>
      </w:pPr>
      <w:r>
        <w:rPr>
          <w:rFonts w:ascii="Arial" w:hAnsi="Arial"/>
          <w:b/>
          <w:i w:val="false"/>
          <w:caps w:val="false"/>
          <w:smallCaps w:val="false"/>
          <w:color w:val="8EAD3C"/>
          <w:sz w:val="32"/>
        </w:rPr>
        <w:t>ONE VANDERBILT AVENUE INVESTMENT</w:t>
      </w:r>
    </w:p>
    <w:p>
      <w:pPr>
        <w:pStyle w:val="TextBody"/>
        <w:jc w:val="left"/>
        <w:rPr>
          <w:rFonts w:ascii="Arial" w:hAnsi="Arial"/>
          <w:sz w:val="20"/>
        </w:rPr>
      </w:pPr>
      <w:r>
        <w:rPr>
          <w:rFonts w:ascii="Arial" w:hAnsi="Arial"/>
          <w:sz w:val="20"/>
        </w:rPr>
        <w:t>In December 2016, we entered into agreements with entities owned and controlled by our Chief Executive Officer and Chairman, Marc Holliday, and our President, Andrew Mathias, pursuant to which they agreed to make an investment in our One Vanderbilt project (inclusive of the property and Summit One Vanderbilt) at the appraised fair market value for the interests acquired. This investment entitles these entities to receive approximately 1.50%-1.80% and 1.00%-1.20%, respectively, of any profits realized by the Company from its One Vanderbilt project in excess of the Companys capital contributions. The entities have no right to any return of capital. Accordingly, subject to previously disclosed repurchase rights, these interests will have no value and will not entitle these entities to any amounts (other than limited distributions to cover tax liabilities incurred) unless and until the Company has received distributions from the One Vanderbilt project in excess of the Companys aggregate investment in the project. In the event that the Company does not realize a profit on its investment in the project (or would not realize a profit based on the value at the time the interests are repurchased), the entities owned and controlled by Messrs. Holliday and Mathias will lose the entire amount of their investment. The entities owned and controlled by Messrs. Holliday and Mathias paid $1.4 million and $1.0 million, respectively, which equaled the fair market value of the interests acquired as of the date the investment agreements were entered into as determined by an independent third party appraisal that we obtained.</w:t>
      </w:r>
    </w:p>
    <w:p>
      <w:pPr>
        <w:pStyle w:val="TextBody"/>
        <w:jc w:val="left"/>
        <w:rPr>
          <w:rFonts w:ascii="Arial" w:hAnsi="Arial"/>
          <w:sz w:val="20"/>
        </w:rPr>
      </w:pPr>
      <w:r>
        <w:rPr>
          <w:rFonts w:ascii="Arial" w:hAnsi="Arial"/>
          <w:sz w:val="20"/>
        </w:rPr>
        <w:t>Messrs. Holliday and Mathias have the right to tender their interests in the project upon stabilization (50% within three years after stabilization and 100% three years or more after stabilization). In addition, the agreement calls for us to repurchase these interests in the event of a sale of One Vanderbilt or a transactional change of control of the Company. We also have the right to repurchase these interests on the seven-year anniversary of the stabilization of the project or upon the occurrence of certain separation events prior to the stabilization of the project relating to each of Messrs. Hollidays and Mathiass continued</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5185" w:type="dxa"/>
        <w:jc w:val="left"/>
        <w:tblInd w:w="0" w:type="dxa"/>
        <w:tblCellMar>
          <w:top w:w="0" w:type="dxa"/>
          <w:left w:w="0" w:type="dxa"/>
          <w:bottom w:w="0" w:type="dxa"/>
          <w:right w:w="0" w:type="dxa"/>
        </w:tblCellMar>
      </w:tblPr>
      <w:tblGrid>
        <w:gridCol w:w="4895"/>
        <w:gridCol w:w="290"/>
      </w:tblGrid>
      <w:tr>
        <w:trPr/>
        <w:tc>
          <w:tcPr>
            <w:tcW w:w="4895" w:type="dxa"/>
            <w:tcBorders/>
            <w:shd w:fill="auto" w:val="clear"/>
            <w:vAlign w:val="center"/>
          </w:tcPr>
          <w:p>
            <w:pPr>
              <w:pStyle w:val="TableContents"/>
              <w:spacing w:before="0" w:after="283"/>
              <w:jc w:val="left"/>
              <w:rPr>
                <w:rFonts w:ascii="Arial" w:hAnsi="Arial"/>
                <w:sz w:val="15"/>
              </w:rPr>
            </w:pPr>
            <w:r>
              <w:rPr>
                <w:rFonts w:ascii="Arial" w:hAnsi="Arial"/>
                <w:b/>
                <w:sz w:val="15"/>
              </w:rPr>
              <w:t>CERTAIN RELATIONSHIPS AND RELATED PARTY TRANSACTIONS</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89</w:t>
            </w:r>
          </w:p>
        </w:tc>
      </w:tr>
    </w:tbl>
    <w:p>
      <w:pPr>
        <w:pStyle w:val="TextBody"/>
        <w:spacing w:before="240" w:after="283"/>
        <w:jc w:val="left"/>
        <w:rPr>
          <w:rFonts w:ascii="Arial" w:hAnsi="Arial"/>
          <w:sz w:val="20"/>
        </w:rPr>
      </w:pPr>
      <w:r>
        <w:rPr>
          <w:rFonts w:ascii="Arial" w:hAnsi="Arial"/>
          <w:sz w:val="20"/>
        </w:rPr>
        <w:t>service with us. The price paid upon a tender of the interests will equal the liquidation value of the interests at the time, with the value being based on the project’s sale price, if applicable, or fair market value as determined by an independent third party appraiser. In 2022, stabilization of the property (but not Summit One Vanderbilt) was achieved. Therefore, Messrs. Holliday and Mathias exercised their rights to tender 50% of their interests in the property (but not Summit One Vanderbilt) for liquidation values of $17.9 million and $11.9 million, respectively, which were paid in July 2022.</w:t>
      </w:r>
    </w:p>
    <w:p>
      <w:pPr>
        <w:pStyle w:val="TextBody"/>
        <w:jc w:val="left"/>
        <w:rPr>
          <w:rFonts w:ascii="Arial" w:hAnsi="Arial"/>
          <w:b/>
          <w:i w:val="false"/>
          <w:caps w:val="false"/>
          <w:smallCaps w:val="false"/>
          <w:color w:val="8EAD3C"/>
          <w:sz w:val="32"/>
        </w:rPr>
      </w:pPr>
      <w:r>
        <w:rPr>
          <w:rFonts w:ascii="Arial" w:hAnsi="Arial"/>
          <w:b/>
          <w:i w:val="false"/>
          <w:caps w:val="false"/>
          <w:smallCaps w:val="false"/>
          <w:color w:val="8EAD3C"/>
          <w:sz w:val="32"/>
        </w:rPr>
        <w:t>ONE VANDERBILT AVENUE LEASES</w:t>
      </w:r>
    </w:p>
    <w:p>
      <w:pPr>
        <w:pStyle w:val="TextBody"/>
        <w:jc w:val="left"/>
        <w:rPr>
          <w:rFonts w:ascii="Arial" w:hAnsi="Arial"/>
          <w:sz w:val="20"/>
        </w:rPr>
      </w:pPr>
      <w:r>
        <w:rPr>
          <w:rFonts w:ascii="Arial" w:hAnsi="Arial"/>
          <w:sz w:val="20"/>
        </w:rPr>
        <w:t>In November 2018, we entered into a lease agreement with the One Vanderbilt Avenue joint venture covering certain floors at the property. In March 2021, the lease commenced and we relocated our corporate headquarters to the leased space. For the year ended December 31, 2022 and 2021 we recorded $3.0 million and $2.4 million, respectively, of rent expense under the lease. Additionally, in June 2021, we, through a wholly-owned subsidiary, entered into a lease agreement with the One Vanderbilt Avenue joint venture for Summit One Vanderbilt, which commenced operations in October 2021. For the year ended December 31, 2022, we recorded $33.0 million of rent expense under the lease, including percentage rent, of which $22.8 million was recognized as income as a component of equity in net loss from unconsolidated joint ventures in our consolidated statements of operations. For the year ended December 31, 2021, we recorded $5.0 million of rent expense under the lease with no percentage rent.</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90</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b/>
          <w:i w:val="false"/>
          <w:caps w:val="false"/>
          <w:smallCaps w:val="false"/>
          <w:color w:val="1A2343"/>
          <w:sz w:val="42"/>
        </w:rPr>
      </w:pPr>
      <w:bookmarkStart w:id="114" w:name="pg_OTHERINFORMATION"/>
      <w:bookmarkEnd w:id="114"/>
      <w:r>
        <w:rPr>
          <w:rFonts w:ascii="Arial" w:hAnsi="Arial"/>
          <w:b/>
          <w:i w:val="false"/>
          <w:caps w:val="false"/>
          <w:smallCaps w:val="false"/>
          <w:color w:val="1A2343"/>
          <w:sz w:val="42"/>
        </w:rPr>
        <w:t>OTHER INFORMATION</w:t>
      </w:r>
    </w:p>
    <w:p>
      <w:pPr>
        <w:pStyle w:val="TextBody"/>
        <w:jc w:val="left"/>
        <w:rPr>
          <w:rFonts w:ascii="Arial" w:hAnsi="Arial"/>
          <w:sz w:val="20"/>
        </w:rPr>
      </w:pPr>
      <w:r>
        <w:rPr>
          <w:rFonts w:ascii="Arial" w:hAnsi="Arial"/>
          <w:sz w:val="20"/>
        </w:rPr>
        <w:t>These proxy materials are being made available in connection with the solicitation of proxies by the Board of Directors, or the Board, of SL Green Realty Corp., a Maryland corporation, for use at our 2023 annual meeting of stockholders to be held on June 5, 2023 at 10:00 a.m., Eastern Time, in the auditorium at One Vanderbilt Avenue, New York, New York 10017 or at any postponement or adjournment of the annual meeting.</w:t>
      </w:r>
    </w:p>
    <w:p>
      <w:pPr>
        <w:pStyle w:val="TextBody"/>
        <w:jc w:val="left"/>
        <w:rPr>
          <w:rFonts w:ascii="Arial" w:hAnsi="Arial"/>
          <w:b/>
          <w:i w:val="false"/>
          <w:caps w:val="false"/>
          <w:smallCaps w:val="false"/>
          <w:color w:val="8EAD3C"/>
          <w:sz w:val="32"/>
        </w:rPr>
      </w:pPr>
      <w:bookmarkStart w:id="115" w:name="pg_QuestionsandAnswersabouttheAnnualMeet"/>
      <w:bookmarkEnd w:id="115"/>
      <w:r>
        <w:rPr>
          <w:rFonts w:ascii="Arial" w:hAnsi="Arial"/>
          <w:b/>
          <w:i w:val="false"/>
          <w:caps w:val="false"/>
          <w:smallCaps w:val="false"/>
          <w:color w:val="8EAD3C"/>
          <w:sz w:val="32"/>
        </w:rPr>
        <w:t>QUESTIONS AND ANSWERS ABOUT THE ANNUAL MEETING</w:t>
      </w:r>
    </w:p>
    <w:p>
      <w:pPr>
        <w:pStyle w:val="TextBody"/>
        <w:jc w:val="left"/>
        <w:rPr>
          <w:rFonts w:ascii="Arial" w:hAnsi="Arial"/>
          <w:b/>
          <w:i w:val="false"/>
          <w:caps w:val="false"/>
          <w:smallCaps w:val="false"/>
          <w:color w:val="1A2343"/>
          <w:sz w:val="26"/>
        </w:rPr>
      </w:pPr>
      <w:r>
        <w:rPr>
          <w:rFonts w:ascii="Arial" w:hAnsi="Arial"/>
          <w:b/>
          <w:i w:val="false"/>
          <w:caps w:val="false"/>
          <w:smallCaps w:val="false"/>
          <w:color w:val="1A2343"/>
          <w:sz w:val="26"/>
        </w:rPr>
        <w:t>What is the Notice of Internet Availability of Proxy Materials that I received in the mail this year instead of a full set of proxy materials?</w:t>
      </w:r>
    </w:p>
    <w:p>
      <w:pPr>
        <w:pStyle w:val="TextBody"/>
        <w:jc w:val="left"/>
        <w:rPr>
          <w:rFonts w:ascii="Arial" w:hAnsi="Arial"/>
          <w:sz w:val="20"/>
        </w:rPr>
      </w:pPr>
      <w:r>
        <w:rPr>
          <w:rFonts w:ascii="Arial" w:hAnsi="Arial"/>
          <w:sz w:val="20"/>
        </w:rPr>
        <w:t>In accordance with rules adopted by the Securities and Exchange Commission, or SEC, we may furnish proxy materials, including this proxy statement and our 2022 annual report to stockholders, by providing access to these documents on the Internet instead of mailing a printed copy of our proxy materials to our stockholders. On or about April 21, 2023, we began mailing to many of our stockholders a Notice of Internet Availability of Proxy Materials, or the Notice, containing instructions on how to access this proxy statement and our 2022 annual report online, as well as instructions on how to vote.</w:t>
      </w:r>
    </w:p>
    <w:p>
      <w:pPr>
        <w:pStyle w:val="TextBody"/>
        <w:jc w:val="left"/>
        <w:rPr>
          <w:rFonts w:ascii="Arial" w:hAnsi="Arial"/>
          <w:sz w:val="20"/>
        </w:rPr>
      </w:pPr>
      <w:r>
        <w:rPr>
          <w:rFonts w:ascii="Arial" w:hAnsi="Arial"/>
          <w:sz w:val="20"/>
        </w:rPr>
        <w:t>If you would like to receive a paper or an e-mail copy of our proxy materials for the 2024 annual meeting or for all future annual meetings, you should follow the instructions for requesting such materials included in the Notice. We believe the delivery option that we have chosen this year will allow us to provide our stockholders with the proxy materials they need, while lowering the cost of delivery of the materials and reducing the environmental impact of printing and mailing printed copies.</w:t>
      </w:r>
    </w:p>
    <w:p>
      <w:pPr>
        <w:pStyle w:val="TextBody"/>
        <w:jc w:val="left"/>
        <w:rPr>
          <w:rFonts w:ascii="Arial" w:hAnsi="Arial"/>
          <w:b/>
          <w:i w:val="false"/>
          <w:caps w:val="false"/>
          <w:smallCaps w:val="false"/>
          <w:color w:val="1A2343"/>
          <w:sz w:val="26"/>
        </w:rPr>
      </w:pPr>
      <w:r>
        <w:rPr>
          <w:rFonts w:ascii="Arial" w:hAnsi="Arial"/>
          <w:b/>
          <w:i w:val="false"/>
          <w:caps w:val="false"/>
          <w:smallCaps w:val="false"/>
          <w:color w:val="1A2343"/>
          <w:sz w:val="26"/>
        </w:rPr>
        <w:t>Who is entitled to vote at the annual meeting?</w:t>
      </w:r>
    </w:p>
    <w:p>
      <w:pPr>
        <w:pStyle w:val="TextBody"/>
        <w:jc w:val="left"/>
        <w:rPr>
          <w:rFonts w:ascii="Arial" w:hAnsi="Arial"/>
          <w:sz w:val="20"/>
        </w:rPr>
      </w:pPr>
      <w:r>
        <w:rPr>
          <w:rFonts w:ascii="Arial" w:hAnsi="Arial"/>
          <w:sz w:val="20"/>
        </w:rPr>
        <w:t>Holders of record of our common stock, $0.01 par value per share, at the close of business on March 31, 2023,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pStyle w:val="TextBody"/>
        <w:jc w:val="left"/>
        <w:rPr>
          <w:rFonts w:ascii="Arial" w:hAnsi="Arial"/>
          <w:b/>
          <w:i w:val="false"/>
          <w:caps w:val="false"/>
          <w:smallCaps w:val="false"/>
          <w:color w:val="1A2343"/>
          <w:sz w:val="26"/>
        </w:rPr>
      </w:pPr>
      <w:r>
        <w:rPr>
          <w:rFonts w:ascii="Arial" w:hAnsi="Arial"/>
          <w:b/>
          <w:i w:val="false"/>
          <w:caps w:val="false"/>
          <w:smallCaps w:val="false"/>
          <w:color w:val="1A2343"/>
          <w:sz w:val="26"/>
        </w:rPr>
        <w:t>What is the purpose of the annual meeting?</w:t>
      </w:r>
    </w:p>
    <w:p>
      <w:pPr>
        <w:pStyle w:val="TextBody"/>
        <w:jc w:val="left"/>
        <w:rPr>
          <w:rFonts w:ascii="Arial" w:hAnsi="Arial"/>
          <w:sz w:val="20"/>
        </w:rPr>
      </w:pPr>
      <w:r>
        <w:rPr>
          <w:rFonts w:ascii="Arial" w:hAnsi="Arial"/>
          <w:sz w:val="20"/>
        </w:rPr>
        <w:t>At the annual meeting, you will be asked to vote on the following proposals: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pPr>
            <w:r>
              <w:rPr>
                <w:i/>
              </w:rPr>
              <w:t>Proposal 1:</w:t>
            </w:r>
            <w:r>
              <w:rPr/>
              <w:t xml:space="preserve"> the election of the nine director nominees named in this proxy statement to serve on the Board for a one-year term and until their successors are duly elected and qualify</w:t>
            </w:r>
          </w:p>
        </w:tc>
      </w:tr>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pPr>
            <w:r>
              <w:rPr>
                <w:i/>
              </w:rPr>
              <w:t xml:space="preserve">Proposal 2: </w:t>
            </w:r>
            <w:r>
              <w:rPr/>
              <w:t>the approval of an advisory resolution approving the compensation of our named executive officers as disclosed in this proxy statement pursuant to Item 402 of Regulation S-K</w:t>
            </w:r>
          </w:p>
        </w:tc>
      </w:tr>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pPr>
            <w:r>
              <w:rPr>
                <w:i/>
              </w:rPr>
              <w:t xml:space="preserve">Proposal 3: </w:t>
            </w:r>
            <w:r>
              <w:rPr/>
              <w:t>the ratification of the appointment of Ernst &amp; Young LLP as our independent registered public accounting firm for the fiscal year ending December 31, 2023</w:t>
            </w:r>
          </w:p>
        </w:tc>
      </w:tr>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pPr>
            <w:r>
              <w:rPr>
                <w:i/>
              </w:rPr>
              <w:t xml:space="preserve">Proposal 4: </w:t>
            </w:r>
            <w:r>
              <w:rPr/>
              <w:t>an advisory vote on the frequency of future stockholder advisory votes on the compensation of our named executive officers</w:t>
            </w:r>
          </w:p>
        </w:tc>
      </w:tr>
    </w:tbl>
    <w:p>
      <w:pPr>
        <w:pStyle w:val="TextBody"/>
        <w:spacing w:before="240" w:after="283"/>
        <w:jc w:val="left"/>
        <w:rPr>
          <w:rFonts w:ascii="Arial" w:hAnsi="Arial"/>
          <w:sz w:val="20"/>
        </w:rPr>
      </w:pPr>
      <w:r>
        <w:rPr>
          <w:rFonts w:ascii="Arial" w:hAnsi="Arial"/>
          <w:sz w:val="20"/>
        </w:rPr>
        <w:t>You also may be asked to consider and act upon any other matters that may properly be brought before the annual meeting and at any adjournments or postponements thereof.</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975" w:type="dxa"/>
        <w:jc w:val="left"/>
        <w:tblInd w:w="0" w:type="dxa"/>
        <w:tblCellMar>
          <w:top w:w="0" w:type="dxa"/>
          <w:left w:w="0" w:type="dxa"/>
          <w:bottom w:w="0" w:type="dxa"/>
          <w:right w:w="0" w:type="dxa"/>
        </w:tblCellMar>
      </w:tblPr>
      <w:tblGrid>
        <w:gridCol w:w="1685"/>
        <w:gridCol w:w="290"/>
      </w:tblGrid>
      <w:tr>
        <w:trPr/>
        <w:tc>
          <w:tcPr>
            <w:tcW w:w="1685" w:type="dxa"/>
            <w:tcBorders/>
            <w:shd w:fill="auto" w:val="clear"/>
            <w:vAlign w:val="center"/>
          </w:tcPr>
          <w:p>
            <w:pPr>
              <w:pStyle w:val="TableContents"/>
              <w:spacing w:before="0" w:after="283"/>
              <w:jc w:val="left"/>
              <w:rPr>
                <w:rFonts w:ascii="Arial" w:hAnsi="Arial"/>
                <w:sz w:val="15"/>
              </w:rPr>
            </w:pPr>
            <w:r>
              <w:rPr>
                <w:rFonts w:ascii="Arial" w:hAnsi="Arial"/>
                <w:b/>
                <w:sz w:val="15"/>
              </w:rPr>
              <w:t>OTHER INFORMATION</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91</w:t>
            </w:r>
          </w:p>
        </w:tc>
      </w:tr>
    </w:tbl>
    <w:p>
      <w:pPr>
        <w:pStyle w:val="TextBody"/>
        <w:spacing w:before="240" w:after="283"/>
        <w:jc w:val="left"/>
        <w:rPr>
          <w:rFonts w:ascii="Arial" w:hAnsi="Arial"/>
          <w:b/>
          <w:i w:val="false"/>
          <w:caps w:val="false"/>
          <w:smallCaps w:val="false"/>
          <w:color w:val="1A2343"/>
          <w:sz w:val="26"/>
        </w:rPr>
      </w:pPr>
      <w:r>
        <w:rPr>
          <w:rFonts w:ascii="Arial" w:hAnsi="Arial"/>
          <w:b/>
          <w:i w:val="false"/>
          <w:caps w:val="false"/>
          <w:smallCaps w:val="false"/>
          <w:color w:val="1A2343"/>
          <w:sz w:val="26"/>
        </w:rPr>
        <w:t>What constitutes a quorum?</w:t>
      </w:r>
    </w:p>
    <w:p>
      <w:pPr>
        <w:pStyle w:val="TextBody"/>
        <w:jc w:val="left"/>
        <w:rPr>
          <w:rFonts w:ascii="Arial" w:hAnsi="Arial"/>
          <w:sz w:val="20"/>
        </w:rPr>
      </w:pPr>
      <w:r>
        <w:rPr>
          <w:rFonts w:ascii="Arial" w:hAnsi="Arial"/>
          <w:sz w:val="20"/>
        </w:rPr>
        <w:t>The presence, in person or by proxy, of holders of a majority of the total number of outstanding shares entitled to vote at the annual meeting is necessary to constitute a quorum for the transaction of any business at the annual meeting. As of the record date, there were 65,433,143 shares outstanding and entitled to vote at the annual meeting.</w:t>
      </w:r>
    </w:p>
    <w:p>
      <w:pPr>
        <w:pStyle w:val="TextBody"/>
        <w:jc w:val="left"/>
        <w:rPr>
          <w:rFonts w:ascii="Arial" w:hAnsi="Arial"/>
          <w:sz w:val="20"/>
        </w:rPr>
      </w:pPr>
      <w:r>
        <w:rPr>
          <w:rFonts w:ascii="Arial" w:hAnsi="Arial"/>
          <w:sz w:val="20"/>
        </w:rPr>
        <w:t>Each share of our common stock outstanding on the record date is entitled to one vote on each matter properly submitted at the annual meeting and, with respect to the election of directors, one vote for each director to be elected. Abstentions and “broker non-votes” (i.e., shares represented at the meeting held by brokers, as to which instructions have not been received from the beneficial owners or persons entitled to vote such shares and with respect to which, on a particular matter, the broker does not have discretionary voting power to vote such shares) will be counted for purposes of determining whether a quorum is present for the transaction of business at the annual meeting.</w:t>
      </w:r>
    </w:p>
    <w:p>
      <w:pPr>
        <w:pStyle w:val="TextBody"/>
        <w:jc w:val="left"/>
        <w:rPr>
          <w:rFonts w:ascii="Arial" w:hAnsi="Arial"/>
          <w:b/>
          <w:i w:val="false"/>
          <w:caps w:val="false"/>
          <w:smallCaps w:val="false"/>
          <w:color w:val="1A2343"/>
          <w:sz w:val="26"/>
        </w:rPr>
      </w:pPr>
      <w:r>
        <w:rPr>
          <w:rFonts w:ascii="Arial" w:hAnsi="Arial"/>
          <w:b/>
          <w:i w:val="false"/>
          <w:caps w:val="false"/>
          <w:smallCaps w:val="false"/>
          <w:color w:val="1A2343"/>
          <w:sz w:val="26"/>
        </w:rPr>
        <w:t>What vote is required to approve each proposal?</w:t>
      </w:r>
    </w:p>
    <w:p>
      <w:pPr>
        <w:pStyle w:val="TextBody"/>
        <w:jc w:val="left"/>
        <w:rPr>
          <w:rFonts w:ascii="Arial" w:hAnsi="Arial"/>
          <w:sz w:val="20"/>
        </w:rPr>
      </w:pPr>
      <w:r>
        <w:rPr>
          <w:rFonts w:ascii="Arial" w:hAnsi="Arial"/>
          <w:sz w:val="20"/>
        </w:rPr>
        <w:t>For Proposal 1, a majority of all the votes cast with respect to a nominee’s election is required for such nominee to be elected to serve on the Board. This means that the number of votes cast “for” a nominee must exceed the number of votes cast “against” such nominee. Abstentions and broker non-votes are not counted as a vote cast either “for” or “against” a nominee, and therefore, will have no effect on the election of directors. For more information on the operation of our majority voting standard in director elections, see the section entitled “Our Board of Directors and Corporate Governance—Corporate Governance—Majority Voting Standard and Director Resignation Policy.”</w:t>
      </w:r>
    </w:p>
    <w:p>
      <w:pPr>
        <w:pStyle w:val="TextBody"/>
        <w:jc w:val="left"/>
        <w:rPr>
          <w:rFonts w:ascii="Arial" w:hAnsi="Arial"/>
          <w:sz w:val="20"/>
        </w:rPr>
      </w:pPr>
      <w:r>
        <w:rPr>
          <w:rFonts w:ascii="Arial" w:hAnsi="Arial"/>
          <w:sz w:val="20"/>
        </w:rPr>
        <w:t>A majority of all of the votes cast with respect to the proposal is required for approval of each of Proposals 2 and 3. For Proposal 4, we will consider the option that receives the most votes to be the option recommended by the stockholders. In respect of Proposals 2, 3 and 4, abstentions and broker non-votes are not counted as votes cast, and therefore will have no effect on the votes for these proposals.</w:t>
      </w:r>
    </w:p>
    <w:p>
      <w:pPr>
        <w:pStyle w:val="TextBody"/>
        <w:jc w:val="left"/>
        <w:rPr>
          <w:rFonts w:ascii="Arial" w:hAnsi="Arial"/>
          <w:b/>
          <w:i w:val="false"/>
          <w:caps w:val="false"/>
          <w:smallCaps w:val="false"/>
          <w:color w:val="1A2343"/>
          <w:sz w:val="26"/>
        </w:rPr>
      </w:pPr>
      <w:r>
        <w:rPr>
          <w:rFonts w:ascii="Arial" w:hAnsi="Arial"/>
          <w:b/>
          <w:i w:val="false"/>
          <w:caps w:val="false"/>
          <w:smallCaps w:val="false"/>
          <w:color w:val="1A2343"/>
          <w:sz w:val="26"/>
        </w:rPr>
        <w:t>How do I vote?</w:t>
      </w:r>
    </w:p>
    <w:p>
      <w:pPr>
        <w:pStyle w:val="TextBody"/>
        <w:jc w:val="left"/>
        <w:rPr/>
      </w:pPr>
      <w:r>
        <w:rPr>
          <w:rFonts w:ascii="Arial" w:hAnsi="Arial"/>
          <w:i/>
          <w:sz w:val="20"/>
        </w:rPr>
        <w:t xml:space="preserve">Voting in Person at the Annual Meeting. </w:t>
      </w:r>
      <w:r>
        <w:rPr>
          <w:rFonts w:ascii="Arial" w:hAnsi="Arial"/>
          <w:sz w:val="20"/>
        </w:rPr>
        <w:t>If you hold your shares in your own name as a holder of record with our transfer agent, Computershare, and attend 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p>
    <w:p>
      <w:pPr>
        <w:pStyle w:val="TextBody"/>
        <w:jc w:val="left"/>
        <w:rPr/>
      </w:pPr>
      <w:r>
        <w:rPr>
          <w:rFonts w:ascii="Arial" w:hAnsi="Arial"/>
          <w:i/>
          <w:sz w:val="20"/>
        </w:rPr>
        <w:t xml:space="preserve">If you received a paper copy of this Proxy Statement. </w:t>
      </w:r>
      <w:r>
        <w:rPr>
          <w:rFonts w:ascii="Arial" w:hAnsi="Arial"/>
          <w:sz w:val="20"/>
        </w:rPr>
        <w:t>You can vote by valid proxy received by telephone, electronically via the Internet or by mail. The deadline for voting by telephone or electronically via the Internet is 11:59 p.m., Eastern Daylight Time, on June 4, 2023. If voting by mail, you must:</w:t>
      </w:r>
    </w:p>
    <w:tbl>
      <w:tblPr>
        <w:tblW w:w="8335" w:type="dxa"/>
        <w:jc w:val="left"/>
        <w:tblInd w:w="0" w:type="dxa"/>
        <w:tblCellMar>
          <w:top w:w="0" w:type="dxa"/>
          <w:left w:w="0" w:type="dxa"/>
          <w:bottom w:w="0" w:type="dxa"/>
          <w:right w:w="0" w:type="dxa"/>
        </w:tblCellMar>
      </w:tblPr>
      <w:tblGrid>
        <w:gridCol w:w="170"/>
        <w:gridCol w:w="8165"/>
      </w:tblGrid>
      <w:tr>
        <w:trPr/>
        <w:tc>
          <w:tcPr>
            <w:tcW w:w="170" w:type="dxa"/>
            <w:tcBorders/>
            <w:shd w:fill="auto" w:val="clear"/>
            <w:vAlign w:val="center"/>
          </w:tcPr>
          <w:p>
            <w:pPr>
              <w:pStyle w:val="TableContents"/>
              <w:spacing w:before="0" w:after="283"/>
              <w:rPr/>
            </w:pPr>
            <w:r>
              <w:rPr/>
              <w:t>●</w:t>
            </w:r>
          </w:p>
        </w:tc>
        <w:tc>
          <w:tcPr>
            <w:tcW w:w="8165" w:type="dxa"/>
            <w:tcBorders/>
            <w:shd w:fill="auto" w:val="clear"/>
            <w:vAlign w:val="center"/>
          </w:tcPr>
          <w:p>
            <w:pPr>
              <w:pStyle w:val="TableContents"/>
              <w:spacing w:before="0" w:after="283"/>
              <w:rPr/>
            </w:pPr>
            <w:r>
              <w:rPr/>
              <w:t>indicate your instructions on the proxy</w:t>
            </w:r>
          </w:p>
        </w:tc>
      </w:tr>
      <w:tr>
        <w:trPr/>
        <w:tc>
          <w:tcPr>
            <w:tcW w:w="170" w:type="dxa"/>
            <w:tcBorders/>
            <w:shd w:fill="auto" w:val="clear"/>
            <w:vAlign w:val="center"/>
          </w:tcPr>
          <w:p>
            <w:pPr>
              <w:pStyle w:val="TableContents"/>
              <w:spacing w:before="0" w:after="283"/>
              <w:rPr/>
            </w:pPr>
            <w:r>
              <w:rPr/>
              <w:t>●</w:t>
            </w:r>
          </w:p>
        </w:tc>
        <w:tc>
          <w:tcPr>
            <w:tcW w:w="8165" w:type="dxa"/>
            <w:tcBorders/>
            <w:shd w:fill="auto" w:val="clear"/>
            <w:vAlign w:val="center"/>
          </w:tcPr>
          <w:p>
            <w:pPr>
              <w:pStyle w:val="TableContents"/>
              <w:spacing w:before="0" w:after="283"/>
              <w:rPr/>
            </w:pPr>
            <w:r>
              <w:rPr/>
              <w:t>date and sign the proxy</w:t>
            </w:r>
          </w:p>
        </w:tc>
      </w:tr>
      <w:tr>
        <w:trPr/>
        <w:tc>
          <w:tcPr>
            <w:tcW w:w="170" w:type="dxa"/>
            <w:tcBorders/>
            <w:shd w:fill="auto" w:val="clear"/>
            <w:vAlign w:val="center"/>
          </w:tcPr>
          <w:p>
            <w:pPr>
              <w:pStyle w:val="TableContents"/>
              <w:spacing w:before="0" w:after="283"/>
              <w:rPr/>
            </w:pPr>
            <w:r>
              <w:rPr/>
              <w:t>●</w:t>
            </w:r>
          </w:p>
        </w:tc>
        <w:tc>
          <w:tcPr>
            <w:tcW w:w="8165" w:type="dxa"/>
            <w:tcBorders/>
            <w:shd w:fill="auto" w:val="clear"/>
            <w:vAlign w:val="center"/>
          </w:tcPr>
          <w:p>
            <w:pPr>
              <w:pStyle w:val="TableContents"/>
              <w:spacing w:before="0" w:after="283"/>
              <w:rPr/>
            </w:pPr>
            <w:r>
              <w:rPr/>
              <w:t>promptly mail the proxy in the enclosed envelope</w:t>
            </w:r>
          </w:p>
        </w:tc>
      </w:tr>
      <w:tr>
        <w:trPr/>
        <w:tc>
          <w:tcPr>
            <w:tcW w:w="170" w:type="dxa"/>
            <w:tcBorders/>
            <w:shd w:fill="auto" w:val="clear"/>
            <w:vAlign w:val="center"/>
          </w:tcPr>
          <w:p>
            <w:pPr>
              <w:pStyle w:val="TableContents"/>
              <w:spacing w:before="0" w:after="283"/>
              <w:rPr/>
            </w:pPr>
            <w:r>
              <w:rPr/>
              <w:t>●</w:t>
            </w:r>
          </w:p>
        </w:tc>
        <w:tc>
          <w:tcPr>
            <w:tcW w:w="8165" w:type="dxa"/>
            <w:tcBorders/>
            <w:shd w:fill="auto" w:val="clear"/>
            <w:vAlign w:val="center"/>
          </w:tcPr>
          <w:p>
            <w:pPr>
              <w:pStyle w:val="TableContents"/>
              <w:spacing w:before="0" w:after="283"/>
              <w:rPr/>
            </w:pPr>
            <w:r>
              <w:rPr/>
              <w:t>allow sufficient time for the proxy to be received before the date of the annual meeting</w:t>
            </w:r>
          </w:p>
        </w:tc>
      </w:tr>
    </w:tbl>
    <w:p>
      <w:pPr>
        <w:pStyle w:val="TextBody"/>
        <w:spacing w:before="240" w:after="283"/>
        <w:jc w:val="left"/>
        <w:rPr>
          <w:rFonts w:ascii="Arial" w:hAnsi="Arial"/>
          <w:sz w:val="20"/>
        </w:rPr>
      </w:pPr>
      <w:r>
        <w:rPr>
          <w:rFonts w:ascii="Arial" w:hAnsi="Arial"/>
          <w:sz w:val="20"/>
        </w:rPr>
        <w:t>If your shares are held in “street name” such as in a stock brokerage account, by a bank or other nominee, please follow the instructions you received from your broker with respect to the voting of your shares.</w:t>
      </w:r>
    </w:p>
    <w:p>
      <w:pPr>
        <w:pStyle w:val="TextBody"/>
        <w:jc w:val="left"/>
        <w:rPr/>
      </w:pPr>
      <w:r>
        <w:rPr>
          <w:rFonts w:ascii="Arial" w:hAnsi="Arial"/>
          <w:i/>
          <w:sz w:val="20"/>
        </w:rPr>
        <w:t xml:space="preserve">If you received a Notice of Internet Availability of Proxy Statement. </w:t>
      </w:r>
      <w:r>
        <w:rPr>
          <w:rFonts w:ascii="Arial" w:hAnsi="Arial"/>
          <w:sz w:val="20"/>
        </w:rPr>
        <w:t>Please submit your proxy electronically via the Internet using the instructions included in the Notice. The deadline for voting electronically via the Internet is 11:59 p.m., Eastern Daylight Time, on June 4, 2023.</w:t>
      </w:r>
    </w:p>
    <w:p>
      <w:pPr>
        <w:pStyle w:val="TextBody"/>
        <w:jc w:val="left"/>
        <w:rPr/>
      </w:pPr>
      <w:r>
        <w:rPr>
          <w:rFonts w:ascii="Arial" w:hAnsi="Arial"/>
          <w:i/>
          <w:sz w:val="20"/>
        </w:rPr>
        <w:t xml:space="preserve">If you received an e-mail copy of this Proxy Statement. </w:t>
      </w:r>
      <w:r>
        <w:rPr>
          <w:rFonts w:ascii="Arial" w:hAnsi="Arial"/>
          <w:sz w:val="20"/>
        </w:rPr>
        <w:t>Please submit your proxy electronically via the Internet or telephonically using the instructions included on the Proxy Card. The deadline for voting electronically via the Internet or telephonically is 11:59 p.m., Eastern Daylight Time, on June 4, 2023.</w:t>
      </w:r>
    </w:p>
    <w:p>
      <w:pPr>
        <w:pStyle w:val="TextBody"/>
        <w:jc w:val="left"/>
        <w:rPr>
          <w:rFonts w:ascii="Arial" w:hAnsi="Arial"/>
          <w:sz w:val="20"/>
        </w:rPr>
      </w:pPr>
      <w:r>
        <w:rPr>
          <w:rFonts w:ascii="Arial" w:hAnsi="Arial"/>
          <w:sz w:val="20"/>
        </w:rPr>
        <w:t>If you have any questions regarding how to authorize your proxy by telephone or via the Internet, please call MacKenzie Partners, Inc., toll-free at (800) 322-2885 or collect at (212) 929-5500.</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92</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sz w:val="20"/>
        </w:rPr>
      </w:pPr>
      <w:r>
        <w:rPr>
          <w:rFonts w:ascii="Arial" w:hAnsi="Arial"/>
          <w:sz w:val="20"/>
        </w:rPr>
        <w:t>Even if you plan to attend the annual meeting, we recommend that you submit a proxy to vote your shares in advance so that your vote will be counted if you later are unable to attend the annual meeting.</w:t>
      </w:r>
    </w:p>
    <w:p>
      <w:pPr>
        <w:pStyle w:val="TextBody"/>
        <w:jc w:val="left"/>
        <w:rPr>
          <w:rFonts w:ascii="Arial" w:hAnsi="Arial"/>
          <w:b/>
          <w:i w:val="false"/>
          <w:caps w:val="false"/>
          <w:smallCaps w:val="false"/>
          <w:color w:val="1A2343"/>
          <w:sz w:val="26"/>
        </w:rPr>
      </w:pPr>
      <w:r>
        <w:rPr>
          <w:rFonts w:ascii="Arial" w:hAnsi="Arial"/>
          <w:b/>
          <w:i w:val="false"/>
          <w:caps w:val="false"/>
          <w:smallCaps w:val="false"/>
          <w:color w:val="1A2343"/>
          <w:sz w:val="26"/>
        </w:rPr>
        <w:t>Can I change my vote after I have voted?</w:t>
      </w:r>
    </w:p>
    <w:p>
      <w:pPr>
        <w:pStyle w:val="TextBody"/>
        <w:jc w:val="left"/>
        <w:rPr>
          <w:rFonts w:ascii="Arial" w:hAnsi="Arial"/>
          <w:sz w:val="20"/>
        </w:rPr>
      </w:pPr>
      <w:r>
        <w:rPr>
          <w:rFonts w:ascii="Arial" w:hAnsi="Arial"/>
          <w:sz w:val="20"/>
        </w:rPr>
        <w:t>If you cast a vote by proxy, you may revoke it at any time before it is voted by:</w:t>
      </w:r>
    </w:p>
    <w:tbl>
      <w:tblPr>
        <w:tblW w:w="7285" w:type="dxa"/>
        <w:jc w:val="left"/>
        <w:tblInd w:w="0" w:type="dxa"/>
        <w:tblCellMar>
          <w:top w:w="0" w:type="dxa"/>
          <w:left w:w="0" w:type="dxa"/>
          <w:bottom w:w="0" w:type="dxa"/>
          <w:right w:w="0" w:type="dxa"/>
        </w:tblCellMar>
      </w:tblPr>
      <w:tblGrid>
        <w:gridCol w:w="170"/>
        <w:gridCol w:w="7115"/>
      </w:tblGrid>
      <w:tr>
        <w:trPr/>
        <w:tc>
          <w:tcPr>
            <w:tcW w:w="170" w:type="dxa"/>
            <w:tcBorders/>
            <w:shd w:fill="auto" w:val="clear"/>
            <w:vAlign w:val="center"/>
          </w:tcPr>
          <w:p>
            <w:pPr>
              <w:pStyle w:val="TableContents"/>
              <w:spacing w:before="0" w:after="283"/>
              <w:rPr/>
            </w:pPr>
            <w:r>
              <w:rPr/>
              <w:t>●</w:t>
            </w:r>
          </w:p>
        </w:tc>
        <w:tc>
          <w:tcPr>
            <w:tcW w:w="7115" w:type="dxa"/>
            <w:tcBorders/>
            <w:shd w:fill="auto" w:val="clear"/>
            <w:vAlign w:val="center"/>
          </w:tcPr>
          <w:p>
            <w:pPr>
              <w:pStyle w:val="TableContents"/>
              <w:spacing w:before="0" w:after="283"/>
              <w:rPr/>
            </w:pPr>
            <w:r>
              <w:rPr/>
              <w:t>filing a written notice revoking the proxy with our Secretary at our address;</w:t>
            </w:r>
          </w:p>
        </w:tc>
      </w:tr>
      <w:tr>
        <w:trPr/>
        <w:tc>
          <w:tcPr>
            <w:tcW w:w="170" w:type="dxa"/>
            <w:tcBorders/>
            <w:shd w:fill="auto" w:val="clear"/>
            <w:vAlign w:val="center"/>
          </w:tcPr>
          <w:p>
            <w:pPr>
              <w:pStyle w:val="TableContents"/>
              <w:spacing w:before="0" w:after="283"/>
              <w:rPr/>
            </w:pPr>
            <w:r>
              <w:rPr/>
              <w:t>●</w:t>
            </w:r>
          </w:p>
        </w:tc>
        <w:tc>
          <w:tcPr>
            <w:tcW w:w="7115" w:type="dxa"/>
            <w:tcBorders/>
            <w:shd w:fill="auto" w:val="clear"/>
            <w:vAlign w:val="center"/>
          </w:tcPr>
          <w:p>
            <w:pPr>
              <w:pStyle w:val="TableContents"/>
              <w:spacing w:before="0" w:after="283"/>
              <w:rPr/>
            </w:pPr>
            <w:r>
              <w:rPr/>
              <w:t>properly signing and forwarding to us a proxy with a later date; or</w:t>
            </w:r>
          </w:p>
        </w:tc>
      </w:tr>
      <w:tr>
        <w:trPr/>
        <w:tc>
          <w:tcPr>
            <w:tcW w:w="170" w:type="dxa"/>
            <w:tcBorders/>
            <w:shd w:fill="auto" w:val="clear"/>
            <w:vAlign w:val="center"/>
          </w:tcPr>
          <w:p>
            <w:pPr>
              <w:pStyle w:val="TableContents"/>
              <w:spacing w:before="0" w:after="283"/>
              <w:rPr/>
            </w:pPr>
            <w:r>
              <w:rPr/>
              <w:t>●</w:t>
            </w:r>
          </w:p>
        </w:tc>
        <w:tc>
          <w:tcPr>
            <w:tcW w:w="7115" w:type="dxa"/>
            <w:tcBorders/>
            <w:shd w:fill="auto" w:val="clear"/>
            <w:vAlign w:val="center"/>
          </w:tcPr>
          <w:p>
            <w:pPr>
              <w:pStyle w:val="TableContents"/>
              <w:spacing w:before="0" w:after="283"/>
              <w:rPr/>
            </w:pPr>
            <w:r>
              <w:rPr/>
              <w:t>voting during the annual meeting</w:t>
            </w:r>
          </w:p>
        </w:tc>
      </w:tr>
    </w:tbl>
    <w:p>
      <w:pPr>
        <w:pStyle w:val="TextBody"/>
        <w:spacing w:before="240" w:after="283"/>
        <w:jc w:val="left"/>
        <w:rPr>
          <w:rFonts w:ascii="Arial" w:hAnsi="Arial"/>
          <w:sz w:val="20"/>
        </w:rPr>
      </w:pPr>
      <w:r>
        <w:rPr>
          <w:rFonts w:ascii="Arial" w:hAnsi="Arial"/>
          <w:sz w:val="20"/>
        </w:rPr>
        <w:t>If you attend the annual meeting, you may vote whether or not you previously have given a proxy, but your attendance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p>
    <w:p>
      <w:pPr>
        <w:pStyle w:val="TextBody"/>
        <w:jc w:val="left"/>
        <w:rPr/>
      </w:pPr>
      <w:r>
        <w:rPr>
          <w:rFonts w:ascii="Arial" w:hAnsi="Arial"/>
          <w:sz w:val="20"/>
        </w:rPr>
        <w:t xml:space="preserve">You may revoke a proxy for shares held by a bank, broker or other nominee by submitting new voting instructions to the bank, broker or other nominee, or by attending the annual meeting and voting during the meeting. See </w:t>
      </w:r>
      <w:r>
        <w:rPr/>
        <w:t>“</w:t>
      </w:r>
      <w:r>
        <w:rPr>
          <w:rFonts w:ascii="Arial" w:hAnsi="Arial"/>
          <w:i/>
          <w:sz w:val="20"/>
        </w:rPr>
        <w:t xml:space="preserve">How Do I Vote? – Voting During the Annual Meeting” </w:t>
      </w:r>
      <w:r>
        <w:rPr>
          <w:rFonts w:ascii="Arial" w:hAnsi="Arial"/>
          <w:sz w:val="20"/>
        </w:rPr>
        <w:t>above.</w:t>
      </w:r>
    </w:p>
    <w:p>
      <w:pPr>
        <w:pStyle w:val="TextBody"/>
        <w:jc w:val="left"/>
        <w:rPr>
          <w:rFonts w:ascii="Arial" w:hAnsi="Arial"/>
          <w:b/>
          <w:i w:val="false"/>
          <w:caps w:val="false"/>
          <w:smallCaps w:val="false"/>
          <w:color w:val="1A2343"/>
          <w:sz w:val="26"/>
        </w:rPr>
      </w:pPr>
      <w:r>
        <w:rPr>
          <w:rFonts w:ascii="Arial" w:hAnsi="Arial"/>
          <w:b/>
          <w:i w:val="false"/>
          <w:caps w:val="false"/>
          <w:smallCaps w:val="false"/>
          <w:color w:val="1A2343"/>
          <w:sz w:val="26"/>
        </w:rPr>
        <w:t>How is my vote counted?</w:t>
      </w:r>
    </w:p>
    <w:p>
      <w:pPr>
        <w:pStyle w:val="TextBody"/>
        <w:jc w:val="left"/>
        <w:rPr>
          <w:rFonts w:ascii="Arial" w:hAnsi="Arial"/>
          <w:sz w:val="20"/>
        </w:rPr>
      </w:pPr>
      <w:r>
        <w:rPr>
          <w:rFonts w:ascii="Arial" w:hAnsi="Arial"/>
          <w:sz w:val="20"/>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nominees for directors named in this proxy statement, “for” advisory approval of the compensation of our named executive officers, “for” ratification of the appointment of Ernst &amp; Young LLP as our independent registered public accounting firm for the fiscal year ending December 31, 2023 and for “one year” as the frequency for future non-binding advisory votes on the compensation of our named executive officers. It is not anticipated that any matters other than those set forth in this proxy statement will be presented at the annual meeting. If other matters are presented, proxies will be voted in accordance with the discretion of the proxy holders.</w:t>
      </w:r>
    </w:p>
    <w:p>
      <w:pPr>
        <w:pStyle w:val="TextBody"/>
        <w:jc w:val="left"/>
        <w:rPr>
          <w:rFonts w:ascii="Arial" w:hAnsi="Arial"/>
          <w:b/>
          <w:i w:val="false"/>
          <w:caps w:val="false"/>
          <w:smallCaps w:val="false"/>
          <w:color w:val="1A2343"/>
          <w:sz w:val="26"/>
        </w:rPr>
      </w:pPr>
      <w:r>
        <w:rPr>
          <w:rFonts w:ascii="Arial" w:hAnsi="Arial"/>
          <w:b/>
          <w:i w:val="false"/>
          <w:caps w:val="false"/>
          <w:smallCaps w:val="false"/>
          <w:color w:val="1A2343"/>
          <w:sz w:val="26"/>
        </w:rPr>
        <w:t>How does the Board recommend that I vote on each of the proposals?</w:t>
      </w:r>
    </w:p>
    <w:p>
      <w:pPr>
        <w:pStyle w:val="TextBody"/>
        <w:jc w:val="left"/>
        <w:rPr>
          <w:rFonts w:ascii="Arial" w:hAnsi="Arial"/>
          <w:sz w:val="20"/>
        </w:rPr>
      </w:pPr>
      <w:r>
        <w:rPr>
          <w:rFonts w:ascii="Arial" w:hAnsi="Arial"/>
          <w:sz w:val="20"/>
        </w:rPr>
        <w:t>The Board recommends that you vote:</w:t>
      </w:r>
    </w:p>
    <w:tbl>
      <w:tblPr>
        <w:tblW w:w="10205" w:type="dxa"/>
        <w:jc w:val="left"/>
        <w:tblInd w:w="0" w:type="dxa"/>
        <w:tblCellMar>
          <w:top w:w="0" w:type="dxa"/>
          <w:left w:w="0" w:type="dxa"/>
          <w:bottom w:w="40" w:type="dxa"/>
          <w:right w:w="0" w:type="dxa"/>
        </w:tblCellMar>
      </w:tblPr>
      <w:tblGrid>
        <w:gridCol w:w="3243"/>
        <w:gridCol w:w="300"/>
        <w:gridCol w:w="635"/>
        <w:gridCol w:w="300"/>
        <w:gridCol w:w="5727"/>
      </w:tblGrid>
      <w:tr>
        <w:trPr/>
        <w:tc>
          <w:tcPr>
            <w:tcW w:w="3243" w:type="dxa"/>
            <w:tcBorders>
              <w:bottom w:val="single" w:sz="12" w:space="0" w:color="8EAD3C"/>
            </w:tcBorders>
            <w:shd w:fill="auto" w:val="clear"/>
            <w:vAlign w:val="center"/>
          </w:tcPr>
          <w:p>
            <w:pPr>
              <w:pStyle w:val="TableContents"/>
              <w:spacing w:before="0" w:after="283"/>
              <w:jc w:val="left"/>
              <w:rPr>
                <w:rFonts w:ascii="Arial" w:hAnsi="Arial"/>
                <w:b/>
                <w:i w:val="false"/>
                <w:caps w:val="false"/>
                <w:smallCaps w:val="false"/>
                <w:color w:val="1A2343"/>
                <w:sz w:val="15"/>
              </w:rPr>
            </w:pPr>
            <w:r>
              <w:rPr>
                <w:rFonts w:ascii="Arial" w:hAnsi="Arial"/>
                <w:b/>
                <w:i w:val="false"/>
                <w:caps w:val="false"/>
                <w:smallCaps w:val="false"/>
                <w:color w:val="1A2343"/>
                <w:sz w:val="15"/>
              </w:rPr>
              <w:t>Item</w:t>
            </w:r>
          </w:p>
        </w:tc>
        <w:tc>
          <w:tcPr>
            <w:tcW w:w="300" w:type="dxa"/>
            <w:tcBorders>
              <w:bottom w:val="single" w:sz="12" w:space="0" w:color="8EAD3C"/>
            </w:tcBorders>
            <w:shd w:fill="auto" w:val="clear"/>
            <w:vAlign w:val="center"/>
          </w:tcPr>
          <w:p>
            <w:pPr>
              <w:pStyle w:val="TableContents"/>
              <w:spacing w:before="0" w:after="283"/>
              <w:rPr>
                <w:sz w:val="4"/>
                <w:szCs w:val="4"/>
              </w:rPr>
            </w:pPr>
            <w:r>
              <w:rPr>
                <w:sz w:val="4"/>
                <w:szCs w:val="4"/>
              </w:rPr>
            </w:r>
          </w:p>
        </w:tc>
        <w:tc>
          <w:tcPr>
            <w:tcW w:w="635" w:type="dxa"/>
            <w:tcBorders>
              <w:bottom w:val="single" w:sz="12" w:space="0" w:color="8EAD3C"/>
            </w:tcBorders>
            <w:shd w:fill="auto" w:val="clear"/>
            <w:vAlign w:val="center"/>
          </w:tcPr>
          <w:p>
            <w:pPr>
              <w:pStyle w:val="TableContents"/>
              <w:spacing w:before="0" w:after="283"/>
              <w:rPr>
                <w:sz w:val="4"/>
                <w:szCs w:val="4"/>
              </w:rPr>
            </w:pPr>
            <w:r>
              <w:rPr>
                <w:sz w:val="4"/>
                <w:szCs w:val="4"/>
              </w:rPr>
            </w:r>
          </w:p>
        </w:tc>
        <w:tc>
          <w:tcPr>
            <w:tcW w:w="300" w:type="dxa"/>
            <w:tcBorders>
              <w:bottom w:val="single" w:sz="12" w:space="0" w:color="8EAD3C"/>
            </w:tcBorders>
            <w:shd w:fill="auto" w:val="clear"/>
            <w:vAlign w:val="center"/>
          </w:tcPr>
          <w:p>
            <w:pPr>
              <w:pStyle w:val="TableContents"/>
              <w:spacing w:before="0" w:after="283"/>
              <w:rPr>
                <w:sz w:val="4"/>
                <w:szCs w:val="4"/>
              </w:rPr>
            </w:pPr>
            <w:r>
              <w:rPr>
                <w:sz w:val="4"/>
                <w:szCs w:val="4"/>
              </w:rPr>
            </w:r>
          </w:p>
        </w:tc>
        <w:tc>
          <w:tcPr>
            <w:tcW w:w="5727" w:type="dxa"/>
            <w:tcBorders>
              <w:bottom w:val="single" w:sz="12" w:space="0" w:color="8EAD3C"/>
            </w:tcBorders>
            <w:shd w:fill="auto" w:val="clear"/>
            <w:vAlign w:val="center"/>
          </w:tcPr>
          <w:p>
            <w:pPr>
              <w:pStyle w:val="TableContents"/>
              <w:spacing w:before="0" w:after="283"/>
              <w:jc w:val="left"/>
              <w:rPr>
                <w:rFonts w:ascii="Arial" w:hAnsi="Arial"/>
                <w:b/>
                <w:i w:val="false"/>
                <w:caps w:val="false"/>
                <w:smallCaps w:val="false"/>
                <w:color w:val="1A2343"/>
                <w:sz w:val="15"/>
              </w:rPr>
            </w:pPr>
            <w:r>
              <w:rPr>
                <w:rFonts w:ascii="Arial" w:hAnsi="Arial"/>
                <w:b/>
                <w:i w:val="false"/>
                <w:caps w:val="false"/>
                <w:smallCaps w:val="false"/>
                <w:color w:val="1A2343"/>
                <w:sz w:val="15"/>
              </w:rPr>
              <w:t>Board Recommendation</w:t>
            </w:r>
          </w:p>
        </w:tc>
      </w:tr>
      <w:tr>
        <w:trPr/>
        <w:tc>
          <w:tcPr>
            <w:tcW w:w="3243" w:type="dxa"/>
            <w:tcBorders>
              <w:bottom w:val="single" w:sz="8" w:space="0" w:color="000000"/>
            </w:tcBorders>
            <w:shd w:fill="auto" w:val="clear"/>
            <w:tcMar>
              <w:bottom w:w="80" w:type="dxa"/>
            </w:tcMar>
            <w:vAlign w:val="center"/>
          </w:tcPr>
          <w:p>
            <w:pPr>
              <w:pStyle w:val="TableContents"/>
              <w:spacing w:before="0" w:after="283"/>
              <w:jc w:val="left"/>
              <w:rPr/>
            </w:pPr>
            <w:r>
              <w:rPr>
                <w:rFonts w:ascii="Arial" w:hAnsi="Arial"/>
                <w:b/>
                <w:i w:val="false"/>
                <w:caps w:val="false"/>
                <w:smallCaps w:val="false"/>
                <w:color w:val="1A2343"/>
                <w:sz w:val="20"/>
              </w:rPr>
              <w:t xml:space="preserve">Proposal 1: </w:t>
            </w:r>
            <w:r>
              <w:rPr>
                <w:rFonts w:ascii="Arial" w:hAnsi="Arial"/>
                <w:sz w:val="20"/>
              </w:rPr>
              <w:t>Election of Directors</w:t>
            </w:r>
          </w:p>
        </w:tc>
        <w:tc>
          <w:tcPr>
            <w:tcW w:w="300" w:type="dxa"/>
            <w:tcBorders>
              <w:bottom w:val="single" w:sz="8" w:space="0" w:color="000000"/>
            </w:tcBorders>
            <w:shd w:fill="auto" w:val="clear"/>
            <w:tcMar>
              <w:bottom w:w="80" w:type="dxa"/>
            </w:tcMar>
            <w:vAlign w:val="center"/>
          </w:tcPr>
          <w:p>
            <w:pPr>
              <w:pStyle w:val="TableContents"/>
              <w:spacing w:before="0" w:after="283"/>
              <w:jc w:val="left"/>
              <w:rPr/>
            </w:pPr>
            <w:r>
              <w:rPr/>
              <w:t>     </w:t>
            </w:r>
          </w:p>
        </w:tc>
        <w:tc>
          <w:tcPr>
            <w:tcW w:w="635" w:type="dxa"/>
            <w:tcBorders>
              <w:bottom w:val="single" w:sz="8" w:space="0" w:color="000000"/>
            </w:tcBorders>
            <w:shd w:fill="auto" w:val="clear"/>
            <w:tcMar>
              <w:bottom w:w="80" w:type="dxa"/>
            </w:tcMar>
            <w:vAlign w:val="center"/>
          </w:tcPr>
          <w:p>
            <w:pPr>
              <w:pStyle w:val="TableContents"/>
              <w:spacing w:before="0" w:after="283"/>
              <w:jc w:val="left"/>
              <w:rPr/>
            </w:pPr>
            <w:r>
              <w:rPr/>
              <w:drawing>
                <wp:inline distT="0" distB="0" distL="0" distR="0">
                  <wp:extent cx="403225" cy="442595"/>
                  <wp:effectExtent l="0" t="0" r="0" b="0"/>
                  <wp:docPr id="508"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363" descr=""/>
                          <pic:cNvPicPr>
                            <a:picLocks noChangeAspect="1" noChangeArrowheads="1"/>
                          </pic:cNvPicPr>
                        </pic:nvPicPr>
                        <pic:blipFill>
                          <a:blip r:embed="rId364"/>
                          <a:srcRect l="-2500" t="-2278" r="-2500" b="-2278"/>
                          <a:stretch>
                            <a:fillRect/>
                          </a:stretch>
                        </pic:blipFill>
                        <pic:spPr bwMode="auto">
                          <a:xfrm>
                            <a:off x="0" y="0"/>
                            <a:ext cx="403225" cy="442595"/>
                          </a:xfrm>
                          <a:prstGeom prst="rect">
                            <a:avLst/>
                          </a:prstGeom>
                          <a:ln w="635">
                            <a:solidFill>
                              <a:srgbClr val="000000"/>
                            </a:solidFill>
                          </a:ln>
                        </pic:spPr>
                      </pic:pic>
                    </a:graphicData>
                  </a:graphic>
                </wp:inline>
              </w:drawing>
            </w:r>
          </w:p>
        </w:tc>
        <w:tc>
          <w:tcPr>
            <w:tcW w:w="300" w:type="dxa"/>
            <w:tcBorders>
              <w:bottom w:val="single" w:sz="8" w:space="0" w:color="000000"/>
            </w:tcBorders>
            <w:shd w:fill="auto" w:val="clear"/>
            <w:tcMar>
              <w:bottom w:w="80" w:type="dxa"/>
            </w:tcMar>
            <w:vAlign w:val="center"/>
          </w:tcPr>
          <w:p>
            <w:pPr>
              <w:pStyle w:val="TableContents"/>
              <w:spacing w:before="0" w:after="283"/>
              <w:jc w:val="left"/>
              <w:rPr/>
            </w:pPr>
            <w:r>
              <w:rPr/>
              <w:t>     </w:t>
            </w:r>
          </w:p>
        </w:tc>
        <w:tc>
          <w:tcPr>
            <w:tcW w:w="5727" w:type="dxa"/>
            <w:tcBorders>
              <w:bottom w:val="single" w:sz="8" w:space="0" w:color="000000"/>
            </w:tcBorders>
            <w:shd w:fill="auto" w:val="clear"/>
            <w:tcMar>
              <w:bottom w:w="80" w:type="dxa"/>
            </w:tcMar>
            <w:vAlign w:val="center"/>
          </w:tcPr>
          <w:p>
            <w:pPr>
              <w:pStyle w:val="TableContents"/>
              <w:spacing w:before="0" w:after="283"/>
              <w:jc w:val="left"/>
              <w:rPr/>
            </w:pPr>
            <w:r>
              <w:rPr>
                <w:rFonts w:ascii="Arial" w:hAnsi="Arial"/>
                <w:b/>
                <w:i w:val="false"/>
                <w:caps w:val="false"/>
                <w:smallCaps w:val="false"/>
                <w:color w:val="1A2343"/>
                <w:sz w:val="20"/>
              </w:rPr>
              <w:t xml:space="preserve">FOR </w:t>
            </w:r>
            <w:r>
              <w:rPr>
                <w:rFonts w:ascii="Arial" w:hAnsi="Arial"/>
                <w:color w:val="1A2343"/>
                <w:sz w:val="20"/>
              </w:rPr>
              <w:t>the election of John H. Alschuler, Betsy S. Atkins, Carol N. Brown, Edwin T. Burton, III, Lauren B. Dillard, Stephen L. Green, Craig M. Hatkoff, Marc Holliday and Andrew W. Mathias as directors to serve on the Board for a one-year term and until their successors are duly elected and qualify</w:t>
            </w:r>
          </w:p>
        </w:tc>
      </w:tr>
      <w:tr>
        <w:trPr/>
        <w:tc>
          <w:tcPr>
            <w:tcW w:w="3243" w:type="dxa"/>
            <w:tcBorders>
              <w:bottom w:val="single" w:sz="8" w:space="0" w:color="000000"/>
            </w:tcBorders>
            <w:shd w:fill="auto" w:val="clear"/>
            <w:tcMar>
              <w:bottom w:w="80" w:type="dxa"/>
            </w:tcMar>
            <w:vAlign w:val="center"/>
          </w:tcPr>
          <w:p>
            <w:pPr>
              <w:pStyle w:val="TableContents"/>
              <w:spacing w:before="0" w:after="283"/>
              <w:jc w:val="left"/>
              <w:rPr/>
            </w:pPr>
            <w:r>
              <w:rPr>
                <w:rFonts w:ascii="Arial" w:hAnsi="Arial"/>
                <w:b/>
                <w:i w:val="false"/>
                <w:caps w:val="false"/>
                <w:smallCaps w:val="false"/>
                <w:color w:val="1A2343"/>
                <w:sz w:val="20"/>
              </w:rPr>
              <w:t xml:space="preserve">Proposal 2: </w:t>
            </w:r>
            <w:r>
              <w:rPr>
                <w:rFonts w:ascii="Arial" w:hAnsi="Arial"/>
                <w:sz w:val="20"/>
              </w:rPr>
              <w:t>Approval of an Advisory Resolution Approving the Compensation of Our Named Executive Officers</w:t>
            </w:r>
          </w:p>
        </w:tc>
        <w:tc>
          <w:tcPr>
            <w:tcW w:w="300"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35" w:type="dxa"/>
            <w:tcBorders>
              <w:bottom w:val="single" w:sz="8" w:space="0" w:color="000000"/>
            </w:tcBorders>
            <w:shd w:fill="auto" w:val="clear"/>
            <w:tcMar>
              <w:bottom w:w="80" w:type="dxa"/>
            </w:tcMar>
            <w:vAlign w:val="center"/>
          </w:tcPr>
          <w:p>
            <w:pPr>
              <w:pStyle w:val="TableContents"/>
              <w:spacing w:before="0" w:after="283"/>
              <w:jc w:val="left"/>
              <w:rPr/>
            </w:pPr>
            <w:r>
              <w:rPr/>
              <w:drawing>
                <wp:inline distT="0" distB="0" distL="0" distR="0">
                  <wp:extent cx="403225" cy="442595"/>
                  <wp:effectExtent l="0" t="0" r="0" b="0"/>
                  <wp:docPr id="509"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364" descr=""/>
                          <pic:cNvPicPr>
                            <a:picLocks noChangeAspect="1" noChangeArrowheads="1"/>
                          </pic:cNvPicPr>
                        </pic:nvPicPr>
                        <pic:blipFill>
                          <a:blip r:embed="rId365"/>
                          <a:srcRect l="-2500" t="-2278" r="-2500" b="-2278"/>
                          <a:stretch>
                            <a:fillRect/>
                          </a:stretch>
                        </pic:blipFill>
                        <pic:spPr bwMode="auto">
                          <a:xfrm>
                            <a:off x="0" y="0"/>
                            <a:ext cx="403225" cy="442595"/>
                          </a:xfrm>
                          <a:prstGeom prst="rect">
                            <a:avLst/>
                          </a:prstGeom>
                          <a:ln w="635">
                            <a:solidFill>
                              <a:srgbClr val="000000"/>
                            </a:solidFill>
                          </a:ln>
                        </pic:spPr>
                      </pic:pic>
                    </a:graphicData>
                  </a:graphic>
                </wp:inline>
              </w:drawing>
            </w:r>
          </w:p>
        </w:tc>
        <w:tc>
          <w:tcPr>
            <w:tcW w:w="300"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5727" w:type="dxa"/>
            <w:tcBorders>
              <w:bottom w:val="single" w:sz="8" w:space="0" w:color="000000"/>
            </w:tcBorders>
            <w:shd w:fill="auto" w:val="clear"/>
            <w:tcMar>
              <w:bottom w:w="80" w:type="dxa"/>
            </w:tcMar>
            <w:vAlign w:val="center"/>
          </w:tcPr>
          <w:p>
            <w:pPr>
              <w:pStyle w:val="TableContents"/>
              <w:spacing w:before="0" w:after="283"/>
              <w:jc w:val="left"/>
              <w:rPr/>
            </w:pPr>
            <w:r>
              <w:rPr>
                <w:rFonts w:ascii="Arial" w:hAnsi="Arial"/>
                <w:b/>
                <w:i w:val="false"/>
                <w:caps w:val="false"/>
                <w:smallCaps w:val="false"/>
                <w:color w:val="1A2343"/>
                <w:sz w:val="20"/>
              </w:rPr>
              <w:t xml:space="preserve">FOR </w:t>
            </w:r>
            <w:r>
              <w:rPr>
                <w:rFonts w:ascii="Arial" w:hAnsi="Arial"/>
                <w:color w:val="1A2343"/>
                <w:sz w:val="20"/>
              </w:rPr>
              <w:t>the approval of an advisory resolution approving the compensation of our named executive officers as disclosed in this proxy statement pursuant to Item 402 of Regulation S-K</w:t>
            </w:r>
          </w:p>
        </w:tc>
      </w:tr>
      <w:tr>
        <w:trPr/>
        <w:tc>
          <w:tcPr>
            <w:tcW w:w="3243" w:type="dxa"/>
            <w:tcBorders>
              <w:bottom w:val="single" w:sz="8" w:space="0" w:color="000000"/>
            </w:tcBorders>
            <w:shd w:fill="auto" w:val="clear"/>
            <w:tcMar>
              <w:bottom w:w="80" w:type="dxa"/>
            </w:tcMar>
            <w:vAlign w:val="center"/>
          </w:tcPr>
          <w:p>
            <w:pPr>
              <w:pStyle w:val="TableContents"/>
              <w:spacing w:before="0" w:after="283"/>
              <w:jc w:val="left"/>
              <w:rPr/>
            </w:pPr>
            <w:r>
              <w:rPr>
                <w:rFonts w:ascii="Arial" w:hAnsi="Arial"/>
                <w:b/>
                <w:i w:val="false"/>
                <w:caps w:val="false"/>
                <w:smallCaps w:val="false"/>
                <w:color w:val="1A2343"/>
                <w:sz w:val="20"/>
              </w:rPr>
              <w:t xml:space="preserve">Proposal 3: </w:t>
            </w:r>
            <w:r>
              <w:rPr>
                <w:rFonts w:ascii="Arial" w:hAnsi="Arial"/>
                <w:sz w:val="20"/>
              </w:rPr>
              <w:t>The Ratification of the Appointment of Ernst &amp; Young LLP as Our Independent Registered Public Accounting Firm</w:t>
            </w:r>
          </w:p>
        </w:tc>
        <w:tc>
          <w:tcPr>
            <w:tcW w:w="300"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35" w:type="dxa"/>
            <w:tcBorders>
              <w:bottom w:val="single" w:sz="8" w:space="0" w:color="000000"/>
            </w:tcBorders>
            <w:shd w:fill="auto" w:val="clear"/>
            <w:tcMar>
              <w:bottom w:w="80" w:type="dxa"/>
            </w:tcMar>
            <w:vAlign w:val="center"/>
          </w:tcPr>
          <w:p>
            <w:pPr>
              <w:pStyle w:val="TableContents"/>
              <w:spacing w:before="0" w:after="283"/>
              <w:jc w:val="left"/>
              <w:rPr/>
            </w:pPr>
            <w:r>
              <w:rPr/>
              <w:drawing>
                <wp:inline distT="0" distB="0" distL="0" distR="0">
                  <wp:extent cx="403225" cy="442595"/>
                  <wp:effectExtent l="0" t="0" r="0" b="0"/>
                  <wp:docPr id="510"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365" descr=""/>
                          <pic:cNvPicPr>
                            <a:picLocks noChangeAspect="1" noChangeArrowheads="1"/>
                          </pic:cNvPicPr>
                        </pic:nvPicPr>
                        <pic:blipFill>
                          <a:blip r:embed="rId366"/>
                          <a:srcRect l="-2500" t="-2278" r="-2500" b="-2278"/>
                          <a:stretch>
                            <a:fillRect/>
                          </a:stretch>
                        </pic:blipFill>
                        <pic:spPr bwMode="auto">
                          <a:xfrm>
                            <a:off x="0" y="0"/>
                            <a:ext cx="403225" cy="442595"/>
                          </a:xfrm>
                          <a:prstGeom prst="rect">
                            <a:avLst/>
                          </a:prstGeom>
                          <a:ln w="635">
                            <a:solidFill>
                              <a:srgbClr val="000000"/>
                            </a:solidFill>
                          </a:ln>
                        </pic:spPr>
                      </pic:pic>
                    </a:graphicData>
                  </a:graphic>
                </wp:inline>
              </w:drawing>
            </w:r>
          </w:p>
        </w:tc>
        <w:tc>
          <w:tcPr>
            <w:tcW w:w="300"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5727" w:type="dxa"/>
            <w:tcBorders>
              <w:bottom w:val="single" w:sz="8" w:space="0" w:color="000000"/>
            </w:tcBorders>
            <w:shd w:fill="auto" w:val="clear"/>
            <w:tcMar>
              <w:bottom w:w="80" w:type="dxa"/>
            </w:tcMar>
            <w:vAlign w:val="center"/>
          </w:tcPr>
          <w:p>
            <w:pPr>
              <w:pStyle w:val="TableContents"/>
              <w:spacing w:before="0" w:after="283"/>
              <w:jc w:val="left"/>
              <w:rPr/>
            </w:pPr>
            <w:r>
              <w:rPr>
                <w:rFonts w:ascii="Arial" w:hAnsi="Arial"/>
                <w:b/>
                <w:i w:val="false"/>
                <w:caps w:val="false"/>
                <w:smallCaps w:val="false"/>
                <w:color w:val="1A2343"/>
                <w:sz w:val="20"/>
              </w:rPr>
              <w:t xml:space="preserve">FOR </w:t>
            </w:r>
            <w:r>
              <w:rPr>
                <w:rFonts w:ascii="Arial" w:hAnsi="Arial"/>
                <w:sz w:val="20"/>
              </w:rPr>
              <w:t>the ratification of the appointment of Ernst &amp; Young LLP as our independent registered public accounting firm for the fiscal year ending December 31, 2023</w:t>
            </w:r>
          </w:p>
        </w:tc>
      </w:tr>
      <w:tr>
        <w:trPr/>
        <w:tc>
          <w:tcPr>
            <w:tcW w:w="3243" w:type="dxa"/>
            <w:tcBorders>
              <w:bottom w:val="single" w:sz="12" w:space="0" w:color="B6C37E"/>
            </w:tcBorders>
            <w:shd w:fill="auto" w:val="clear"/>
            <w:tcMar>
              <w:bottom w:w="80" w:type="dxa"/>
            </w:tcMar>
            <w:vAlign w:val="center"/>
          </w:tcPr>
          <w:p>
            <w:pPr>
              <w:pStyle w:val="TableContents"/>
              <w:spacing w:before="0" w:after="283"/>
              <w:jc w:val="left"/>
              <w:rPr/>
            </w:pPr>
            <w:r>
              <w:rPr>
                <w:rFonts w:ascii="Arial" w:hAnsi="Arial"/>
                <w:b/>
                <w:i w:val="false"/>
                <w:caps w:val="false"/>
                <w:smallCaps w:val="false"/>
                <w:color w:val="1A2343"/>
                <w:sz w:val="20"/>
              </w:rPr>
              <w:t xml:space="preserve">Proposal 4: </w:t>
            </w:r>
            <w:r>
              <w:rPr>
                <w:rFonts w:ascii="Arial" w:hAnsi="Arial"/>
                <w:color w:val="1A2343"/>
                <w:sz w:val="20"/>
              </w:rPr>
              <w:t>Advisory Vote on Whether Future Advisory Votes on Executive Compensation Should Be Held Every One, Two or Three Years</w:t>
            </w:r>
          </w:p>
        </w:tc>
        <w:tc>
          <w:tcPr>
            <w:tcW w:w="300" w:type="dxa"/>
            <w:tcBorders>
              <w:bottom w:val="single" w:sz="12" w:space="0" w:color="B6C37E"/>
            </w:tcBorders>
            <w:shd w:fill="auto" w:val="clear"/>
            <w:tcMar>
              <w:bottom w:w="80" w:type="dxa"/>
            </w:tcMar>
            <w:vAlign w:val="center"/>
          </w:tcPr>
          <w:p>
            <w:pPr>
              <w:pStyle w:val="TableContents"/>
              <w:spacing w:before="0" w:after="283"/>
              <w:rPr>
                <w:sz w:val="4"/>
                <w:szCs w:val="4"/>
              </w:rPr>
            </w:pPr>
            <w:r>
              <w:rPr>
                <w:sz w:val="4"/>
                <w:szCs w:val="4"/>
              </w:rPr>
            </w:r>
          </w:p>
        </w:tc>
        <w:tc>
          <w:tcPr>
            <w:tcW w:w="635" w:type="dxa"/>
            <w:tcBorders>
              <w:bottom w:val="single" w:sz="12" w:space="0" w:color="B6C37E"/>
            </w:tcBorders>
            <w:shd w:fill="auto" w:val="clear"/>
            <w:tcMar>
              <w:bottom w:w="80" w:type="dxa"/>
            </w:tcMar>
            <w:vAlign w:val="center"/>
          </w:tcPr>
          <w:p>
            <w:pPr>
              <w:pStyle w:val="TableContents"/>
              <w:spacing w:before="0" w:after="283"/>
              <w:jc w:val="left"/>
              <w:rPr/>
            </w:pPr>
            <w:r>
              <w:rPr/>
              <w:drawing>
                <wp:inline distT="0" distB="0" distL="0" distR="0">
                  <wp:extent cx="403225" cy="442595"/>
                  <wp:effectExtent l="0" t="0" r="0" b="0"/>
                  <wp:docPr id="511"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366" descr=""/>
                          <pic:cNvPicPr>
                            <a:picLocks noChangeAspect="1" noChangeArrowheads="1"/>
                          </pic:cNvPicPr>
                        </pic:nvPicPr>
                        <pic:blipFill>
                          <a:blip r:embed="rId367"/>
                          <a:srcRect l="-2500" t="-2278" r="-2500" b="-2278"/>
                          <a:stretch>
                            <a:fillRect/>
                          </a:stretch>
                        </pic:blipFill>
                        <pic:spPr bwMode="auto">
                          <a:xfrm>
                            <a:off x="0" y="0"/>
                            <a:ext cx="403225" cy="442595"/>
                          </a:xfrm>
                          <a:prstGeom prst="rect">
                            <a:avLst/>
                          </a:prstGeom>
                          <a:ln w="635">
                            <a:solidFill>
                              <a:srgbClr val="000000"/>
                            </a:solidFill>
                          </a:ln>
                        </pic:spPr>
                      </pic:pic>
                    </a:graphicData>
                  </a:graphic>
                </wp:inline>
              </w:drawing>
            </w:r>
          </w:p>
        </w:tc>
        <w:tc>
          <w:tcPr>
            <w:tcW w:w="300" w:type="dxa"/>
            <w:tcBorders>
              <w:bottom w:val="single" w:sz="12" w:space="0" w:color="B6C37E"/>
            </w:tcBorders>
            <w:shd w:fill="auto" w:val="clear"/>
            <w:tcMar>
              <w:bottom w:w="80" w:type="dxa"/>
            </w:tcMar>
            <w:vAlign w:val="center"/>
          </w:tcPr>
          <w:p>
            <w:pPr>
              <w:pStyle w:val="TableContents"/>
              <w:spacing w:before="0" w:after="283"/>
              <w:rPr>
                <w:sz w:val="4"/>
                <w:szCs w:val="4"/>
              </w:rPr>
            </w:pPr>
            <w:r>
              <w:rPr>
                <w:sz w:val="4"/>
                <w:szCs w:val="4"/>
              </w:rPr>
            </w:r>
          </w:p>
        </w:tc>
        <w:tc>
          <w:tcPr>
            <w:tcW w:w="5727" w:type="dxa"/>
            <w:tcBorders>
              <w:bottom w:val="single" w:sz="12" w:space="0" w:color="B6C37E"/>
            </w:tcBorders>
            <w:shd w:fill="auto" w:val="clear"/>
            <w:tcMar>
              <w:bottom w:w="80" w:type="dxa"/>
            </w:tcMar>
            <w:vAlign w:val="center"/>
          </w:tcPr>
          <w:p>
            <w:pPr>
              <w:pStyle w:val="TableContents"/>
              <w:spacing w:before="0" w:after="283"/>
              <w:jc w:val="left"/>
              <w:rPr/>
            </w:pPr>
            <w:r>
              <w:rPr>
                <w:rFonts w:ascii="Arial" w:hAnsi="Arial"/>
                <w:sz w:val="20"/>
              </w:rPr>
              <w:t xml:space="preserve">For </w:t>
            </w:r>
            <w:r>
              <w:rPr>
                <w:caps w:val="false"/>
                <w:smallCaps w:val="false"/>
                <w:color w:val="1A2343"/>
              </w:rPr>
              <w:t>“</w:t>
            </w:r>
            <w:r>
              <w:rPr>
                <w:rFonts w:ascii="Arial" w:hAnsi="Arial"/>
                <w:b/>
                <w:i w:val="false"/>
                <w:caps w:val="false"/>
                <w:smallCaps w:val="false"/>
                <w:color w:val="1A2343"/>
                <w:sz w:val="20"/>
              </w:rPr>
              <w:t xml:space="preserve">ONE YEAR” </w:t>
            </w:r>
            <w:r>
              <w:rPr>
                <w:rFonts w:ascii="Arial" w:hAnsi="Arial"/>
                <w:sz w:val="20"/>
              </w:rPr>
              <w:t>as the frequency for future non-binding advisory votes on the compensation of our named executive officers</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975" w:type="dxa"/>
        <w:jc w:val="left"/>
        <w:tblInd w:w="0" w:type="dxa"/>
        <w:tblCellMar>
          <w:top w:w="0" w:type="dxa"/>
          <w:left w:w="0" w:type="dxa"/>
          <w:bottom w:w="0" w:type="dxa"/>
          <w:right w:w="0" w:type="dxa"/>
        </w:tblCellMar>
      </w:tblPr>
      <w:tblGrid>
        <w:gridCol w:w="1685"/>
        <w:gridCol w:w="290"/>
      </w:tblGrid>
      <w:tr>
        <w:trPr/>
        <w:tc>
          <w:tcPr>
            <w:tcW w:w="1685" w:type="dxa"/>
            <w:tcBorders/>
            <w:shd w:fill="auto" w:val="clear"/>
            <w:vAlign w:val="center"/>
          </w:tcPr>
          <w:p>
            <w:pPr>
              <w:pStyle w:val="TableContents"/>
              <w:spacing w:before="0" w:after="283"/>
              <w:jc w:val="left"/>
              <w:rPr>
                <w:rFonts w:ascii="Arial" w:hAnsi="Arial"/>
                <w:sz w:val="15"/>
              </w:rPr>
            </w:pPr>
            <w:r>
              <w:rPr>
                <w:rFonts w:ascii="Arial" w:hAnsi="Arial"/>
                <w:b/>
                <w:sz w:val="15"/>
              </w:rPr>
              <w:t>OTHER INFORMATION</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93</w:t>
            </w:r>
          </w:p>
        </w:tc>
      </w:tr>
    </w:tbl>
    <w:p>
      <w:pPr>
        <w:pStyle w:val="TextBody"/>
        <w:spacing w:before="240" w:after="283"/>
        <w:jc w:val="left"/>
        <w:rPr>
          <w:rFonts w:ascii="Arial" w:hAnsi="Arial"/>
          <w:b/>
          <w:color w:val="1A2343"/>
          <w:sz w:val="26"/>
        </w:rPr>
      </w:pPr>
      <w:r>
        <w:rPr>
          <w:rFonts w:ascii="Arial" w:hAnsi="Arial"/>
          <w:b/>
          <w:color w:val="1A2343"/>
          <w:sz w:val="26"/>
        </w:rPr>
        <w:t>What other information should I review before voting?</w:t>
      </w:r>
    </w:p>
    <w:p>
      <w:pPr>
        <w:pStyle w:val="TextBody"/>
        <w:jc w:val="left"/>
        <w:rPr>
          <w:rFonts w:ascii="Arial" w:hAnsi="Arial"/>
          <w:sz w:val="20"/>
        </w:rPr>
      </w:pPr>
      <w:r>
        <w:rPr>
          <w:rFonts w:ascii="Arial" w:hAnsi="Arial"/>
          <w:sz w:val="20"/>
        </w:rPr>
        <w:t>Our 2022 annual report, including financial statements for the fiscal year ended December 31, 2022, is being made available to you along with this proxy statement. You may obtain, free of charge, copies of our 2022 annual report and our Annual Report on Form 10-K for the fiscal year ended December 31, 2022, which contains additional information about the Company, on our website at http://www.slgreen.com or by directing your request in writing to SL Green Realty Corp., One Vanderbilt Avenue, 28th Floor, New York, New York 10017-3852, Attention: Investor Relations. The 2022 annual report and 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p>
    <w:p>
      <w:pPr>
        <w:pStyle w:val="TextBody"/>
        <w:jc w:val="left"/>
        <w:rPr>
          <w:rFonts w:ascii="Arial" w:hAnsi="Arial"/>
          <w:b/>
          <w:color w:val="1A2343"/>
          <w:sz w:val="26"/>
        </w:rPr>
      </w:pPr>
      <w:r>
        <w:rPr>
          <w:rFonts w:ascii="Arial" w:hAnsi="Arial"/>
          <w:b/>
          <w:color w:val="1A2343"/>
          <w:sz w:val="26"/>
        </w:rPr>
        <w:t>How do I change how I receive proxy materials in the future?</w:t>
      </w:r>
    </w:p>
    <w:p>
      <w:pPr>
        <w:pStyle w:val="TextBody"/>
        <w:jc w:val="left"/>
        <w:rPr>
          <w:rFonts w:ascii="Arial" w:hAnsi="Arial"/>
          <w:sz w:val="20"/>
        </w:rPr>
      </w:pPr>
      <w:r>
        <w:rPr>
          <w:rFonts w:ascii="Arial" w:hAnsi="Arial"/>
          <w:sz w:val="20"/>
        </w:rPr>
        <w:t>Instead of receiving a Notice of Internet Availability of Proxy Materials in the mail for future meetings, stockholders may elect to receive links to proxy materials by e-mail or to receive a paper copy of the proxy materials and a paper proxy card by mail. If you elect to receive proxy materials by e-mail, you will not receive a Notice of Internet Availability of Proxy Materials in the mail. Instead, you will receive an e-mail with links to proxy materials and online voting. In addition, if you elect to receive a paper copy of the proxy materials, or if applicable rules or regulations require paper delivery of the proxy materials, you will not receive a Notice of Internet Availability of Proxy Materials in the mail. If you received a paper copy of the proxy materials or the Notice of Internet Availability of Proxy Materials in the mail, you can eliminate all such paper mailings in the future by electing to receive an e-mail that will provide Internet links to these documents. Opting to receive all future proxy materials online will save us the cost of producing and mailing such documents to you and help us conserve natural resources. You can change your election by directing your request in writing to SL Green Realty Corp., One Vanderbilt Avenue, 28th Floor, New York, New York 10017-3852., Attention: Investor Relations, by sending a blank e-mail with the 16-digit control number on your Notice of Internet Availability to sendmaterial@proxyvote.com, via the internet at http://www.proxyvote.com or by telephone at (800) 579-1639. Your election will remain in effect until you change it.</w:t>
      </w:r>
    </w:p>
    <w:p>
      <w:pPr>
        <w:pStyle w:val="TextBody"/>
        <w:jc w:val="left"/>
        <w:rPr>
          <w:rFonts w:ascii="Arial" w:hAnsi="Arial"/>
          <w:b/>
          <w:color w:val="1A2343"/>
          <w:sz w:val="26"/>
        </w:rPr>
      </w:pPr>
      <w:r>
        <w:rPr>
          <w:rFonts w:ascii="Arial" w:hAnsi="Arial"/>
          <w:b/>
          <w:color w:val="1A2343"/>
          <w:sz w:val="26"/>
        </w:rPr>
        <w:t>What should I do if I received more than one Notice of Internet Availability of Proxy Materials?</w:t>
      </w:r>
    </w:p>
    <w:p>
      <w:pPr>
        <w:pStyle w:val="TextBody"/>
        <w:jc w:val="left"/>
        <w:rPr>
          <w:rFonts w:ascii="Arial" w:hAnsi="Arial"/>
          <w:sz w:val="20"/>
        </w:rPr>
      </w:pPr>
      <w:r>
        <w:rPr>
          <w:rFonts w:ascii="Arial" w:hAnsi="Arial"/>
          <w:sz w:val="20"/>
        </w:rPr>
        <w:t>There are circumstances under which you may receive more than one Notice of Internet Availability of Proxy Materials. For example, if you hold your shares in more than one brokerage account, you may receive a separate voting instruction card for each such brokerage account. In addition, if you are a stockholder of record and your shares are registered in more than one name, you will receive more than one Notice of Internet Availability of Proxy Materials. Please authorize your proxy in accordance with the instructions of each Notice of Internet Availability of Proxy Materials separately, since each one represents different shares that you own.</w:t>
      </w:r>
    </w:p>
    <w:p>
      <w:pPr>
        <w:pStyle w:val="TextBody"/>
        <w:jc w:val="left"/>
        <w:rPr/>
      </w:pPr>
      <w:r>
        <w:rPr>
          <w:rStyle w:val="StrongEmphasis"/>
          <w:rFonts w:ascii="Arial" w:hAnsi="Arial"/>
          <w:sz w:val="20"/>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pStyle w:val="TextBody"/>
        <w:jc w:val="left"/>
        <w:rPr/>
      </w:pPr>
      <w:bookmarkStart w:id="116" w:name="pg_OtherMatters"/>
      <w:bookmarkEnd w:id="116"/>
      <w:r>
        <w:rPr>
          <w:rStyle w:val="StrongEmphasis"/>
          <w:rFonts w:ascii="Arial" w:hAnsi="Arial"/>
          <w:color w:val="8EAD3C"/>
          <w:sz w:val="32"/>
        </w:rPr>
        <w:t>OTHER MATTERS</w:t>
      </w:r>
    </w:p>
    <w:p>
      <w:pPr>
        <w:pStyle w:val="TextBody"/>
        <w:jc w:val="left"/>
        <w:rPr>
          <w:rFonts w:ascii="Arial" w:hAnsi="Arial"/>
          <w:b/>
          <w:color w:val="1A2343"/>
          <w:sz w:val="26"/>
        </w:rPr>
      </w:pPr>
      <w:r>
        <w:rPr>
          <w:rFonts w:ascii="Arial" w:hAnsi="Arial"/>
          <w:b/>
          <w:color w:val="1A2343"/>
          <w:sz w:val="26"/>
        </w:rPr>
        <w:t>Attendance at the 2023 Annual Meeting</w:t>
      </w:r>
    </w:p>
    <w:p>
      <w:pPr>
        <w:pStyle w:val="TextBody"/>
        <w:jc w:val="left"/>
        <w:rPr>
          <w:rFonts w:ascii="Arial" w:hAnsi="Arial"/>
          <w:sz w:val="20"/>
        </w:rPr>
      </w:pPr>
      <w:r>
        <w:rPr>
          <w:rFonts w:ascii="Arial" w:hAnsi="Arial"/>
          <w:sz w:val="20"/>
        </w:rPr>
        <w:t>All stockholders of record, as well as stockholders that hold their shares through a broker, bank or similar organization, of shares of SLG’s common stock at the close of business on the record date, or their designated proxies, are authorized to attend the 2023 Annual Meeting. You may be asked to present valid picture identification, such as a driver’s license or passport, before being admitted to the annual meeting. To be admitted to the annual meeting, you will be required to present a recent brokerage statement or other evidence of your ownership of our stock as of the record date of the annual meeting. Stockholders will be able to vote and submit questions during the annual meeting.</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210" w:type="dxa"/>
        <w:jc w:val="left"/>
        <w:tblInd w:w="0" w:type="dxa"/>
        <w:tblCellMar>
          <w:top w:w="0" w:type="dxa"/>
          <w:left w:w="0" w:type="dxa"/>
          <w:bottom w:w="0" w:type="dxa"/>
          <w:right w:w="0" w:type="dxa"/>
        </w:tblCellMar>
      </w:tblPr>
      <w:tblGrid>
        <w:gridCol w:w="290"/>
        <w:gridCol w:w="3920"/>
      </w:tblGrid>
      <w:tr>
        <w:trPr/>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94</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b/>
          <w:color w:val="1A2343"/>
          <w:sz w:val="26"/>
        </w:rPr>
      </w:pPr>
      <w:r>
        <w:rPr>
          <w:rFonts w:ascii="Arial" w:hAnsi="Arial"/>
          <w:b/>
          <w:color w:val="1A2343"/>
          <w:sz w:val="26"/>
        </w:rPr>
        <w:t>Solicitation of Proxies</w:t>
      </w:r>
    </w:p>
    <w:p>
      <w:pPr>
        <w:pStyle w:val="TextBody"/>
        <w:jc w:val="left"/>
        <w:rPr>
          <w:rFonts w:ascii="Arial" w:hAnsi="Arial"/>
          <w:sz w:val="20"/>
        </w:rPr>
      </w:pPr>
      <w:r>
        <w:rPr>
          <w:rFonts w:ascii="Arial" w:hAnsi="Arial"/>
          <w:sz w:val="20"/>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Notice of Internet Availability of Proxy Materials to and obtain proxies from such beneficial owners. We will reimburse such holders for their reasonable expenses. In addition, we intend to utilize the proxy solicitation services of MacKenzie Partners, Inc. at an aggregate estimated cost of $15,000 plus out-of-pocket expenses.</w:t>
      </w:r>
    </w:p>
    <w:p>
      <w:pPr>
        <w:pStyle w:val="TextBody"/>
        <w:jc w:val="left"/>
        <w:rPr>
          <w:rFonts w:ascii="Arial" w:hAnsi="Arial"/>
          <w:b/>
          <w:color w:val="1A2343"/>
          <w:sz w:val="26"/>
        </w:rPr>
      </w:pPr>
      <w:r>
        <w:rPr>
          <w:rFonts w:ascii="Arial" w:hAnsi="Arial"/>
          <w:b/>
          <w:color w:val="1A2343"/>
          <w:sz w:val="26"/>
        </w:rPr>
        <w:t>Stockholder Proposals and Nominations</w:t>
      </w:r>
    </w:p>
    <w:p>
      <w:pPr>
        <w:pStyle w:val="TextBody"/>
        <w:jc w:val="left"/>
        <w:rPr/>
      </w:pPr>
      <w:r>
        <w:rPr>
          <w:rStyle w:val="StrongEmphasis"/>
          <w:rFonts w:ascii="Arial" w:hAnsi="Arial"/>
          <w:color w:val="8EAD3C"/>
          <w:sz w:val="22"/>
        </w:rPr>
        <w:t>Proposals for Inclusion in our 2024 Proxy Materials</w:t>
      </w:r>
    </w:p>
    <w:p>
      <w:pPr>
        <w:pStyle w:val="TextBody"/>
        <w:jc w:val="left"/>
        <w:rPr>
          <w:rFonts w:ascii="Arial" w:hAnsi="Arial"/>
          <w:sz w:val="20"/>
        </w:rPr>
      </w:pPr>
      <w:r>
        <w:rPr>
          <w:rFonts w:ascii="Arial" w:hAnsi="Arial"/>
          <w:sz w:val="20"/>
        </w:rPr>
        <w:t>SEC rules permit stockholders to submit proposals to be included in our proxy materials if the stockholder and the proposal satisfy the requirements specified in Rule 14a-8 under the Exchange Act. For a stockholder proposal to be considered for inclusion in our proxy materials for the 2024 annual meeting, the proposal must be delivered to our Secretary at the address provided below by December 23, 2023.</w:t>
      </w:r>
    </w:p>
    <w:p>
      <w:pPr>
        <w:pStyle w:val="TextBody"/>
        <w:jc w:val="left"/>
        <w:rPr/>
      </w:pPr>
      <w:r>
        <w:rPr>
          <w:rStyle w:val="StrongEmphasis"/>
          <w:rFonts w:ascii="Arial" w:hAnsi="Arial"/>
          <w:color w:val="8EAD3C"/>
          <w:sz w:val="22"/>
        </w:rPr>
        <w:t>Director Nominations Under our Proxy Access Bylaws</w:t>
      </w:r>
    </w:p>
    <w:p>
      <w:pPr>
        <w:pStyle w:val="TextBody"/>
        <w:jc w:val="left"/>
        <w:rPr>
          <w:rFonts w:ascii="Arial" w:hAnsi="Arial"/>
          <w:sz w:val="20"/>
        </w:rPr>
      </w:pPr>
      <w:r>
        <w:rPr>
          <w:rFonts w:ascii="Arial" w:hAnsi="Arial"/>
          <w:sz w:val="20"/>
        </w:rPr>
        <w:t>Our proxy access bylaw permits a stockholder (or a group of up to 20 stockholders) owning 3% or more of our outstanding common stock continuously for at least three years to nominate and include in the Company’s proxy materials director candidates constituting up to the greater of two individuals or 20% of the Board, if the nominating stockholder(s) and the nominee(s) satisfy the requirements specified in our bylaws. For the 2024 annual meeting, notice of a proxy access nomination must be delivered to our Secretary at the address provided below no later than December 23, 2023 and no earlier than November 23, 2023.</w:t>
      </w:r>
    </w:p>
    <w:p>
      <w:pPr>
        <w:pStyle w:val="TextBody"/>
        <w:jc w:val="left"/>
        <w:rPr/>
      </w:pPr>
      <w:r>
        <w:rPr>
          <w:rStyle w:val="StrongEmphasis"/>
          <w:rFonts w:ascii="Arial" w:hAnsi="Arial"/>
          <w:color w:val="8EAD3C"/>
          <w:sz w:val="22"/>
        </w:rPr>
        <w:t>Other Proposals or Nominations to be brought before our 2024 Annual Meeting</w:t>
      </w:r>
    </w:p>
    <w:p>
      <w:pPr>
        <w:pStyle w:val="TextBody"/>
        <w:jc w:val="left"/>
        <w:rPr>
          <w:rFonts w:ascii="Arial" w:hAnsi="Arial"/>
          <w:sz w:val="20"/>
        </w:rPr>
      </w:pPr>
      <w:r>
        <w:rPr>
          <w:rFonts w:ascii="Arial" w:hAnsi="Arial"/>
          <w:sz w:val="20"/>
        </w:rPr>
        <w:t>Our bylaws permit a stockholder to propose items of business that are not intended to be included in our proxy materials and to nominate candidates other than under our proxy access bylaw. If the stockholder complies with the procedures set forth in our bylaws. For the 2024 annual meeting, notice of such proposals or nominations must be delivered to our Secretary at the address provided below no later than March 7, 2024 and no earlier than February 6, 2024.</w:t>
      </w:r>
    </w:p>
    <w:p>
      <w:pPr>
        <w:pStyle w:val="TextBody"/>
        <w:jc w:val="left"/>
        <w:rPr>
          <w:rFonts w:ascii="Arial" w:hAnsi="Arial"/>
          <w:sz w:val="20"/>
        </w:rPr>
      </w:pPr>
      <w:r>
        <w:rPr>
          <w:rFonts w:ascii="Arial" w:hAnsi="Arial"/>
          <w:sz w:val="20"/>
        </w:rPr>
        <w:t>If the Company moves the 2024 annual meeting to a date that is more than 25 days before or after the date which is the one-year anniversary of this year’s annual meeting date (i.e., June 1, 2024), the Company must receive notice of proposals or nominations no later than the close of business on the 10th day following the earlier of the day on which the Company makes a public announcement of the meeting date or the day on which notice of the meeting date is first distributed to stockholders.</w:t>
      </w:r>
    </w:p>
    <w:p>
      <w:pPr>
        <w:pStyle w:val="TextBody"/>
        <w:jc w:val="left"/>
        <w:rPr>
          <w:rFonts w:ascii="Arial" w:hAnsi="Arial"/>
          <w:sz w:val="20"/>
        </w:rPr>
      </w:pPr>
      <w:r>
        <w:rPr>
          <w:rFonts w:ascii="Arial" w:hAnsi="Arial"/>
          <w:sz w:val="20"/>
        </w:rPr>
        <w:t>Additionally, stockholders who intend to solicit proxies in support of director nominees other than the Company’s nominees must provide notice that sets forth the information required by Rule 14a-19 under the Exchange Act to our Secretary at the address provided no later than April 6, 2024.</w:t>
      </w:r>
    </w:p>
    <w:p>
      <w:pPr>
        <w:pStyle w:val="TextBody"/>
        <w:jc w:val="left"/>
        <w:rPr/>
      </w:pPr>
      <w:r>
        <w:rPr>
          <w:rStyle w:val="StrongEmphasis"/>
          <w:rFonts w:ascii="Arial" w:hAnsi="Arial"/>
          <w:color w:val="8EAD3C"/>
          <w:sz w:val="22"/>
        </w:rPr>
        <w:t>Address for Submission of Notices and Additional Information</w:t>
      </w:r>
    </w:p>
    <w:p>
      <w:pPr>
        <w:pStyle w:val="TextBody"/>
        <w:jc w:val="left"/>
        <w:rPr>
          <w:rFonts w:ascii="Arial" w:hAnsi="Arial"/>
          <w:sz w:val="20"/>
        </w:rPr>
      </w:pPr>
      <w:r>
        <w:rPr>
          <w:rFonts w:ascii="Arial" w:hAnsi="Arial"/>
          <w:sz w:val="20"/>
        </w:rPr>
        <w:t>All stockholder nominations of individuals for election as directors or proposals of other items of business to be considered by stockholders at the 2024 annual meeting (whether or not intended for inclusion in our proxy materials) must be submitted in writing to SL Green Realty Corp., One Vanderbilt Avenue, 28th Floor, New York, New York 10017-3852, Attention: Andrew S. Levine, Secretary.</w:t>
      </w:r>
    </w:p>
    <w:p>
      <w:pPr>
        <w:pStyle w:val="TextBody"/>
        <w:jc w:val="left"/>
        <w:rPr>
          <w:rFonts w:ascii="Arial" w:hAnsi="Arial"/>
          <w:sz w:val="20"/>
        </w:rPr>
      </w:pPr>
      <w:r>
        <w:rPr>
          <w:rFonts w:ascii="Arial" w:hAnsi="Arial"/>
          <w:sz w:val="20"/>
        </w:rPr>
        <w:t>In addition, both the proxy access and the advance notice provisions of our bylaws require a stockholder’s notice of a nomination or other item of business to include certain information. Director nominees must also meet certain eligibility requirements. Any stockholder considering introducing a nomination or other item of business should carefully review our bylaws.</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975" w:type="dxa"/>
        <w:jc w:val="left"/>
        <w:tblInd w:w="0" w:type="dxa"/>
        <w:tblCellMar>
          <w:top w:w="0" w:type="dxa"/>
          <w:left w:w="0" w:type="dxa"/>
          <w:bottom w:w="0" w:type="dxa"/>
          <w:right w:w="0" w:type="dxa"/>
        </w:tblCellMar>
      </w:tblPr>
      <w:tblGrid>
        <w:gridCol w:w="1685"/>
        <w:gridCol w:w="290"/>
      </w:tblGrid>
      <w:tr>
        <w:trPr/>
        <w:tc>
          <w:tcPr>
            <w:tcW w:w="1685" w:type="dxa"/>
            <w:tcBorders/>
            <w:shd w:fill="auto" w:val="clear"/>
            <w:vAlign w:val="center"/>
          </w:tcPr>
          <w:p>
            <w:pPr>
              <w:pStyle w:val="TableContents"/>
              <w:spacing w:before="0" w:after="283"/>
              <w:jc w:val="left"/>
              <w:rPr>
                <w:rFonts w:ascii="Arial" w:hAnsi="Arial"/>
                <w:sz w:val="15"/>
              </w:rPr>
            </w:pPr>
            <w:r>
              <w:rPr>
                <w:rFonts w:ascii="Arial" w:hAnsi="Arial"/>
                <w:b/>
                <w:sz w:val="15"/>
              </w:rPr>
              <w:t>OTHER INFORMATION</w:t>
            </w:r>
            <w:r>
              <w:rPr>
                <w:rFonts w:ascii="Arial" w:hAnsi="Arial"/>
                <w:sz w:val="15"/>
              </w:rPr>
              <w:t xml:space="preserve"> </w:t>
            </w:r>
          </w:p>
        </w:tc>
        <w:tc>
          <w:tcPr>
            <w:tcW w:w="29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95</w:t>
            </w:r>
          </w:p>
        </w:tc>
      </w:tr>
    </w:tbl>
    <w:p>
      <w:pPr>
        <w:pStyle w:val="TextBody"/>
        <w:spacing w:before="240" w:after="283"/>
        <w:jc w:val="left"/>
        <w:rPr>
          <w:rFonts w:ascii="Arial" w:hAnsi="Arial"/>
          <w:b/>
          <w:color w:val="1A2343"/>
          <w:sz w:val="24"/>
        </w:rPr>
      </w:pPr>
      <w:r>
        <w:rPr>
          <w:rFonts w:ascii="Arial" w:hAnsi="Arial"/>
          <w:b/>
          <w:color w:val="1A2343"/>
          <w:sz w:val="24"/>
        </w:rPr>
        <w:t>Householding of Proxy Materials</w:t>
      </w:r>
    </w:p>
    <w:p>
      <w:pPr>
        <w:pStyle w:val="TextBody"/>
        <w:jc w:val="left"/>
        <w:rPr>
          <w:rFonts w:ascii="Arial" w:hAnsi="Arial"/>
          <w:sz w:val="20"/>
        </w:rPr>
      </w:pPr>
      <w:r>
        <w:rPr>
          <w:rFonts w:ascii="Arial" w:hAnsi="Arial"/>
          <w:sz w:val="20"/>
        </w:rPr>
        <w:t>The SEC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pStyle w:val="TextBody"/>
        <w:jc w:val="left"/>
        <w:rPr>
          <w:rFonts w:ascii="Arial" w:hAnsi="Arial"/>
          <w:sz w:val="20"/>
        </w:rPr>
      </w:pPr>
      <w:r>
        <w:rPr>
          <w:rFonts w:ascii="Arial" w:hAnsi="Arial"/>
          <w:sz w:val="20"/>
        </w:rPr>
        <w:t>This year, a number of brokers with account holders who are our stockholders will be “householding” our proxy materials.</w:t>
      </w:r>
    </w:p>
    <w:p>
      <w:pPr>
        <w:pStyle w:val="TextBody"/>
        <w:jc w:val="left"/>
        <w:rPr>
          <w:rFonts w:ascii="Arial" w:hAnsi="Arial"/>
          <w:sz w:val="20"/>
        </w:rPr>
      </w:pPr>
      <w:r>
        <w:rPr>
          <w:rFonts w:ascii="Arial" w:hAnsi="Arial"/>
          <w:sz w:val="20"/>
        </w:rPr>
        <w:t>A single Notice of Internet Availability of Proxy Materials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p>
    <w:p>
      <w:pPr>
        <w:pStyle w:val="TextBody"/>
        <w:jc w:val="left"/>
        <w:rPr>
          <w:rFonts w:ascii="Arial" w:hAnsi="Arial"/>
          <w:sz w:val="20"/>
        </w:rPr>
      </w:pPr>
      <w:r>
        <w:rPr>
          <w:rFonts w:ascii="Arial" w:hAnsi="Arial"/>
          <w:sz w:val="20"/>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One Vanderbilt Avenue, 28th Floor, New York, New York 10017-3852, Attention: Investor Relations or by telephone at (212) 594-2700.</w:t>
      </w:r>
    </w:p>
    <w:p>
      <w:pPr>
        <w:pStyle w:val="TextBody"/>
        <w:jc w:val="left"/>
        <w:rPr>
          <w:rFonts w:ascii="Arial" w:hAnsi="Arial"/>
          <w:sz w:val="20"/>
        </w:rPr>
      </w:pPr>
      <w:r>
        <w:rPr>
          <w:rFonts w:ascii="Arial" w:hAnsi="Arial"/>
          <w:sz w:val="20"/>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530" w:type="dxa"/>
        <w:jc w:val="left"/>
        <w:tblInd w:w="0" w:type="dxa"/>
        <w:tblCellMar>
          <w:top w:w="0" w:type="dxa"/>
          <w:left w:w="0" w:type="dxa"/>
          <w:bottom w:w="0" w:type="dxa"/>
          <w:right w:w="0" w:type="dxa"/>
        </w:tblCellMar>
      </w:tblPr>
      <w:tblGrid>
        <w:gridCol w:w="120"/>
        <w:gridCol w:w="410"/>
      </w:tblGrid>
      <w:tr>
        <w:trPr/>
        <w:tc>
          <w:tcPr>
            <w:tcW w:w="120" w:type="dxa"/>
            <w:tcBorders/>
            <w:shd w:fill="auto" w:val="clear"/>
            <w:vAlign w:val="center"/>
          </w:tcPr>
          <w:p>
            <w:pPr>
              <w:pStyle w:val="TableContents"/>
              <w:spacing w:before="0" w:after="283"/>
              <w:jc w:val="left"/>
              <w:rPr/>
            </w:pPr>
            <w:r>
              <w:rPr/>
              <w:t xml:space="preserve">  </w:t>
            </w:r>
          </w:p>
        </w:tc>
        <w:tc>
          <w:tcPr>
            <w:tcW w:w="41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A-1</w:t>
            </w:r>
          </w:p>
        </w:tc>
      </w:tr>
    </w:tbl>
    <w:p>
      <w:pPr>
        <w:pStyle w:val="TextBody"/>
        <w:spacing w:before="240" w:after="283"/>
        <w:jc w:val="left"/>
        <w:rPr>
          <w:rFonts w:ascii="Arial" w:hAnsi="Arial"/>
          <w:b/>
          <w:color w:val="1A2343"/>
          <w:sz w:val="42"/>
        </w:rPr>
      </w:pPr>
      <w:bookmarkStart w:id="117" w:name="pg_APPENDIXA"/>
      <w:bookmarkEnd w:id="117"/>
      <w:r>
        <w:rPr>
          <w:rFonts w:ascii="Arial" w:hAnsi="Arial"/>
          <w:b/>
          <w:color w:val="1A2343"/>
          <w:sz w:val="42"/>
        </w:rPr>
        <w:t>APPENDIX A:</w:t>
      </w:r>
    </w:p>
    <w:p>
      <w:pPr>
        <w:pStyle w:val="TextBody"/>
        <w:jc w:val="left"/>
        <w:rPr/>
      </w:pPr>
      <w:r>
        <w:rPr>
          <w:rStyle w:val="StrongEmphasis"/>
          <w:rFonts w:ascii="Arial" w:hAnsi="Arial"/>
          <w:color w:val="8EAD3C"/>
          <w:sz w:val="32"/>
        </w:rPr>
        <w:t>INFORMATION REGARDING CERTAIN FINANCIAL MEASURES</w:t>
      </w:r>
    </w:p>
    <w:p>
      <w:pPr>
        <w:pStyle w:val="TextBody"/>
        <w:jc w:val="left"/>
        <w:rPr>
          <w:rFonts w:ascii="Arial" w:hAnsi="Arial"/>
          <w:sz w:val="20"/>
        </w:rPr>
      </w:pPr>
      <w:r>
        <w:rPr>
          <w:rFonts w:ascii="Arial" w:hAnsi="Arial"/>
          <w:sz w:val="20"/>
        </w:rPr>
        <w:t>Below is a reconciliation of net income attributable to our stockholders to Normalized Funds from Operations, or FFO, per share for the twelve months ended December 31, 2022 (amounts in thousands, except per share data).</w:t>
      </w:r>
    </w:p>
    <w:tbl>
      <w:tblPr>
        <w:tblW w:w="9030" w:type="dxa"/>
        <w:jc w:val="left"/>
        <w:tblInd w:w="0" w:type="dxa"/>
        <w:tblCellMar>
          <w:top w:w="0" w:type="dxa"/>
          <w:left w:w="0" w:type="dxa"/>
          <w:bottom w:w="40" w:type="dxa"/>
          <w:right w:w="0" w:type="dxa"/>
        </w:tblCellMar>
      </w:tblPr>
      <w:tblGrid>
        <w:gridCol w:w="7550"/>
        <w:gridCol w:w="300"/>
        <w:gridCol w:w="125"/>
        <w:gridCol w:w="1055"/>
      </w:tblGrid>
      <w:tr>
        <w:trPr/>
        <w:tc>
          <w:tcPr>
            <w:tcW w:w="7550"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jc w:val="left"/>
              <w:rPr/>
            </w:pPr>
            <w:r>
              <w:rPr/>
              <w:t>     </w:t>
            </w:r>
          </w:p>
        </w:tc>
        <w:tc>
          <w:tcPr>
            <w:tcW w:w="125"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1055"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Twelve months</w:t>
              <w:br/>
              <w:t>ended</w:t>
              <w:br/>
              <w:t>December 31,</w:t>
              <w:br/>
              <w:t>2022</w:t>
            </w:r>
          </w:p>
        </w:tc>
      </w:tr>
      <w:tr>
        <w:trPr/>
        <w:tc>
          <w:tcPr>
            <w:tcW w:w="755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Normalized FFO Reconciliation:</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1055"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Net loss attributable to SL Green common stockholders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w:t>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(93,024)</w:t>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Add:</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1055"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Depreciation and amortization</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215,306</w:t>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Joint venture depreciation and noncontrolling interest adjustments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252,893</w:t>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Net loss attributable to noncontrolling interests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(4,672)</w:t>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Less: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1055"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Loss on sale of real estate, net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(84,485)</w:t>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 xml:space="preserve">Equity in net loss on sale of interest in unconsolidated joint venture/real estate </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(131)</w:t>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Depreciable real estate reserves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(6,313)</w:t>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Depreciation on non-rental real estate assets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2,605</w:t>
            </w:r>
          </w:p>
        </w:tc>
      </w:tr>
      <w:tr>
        <w:trPr/>
        <w:tc>
          <w:tcPr>
            <w:tcW w:w="755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FFO attributable to SL Green common stockholders and unit holders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jc w:val="right"/>
              <w:rPr/>
            </w:pPr>
            <w:r>
              <w:rPr>
                <w:rStyle w:val="StrongEmphasis"/>
                <w:rFonts w:ascii="Arial" w:hAnsi="Arial"/>
                <w:color w:val="1A2343"/>
                <w:sz w:val="20"/>
              </w:rPr>
              <w:t>$</w:t>
            </w:r>
          </w:p>
        </w:tc>
        <w:tc>
          <w:tcPr>
            <w:tcW w:w="1055" w:type="dxa"/>
            <w:tcBorders>
              <w:bottom w:val="single" w:sz="8" w:space="0" w:color="5B5975"/>
            </w:tcBorders>
            <w:shd w:fill="auto" w:val="clear"/>
            <w:vAlign w:val="center"/>
          </w:tcPr>
          <w:p>
            <w:pPr>
              <w:pStyle w:val="TableContents"/>
              <w:spacing w:before="0" w:after="283"/>
              <w:jc w:val="right"/>
              <w:rPr/>
            </w:pPr>
            <w:r>
              <w:rPr>
                <w:rStyle w:val="StrongEmphasis"/>
                <w:rFonts w:ascii="Arial" w:hAnsi="Arial"/>
                <w:color w:val="1A2343"/>
                <w:sz w:val="20"/>
              </w:rPr>
              <w:t>458,827</w:t>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Add:</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1055"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SLG share of unconsolidated JV loss on early extinguishment of debt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325</w:t>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Purchase price and other fair value adjustments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8,135</w:t>
            </w:r>
          </w:p>
        </w:tc>
      </w:tr>
      <w:tr>
        <w:trPr/>
        <w:tc>
          <w:tcPr>
            <w:tcW w:w="755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Normalized FFO attributable to SL Green common stockholders and unit holders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jc w:val="right"/>
              <w:rPr/>
            </w:pPr>
            <w:r>
              <w:rPr>
                <w:rStyle w:val="StrongEmphasis"/>
                <w:rFonts w:ascii="Arial" w:hAnsi="Arial"/>
                <w:color w:val="1A2343"/>
                <w:sz w:val="20"/>
              </w:rPr>
              <w:t>$</w:t>
            </w:r>
          </w:p>
        </w:tc>
        <w:tc>
          <w:tcPr>
            <w:tcW w:w="1055" w:type="dxa"/>
            <w:tcBorders>
              <w:bottom w:val="single" w:sz="8" w:space="0" w:color="5B5975"/>
            </w:tcBorders>
            <w:shd w:fill="auto" w:val="clear"/>
            <w:vAlign w:val="center"/>
          </w:tcPr>
          <w:p>
            <w:pPr>
              <w:pStyle w:val="TableContents"/>
              <w:spacing w:before="0" w:after="283"/>
              <w:jc w:val="right"/>
              <w:rPr/>
            </w:pPr>
            <w:r>
              <w:rPr>
                <w:rStyle w:val="StrongEmphasis"/>
                <w:rFonts w:ascii="Arial" w:hAnsi="Arial"/>
                <w:color w:val="1A2343"/>
                <w:sz w:val="20"/>
              </w:rPr>
              <w:t>467,287</w:t>
            </w:r>
          </w:p>
        </w:tc>
      </w:tr>
      <w:tr>
        <w:trPr/>
        <w:tc>
          <w:tcPr>
            <w:tcW w:w="7550" w:type="dxa"/>
            <w:tcBorders/>
            <w:shd w:fill="auto" w:val="clear"/>
            <w:tcMar>
              <w:bottom w:w="0" w:type="dxa"/>
            </w:tcMar>
            <w:vAlign w:val="center"/>
          </w:tcPr>
          <w:p>
            <w:pPr>
              <w:pStyle w:val="TableContents"/>
              <w:spacing w:before="0" w:after="283"/>
              <w:jc w:val="left"/>
              <w:rPr/>
            </w:pPr>
            <w:r>
              <w:rPr/>
              <w:t> </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1055"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755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Basic ownership interest: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rPr>
                <w:sz w:val="4"/>
                <w:szCs w:val="4"/>
              </w:rPr>
            </w:pPr>
            <w:r>
              <w:rPr>
                <w:sz w:val="4"/>
                <w:szCs w:val="4"/>
              </w:rPr>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Weighted average REIT common share and common share equivalents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63,917</w:t>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Weighted average partnership units held by noncontrolling interests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4,012</w:t>
            </w:r>
          </w:p>
        </w:tc>
      </w:tr>
      <w:tr>
        <w:trPr/>
        <w:tc>
          <w:tcPr>
            <w:tcW w:w="755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Basic weighted average shares and units outstanding</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b/>
                <w:sz w:val="20"/>
              </w:rPr>
            </w:pPr>
            <w:r>
              <w:rPr>
                <w:rFonts w:ascii="Arial" w:hAnsi="Arial"/>
                <w:b/>
                <w:sz w:val="20"/>
              </w:rPr>
              <w:t>67,929</w:t>
            </w:r>
          </w:p>
        </w:tc>
      </w:tr>
      <w:tr>
        <w:trPr/>
        <w:tc>
          <w:tcPr>
            <w:tcW w:w="7550" w:type="dxa"/>
            <w:tcBorders/>
            <w:shd w:fill="auto" w:val="clear"/>
            <w:tcMar>
              <w:bottom w:w="0" w:type="dxa"/>
            </w:tcMar>
            <w:vAlign w:val="center"/>
          </w:tcPr>
          <w:p>
            <w:pPr>
              <w:pStyle w:val="TableContents"/>
              <w:spacing w:before="0" w:after="283"/>
              <w:jc w:val="left"/>
              <w:rPr/>
            </w:pPr>
            <w:r>
              <w:rPr/>
              <w:t> </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1055"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755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Diluted ownership interest: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rPr>
                <w:sz w:val="4"/>
                <w:szCs w:val="4"/>
              </w:rPr>
            </w:pPr>
            <w:r>
              <w:rPr>
                <w:sz w:val="4"/>
                <w:szCs w:val="4"/>
              </w:rPr>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Weighted average REIT common share and common share equivalents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65,041</w:t>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Weighted average partnership units held by noncontrolling interests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4,012</w:t>
            </w:r>
          </w:p>
        </w:tc>
      </w:tr>
      <w:tr>
        <w:trPr/>
        <w:tc>
          <w:tcPr>
            <w:tcW w:w="755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Diluted weighted average shares and units outstanding</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pPr>
            <w:r>
              <w:rPr>
                <w:rStyle w:val="StrongEmphasis"/>
                <w:rFonts w:ascii="Arial" w:hAnsi="Arial"/>
                <w:color w:val="1A2343"/>
                <w:sz w:val="20"/>
              </w:rPr>
              <w:t>69,053</w:t>
            </w:r>
          </w:p>
        </w:tc>
      </w:tr>
      <w:tr>
        <w:trPr/>
        <w:tc>
          <w:tcPr>
            <w:tcW w:w="7550" w:type="dxa"/>
            <w:tcBorders/>
            <w:shd w:fill="auto" w:val="clear"/>
            <w:tcMar>
              <w:bottom w:w="0" w:type="dxa"/>
            </w:tcMar>
            <w:vAlign w:val="center"/>
          </w:tcPr>
          <w:p>
            <w:pPr>
              <w:pStyle w:val="TableContents"/>
              <w:spacing w:before="0" w:after="283"/>
              <w:jc w:val="left"/>
              <w:rPr/>
            </w:pPr>
            <w:r>
              <w:rPr/>
              <w:t> </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1055"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755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FFO per share: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rPr>
                <w:sz w:val="4"/>
                <w:szCs w:val="4"/>
              </w:rPr>
            </w:pPr>
            <w:r>
              <w:rPr>
                <w:sz w:val="4"/>
                <w:szCs w:val="4"/>
              </w:rPr>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Basic</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w:t>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6.71</w:t>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Diluted</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6.64</w:t>
            </w:r>
          </w:p>
        </w:tc>
      </w:tr>
      <w:tr>
        <w:trPr/>
        <w:tc>
          <w:tcPr>
            <w:tcW w:w="7550" w:type="dxa"/>
            <w:tcBorders/>
            <w:shd w:fill="auto" w:val="clear"/>
            <w:tcMar>
              <w:bottom w:w="0" w:type="dxa"/>
            </w:tcM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jc w:val="right"/>
              <w:rPr/>
            </w:pPr>
            <w:r>
              <w:rPr/>
              <w:t> </w:t>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1055"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755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Normalized FFO per share:</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rPr>
                <w:sz w:val="4"/>
                <w:szCs w:val="4"/>
              </w:rPr>
            </w:pPr>
            <w:r>
              <w:rPr>
                <w:sz w:val="4"/>
                <w:szCs w:val="4"/>
              </w:rPr>
            </w:r>
          </w:p>
        </w:tc>
      </w:tr>
      <w:tr>
        <w:trPr/>
        <w:tc>
          <w:tcPr>
            <w:tcW w:w="755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Basic</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6.88</w:t>
            </w:r>
          </w:p>
        </w:tc>
      </w:tr>
      <w:tr>
        <w:trPr/>
        <w:tc>
          <w:tcPr>
            <w:tcW w:w="7550" w:type="dxa"/>
            <w:tcBorders>
              <w:bottom w:val="single" w:sz="12" w:space="0" w:color="1A2343"/>
            </w:tcBorders>
            <w:shd w:fill="auto" w:val="clear"/>
            <w:vAlign w:val="center"/>
          </w:tcPr>
          <w:p>
            <w:pPr>
              <w:pStyle w:val="TableContents"/>
              <w:spacing w:before="0" w:after="283"/>
              <w:jc w:val="left"/>
              <w:rPr>
                <w:rFonts w:ascii="Arial" w:hAnsi="Arial"/>
                <w:sz w:val="20"/>
              </w:rPr>
            </w:pPr>
            <w:r>
              <w:rPr>
                <w:rFonts w:ascii="Arial" w:hAnsi="Arial"/>
                <w:sz w:val="20"/>
              </w:rPr>
              <w:t>Diluted</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1055" w:type="dxa"/>
            <w:tcBorders>
              <w:bottom w:val="single" w:sz="12" w:space="0" w:color="1A2343"/>
            </w:tcBorders>
            <w:shd w:fill="auto" w:val="clear"/>
            <w:vAlign w:val="center"/>
          </w:tcPr>
          <w:p>
            <w:pPr>
              <w:pStyle w:val="TableContents"/>
              <w:spacing w:before="0" w:after="283"/>
              <w:jc w:val="right"/>
              <w:rPr>
                <w:rFonts w:ascii="Arial" w:hAnsi="Arial"/>
                <w:sz w:val="20"/>
              </w:rPr>
            </w:pPr>
            <w:r>
              <w:rPr>
                <w:rFonts w:ascii="Arial" w:hAnsi="Arial"/>
                <w:sz w:val="20"/>
              </w:rPr>
              <w:t>6.76</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330" w:type="dxa"/>
        <w:jc w:val="left"/>
        <w:tblInd w:w="0" w:type="dxa"/>
        <w:tblCellMar>
          <w:top w:w="0" w:type="dxa"/>
          <w:left w:w="0" w:type="dxa"/>
          <w:bottom w:w="0" w:type="dxa"/>
          <w:right w:w="0" w:type="dxa"/>
        </w:tblCellMar>
      </w:tblPr>
      <w:tblGrid>
        <w:gridCol w:w="410"/>
        <w:gridCol w:w="3920"/>
      </w:tblGrid>
      <w:tr>
        <w:trPr/>
        <w:tc>
          <w:tcPr>
            <w:tcW w:w="41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A-2</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rFonts w:ascii="Arial" w:hAnsi="Arial"/>
          <w:sz w:val="20"/>
        </w:rPr>
      </w:pPr>
      <w:r>
        <w:rPr>
          <w:rFonts w:ascii="Arial" w:hAnsi="Arial"/>
          <w:sz w:val="20"/>
        </w:rPr>
        <w:t>Below is a reconciliation of net income attributable to our stockholders to Funds Available for Distribution, or FAD, for the twelve months ended December 31, 2022 (amounts in thousands, except per share data).</w:t>
      </w:r>
    </w:p>
    <w:tbl>
      <w:tblPr>
        <w:tblW w:w="8370" w:type="dxa"/>
        <w:jc w:val="left"/>
        <w:tblInd w:w="0" w:type="dxa"/>
        <w:tblCellMar>
          <w:top w:w="0" w:type="dxa"/>
          <w:left w:w="0" w:type="dxa"/>
          <w:bottom w:w="40" w:type="dxa"/>
          <w:right w:w="0" w:type="dxa"/>
        </w:tblCellMar>
      </w:tblPr>
      <w:tblGrid>
        <w:gridCol w:w="6890"/>
        <w:gridCol w:w="300"/>
        <w:gridCol w:w="125"/>
        <w:gridCol w:w="1055"/>
      </w:tblGrid>
      <w:tr>
        <w:trPr/>
        <w:tc>
          <w:tcPr>
            <w:tcW w:w="6890"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300" w:type="dxa"/>
            <w:tcBorders/>
            <w:shd w:fill="auto" w:val="clear"/>
            <w:tcMar>
              <w:bottom w:w="0" w:type="dxa"/>
            </w:tcMar>
            <w:vAlign w:val="center"/>
          </w:tcPr>
          <w:p>
            <w:pPr>
              <w:pStyle w:val="TableContents"/>
              <w:spacing w:before="0" w:after="283"/>
              <w:jc w:val="left"/>
              <w:rPr/>
            </w:pPr>
            <w:r>
              <w:rPr/>
              <w:t>     </w:t>
            </w:r>
          </w:p>
        </w:tc>
        <w:tc>
          <w:tcPr>
            <w:tcW w:w="125" w:type="dxa"/>
            <w:tcBorders>
              <w:bottom w:val="single" w:sz="12" w:space="0" w:color="1A2343"/>
            </w:tcBorders>
            <w:shd w:fill="auto" w:val="clear"/>
            <w:vAlign w:val="center"/>
          </w:tcPr>
          <w:p>
            <w:pPr>
              <w:pStyle w:val="TableContents"/>
              <w:spacing w:before="0" w:after="283"/>
              <w:rPr>
                <w:sz w:val="4"/>
                <w:szCs w:val="4"/>
              </w:rPr>
            </w:pPr>
            <w:r>
              <w:rPr>
                <w:sz w:val="4"/>
                <w:szCs w:val="4"/>
              </w:rPr>
            </w:r>
          </w:p>
        </w:tc>
        <w:tc>
          <w:tcPr>
            <w:tcW w:w="1055" w:type="dxa"/>
            <w:tcBorders>
              <w:bottom w:val="single" w:sz="12" w:space="0" w:color="1A2343"/>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Twelve months</w:t>
              <w:br/>
              <w:t>ended</w:t>
              <w:br/>
              <w:t>December 31,</w:t>
              <w:br/>
              <w:t>2022</w:t>
            </w:r>
          </w:p>
        </w:tc>
      </w:tr>
      <w:tr>
        <w:trPr/>
        <w:tc>
          <w:tcPr>
            <w:tcW w:w="689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Funds Available for Distribution Reconciliation:</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1055"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Net loss attributable to SL Green common stockholders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w:t>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(93,024)</w:t>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Add:</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1055"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Depreciation and amortization</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215,306</w:t>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Joint venture depreciation and noncontrolling interest adjustments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252,893</w:t>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Net loss attributable to noncontrolling interests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(4,672)</w:t>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Less: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1055"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Loss on sale of real estate, net</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(84,485)</w:t>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 xml:space="preserve">Equity in net loss on sale of interest in unconsolidated joint venture/real estate </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(131)</w:t>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Depreciable real estate reserves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(6,313)</w:t>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Depreciation on non-rental real estate assets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2,605</w:t>
            </w:r>
          </w:p>
        </w:tc>
      </w:tr>
      <w:tr>
        <w:trPr/>
        <w:tc>
          <w:tcPr>
            <w:tcW w:w="6890" w:type="dxa"/>
            <w:tcBorders>
              <w:bottom w:val="single" w:sz="8" w:space="0" w:color="5B5975"/>
            </w:tcBorders>
            <w:shd w:fill="auto" w:val="clear"/>
            <w:vAlign w:val="center"/>
          </w:tcPr>
          <w:p>
            <w:pPr>
              <w:pStyle w:val="TableContents"/>
              <w:spacing w:before="0" w:after="283"/>
              <w:jc w:val="left"/>
              <w:rPr/>
            </w:pPr>
            <w:r>
              <w:rPr>
                <w:rStyle w:val="StrongEmphasis"/>
                <w:rFonts w:ascii="Arial" w:hAnsi="Arial"/>
                <w:color w:val="1A2343"/>
                <w:sz w:val="20"/>
              </w:rPr>
              <w:t>FFO attributable to SL Green common stockholders and unit holders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jc w:val="right"/>
              <w:rPr/>
            </w:pPr>
            <w:r>
              <w:rPr>
                <w:rStyle w:val="StrongEmphasis"/>
                <w:rFonts w:ascii="Arial" w:hAnsi="Arial"/>
                <w:color w:val="1A2343"/>
                <w:sz w:val="20"/>
              </w:rPr>
              <w:t>$</w:t>
            </w:r>
          </w:p>
        </w:tc>
        <w:tc>
          <w:tcPr>
            <w:tcW w:w="1055" w:type="dxa"/>
            <w:tcBorders>
              <w:bottom w:val="single" w:sz="8" w:space="0" w:color="5B5975"/>
            </w:tcBorders>
            <w:shd w:fill="auto" w:val="clear"/>
            <w:vAlign w:val="center"/>
          </w:tcPr>
          <w:p>
            <w:pPr>
              <w:pStyle w:val="TableContents"/>
              <w:spacing w:before="0" w:after="283"/>
              <w:jc w:val="right"/>
              <w:rPr/>
            </w:pPr>
            <w:r>
              <w:rPr>
                <w:rStyle w:val="StrongEmphasis"/>
                <w:rFonts w:ascii="Arial" w:hAnsi="Arial"/>
                <w:color w:val="1A2343"/>
                <w:sz w:val="20"/>
              </w:rPr>
              <w:t>458,827</w:t>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Add:</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shd w:fill="auto" w:val="clear"/>
            <w:tcMar>
              <w:bottom w:w="0" w:type="dxa"/>
            </w:tcMar>
            <w:vAlign w:val="center"/>
          </w:tcPr>
          <w:p>
            <w:pPr>
              <w:pStyle w:val="TableContents"/>
              <w:spacing w:before="0" w:after="283"/>
              <w:rPr>
                <w:sz w:val="4"/>
                <w:szCs w:val="4"/>
              </w:rPr>
            </w:pPr>
            <w:r>
              <w:rPr>
                <w:sz w:val="4"/>
                <w:szCs w:val="4"/>
              </w:rPr>
            </w:r>
          </w:p>
        </w:tc>
        <w:tc>
          <w:tcPr>
            <w:tcW w:w="1055"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Non real estate depreciation and amortization</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2,605</w:t>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Amortization of deferred financing costs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7,817</w:t>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Non-cash deferred compensation</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57,040</w:t>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FAD adjustment for Joint Ventures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(115,454)</w:t>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Straight-line rental income and other non cash adjustments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(21,834)</w:t>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Second cycle tenant improvements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(31,955)</w:t>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Second cycle leasing commissions</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(11,683)</w:t>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Revenue enhancing recurring CAPEX</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(4,085)</w:t>
            </w:r>
          </w:p>
        </w:tc>
      </w:tr>
      <w:tr>
        <w:trPr/>
        <w:tc>
          <w:tcPr>
            <w:tcW w:w="6890" w:type="dxa"/>
            <w:tcBorders>
              <w:bottom w:val="single" w:sz="8" w:space="0" w:color="5B5975"/>
            </w:tcBorders>
            <w:shd w:fill="auto" w:val="clear"/>
            <w:vAlign w:val="center"/>
          </w:tcPr>
          <w:p>
            <w:pPr>
              <w:pStyle w:val="TableContents"/>
              <w:spacing w:before="0" w:after="283"/>
              <w:jc w:val="left"/>
              <w:rPr>
                <w:rFonts w:ascii="Arial" w:hAnsi="Arial"/>
                <w:sz w:val="20"/>
              </w:rPr>
            </w:pPr>
            <w:r>
              <w:rPr>
                <w:rFonts w:ascii="Arial" w:hAnsi="Arial"/>
                <w:sz w:val="20"/>
              </w:rPr>
              <w:t>Non-revenue enhancing recurring CAPEX</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8" w:space="0" w:color="5B5975"/>
            </w:tcBorders>
            <w:shd w:fill="auto" w:val="clear"/>
            <w:vAlign w:val="center"/>
          </w:tcPr>
          <w:p>
            <w:pPr>
              <w:pStyle w:val="TableContents"/>
              <w:spacing w:before="0" w:after="283"/>
              <w:rPr>
                <w:sz w:val="4"/>
                <w:szCs w:val="4"/>
              </w:rPr>
            </w:pPr>
            <w:r>
              <w:rPr>
                <w:sz w:val="4"/>
                <w:szCs w:val="4"/>
              </w:rPr>
            </w:r>
          </w:p>
        </w:tc>
        <w:tc>
          <w:tcPr>
            <w:tcW w:w="1055" w:type="dxa"/>
            <w:tcBorders>
              <w:bottom w:val="single" w:sz="8" w:space="0" w:color="5B5975"/>
            </w:tcBorders>
            <w:shd w:fill="auto" w:val="clear"/>
            <w:vAlign w:val="center"/>
          </w:tcPr>
          <w:p>
            <w:pPr>
              <w:pStyle w:val="TableContents"/>
              <w:spacing w:before="0" w:after="283"/>
              <w:jc w:val="right"/>
              <w:rPr>
                <w:rFonts w:ascii="Arial" w:hAnsi="Arial"/>
                <w:sz w:val="20"/>
              </w:rPr>
            </w:pPr>
            <w:r>
              <w:rPr>
                <w:rFonts w:ascii="Arial" w:hAnsi="Arial"/>
                <w:sz w:val="20"/>
              </w:rPr>
              <w:t>(24,912)</w:t>
            </w:r>
          </w:p>
        </w:tc>
      </w:tr>
      <w:tr>
        <w:trPr/>
        <w:tc>
          <w:tcPr>
            <w:tcW w:w="6890" w:type="dxa"/>
            <w:tcBorders>
              <w:bottom w:val="single" w:sz="12" w:space="0" w:color="1A2343"/>
            </w:tcBorders>
            <w:shd w:fill="auto" w:val="clear"/>
            <w:vAlign w:val="center"/>
          </w:tcPr>
          <w:p>
            <w:pPr>
              <w:pStyle w:val="TableContents"/>
              <w:spacing w:before="0" w:after="283"/>
              <w:jc w:val="left"/>
              <w:rPr/>
            </w:pPr>
            <w:r>
              <w:rPr>
                <w:rStyle w:val="StrongEmphasis"/>
                <w:rFonts w:ascii="Arial" w:hAnsi="Arial"/>
                <w:color w:val="1A2343"/>
                <w:sz w:val="20"/>
              </w:rPr>
              <w:t>Funds Available for Distribution</w:t>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125" w:type="dxa"/>
            <w:tcBorders>
              <w:bottom w:val="single" w:sz="12" w:space="0" w:color="1A2343"/>
            </w:tcBorders>
            <w:shd w:fill="auto" w:val="clear"/>
            <w:vAlign w:val="center"/>
          </w:tcPr>
          <w:p>
            <w:pPr>
              <w:pStyle w:val="TableContents"/>
              <w:spacing w:before="0" w:after="283"/>
              <w:jc w:val="right"/>
              <w:rPr/>
            </w:pPr>
            <w:r>
              <w:rPr>
                <w:rStyle w:val="StrongEmphasis"/>
                <w:rFonts w:ascii="Arial" w:hAnsi="Arial"/>
                <w:color w:val="1A2343"/>
                <w:sz w:val="20"/>
              </w:rPr>
              <w:t>$</w:t>
            </w:r>
          </w:p>
        </w:tc>
        <w:tc>
          <w:tcPr>
            <w:tcW w:w="1055" w:type="dxa"/>
            <w:tcBorders>
              <w:bottom w:val="single" w:sz="12" w:space="0" w:color="1A2343"/>
            </w:tcBorders>
            <w:shd w:fill="auto" w:val="clear"/>
            <w:vAlign w:val="center"/>
          </w:tcPr>
          <w:p>
            <w:pPr>
              <w:pStyle w:val="TableContents"/>
              <w:spacing w:before="0" w:after="283"/>
              <w:jc w:val="right"/>
              <w:rPr/>
            </w:pPr>
            <w:r>
              <w:rPr>
                <w:rStyle w:val="StrongEmphasis"/>
                <w:rFonts w:ascii="Arial" w:hAnsi="Arial"/>
                <w:color w:val="1A2343"/>
                <w:sz w:val="20"/>
              </w:rPr>
              <w:t>316,366</w:t>
            </w:r>
          </w:p>
        </w:tc>
      </w:tr>
    </w:tbl>
    <w:p>
      <w:pPr>
        <w:pStyle w:val="TextBody"/>
        <w:spacing w:before="200" w:after="200"/>
        <w:jc w:val="left"/>
        <w:rPr>
          <w:rFonts w:ascii="Arial" w:hAnsi="Arial"/>
          <w:sz w:val="20"/>
        </w:rPr>
      </w:pPr>
      <w:r>
        <w:rPr>
          <w:rFonts w:ascii="Arial" w:hAnsi="Arial"/>
          <w:sz w:val="20"/>
        </w:rPr>
        <w:t>Below are reconciliations of net income to operating income, same-store cash net operating income and same-store cash net operating income excluding lease termination income for the twelve months ended December 31, 2022 and 2021 (amounts in thousands).</w:t>
      </w:r>
    </w:p>
    <w:tbl>
      <w:tblPr>
        <w:tblW w:w="9410" w:type="dxa"/>
        <w:jc w:val="left"/>
        <w:tblInd w:w="0" w:type="dxa"/>
        <w:tblCellMar>
          <w:top w:w="0" w:type="dxa"/>
          <w:left w:w="0" w:type="dxa"/>
          <w:bottom w:w="0" w:type="dxa"/>
          <w:right w:w="0" w:type="dxa"/>
        </w:tblCellMar>
      </w:tblPr>
      <w:tblGrid>
        <w:gridCol w:w="6830"/>
        <w:gridCol w:w="300"/>
        <w:gridCol w:w="425"/>
        <w:gridCol w:w="725"/>
        <w:gridCol w:w="300"/>
        <w:gridCol w:w="830"/>
      </w:tblGrid>
      <w:tr>
        <w:trPr/>
        <w:tc>
          <w:tcPr>
            <w:tcW w:w="683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280" w:type="dxa"/>
            <w:gridSpan w:val="4"/>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Year Ended December 31,</w:t>
            </w:r>
          </w:p>
        </w:tc>
      </w:tr>
      <w:tr>
        <w:trPr/>
        <w:tc>
          <w:tcPr>
            <w:tcW w:w="6830" w:type="dxa"/>
            <w:tcBorders>
              <w:bottom w:val="single" w:sz="12" w:space="0" w:color="1A2343"/>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jc w:val="left"/>
              <w:rPr/>
            </w:pPr>
            <w:r>
              <w:rPr/>
              <w:t>     </w:t>
            </w:r>
          </w:p>
        </w:tc>
        <w:tc>
          <w:tcPr>
            <w:tcW w:w="425" w:type="dxa"/>
            <w:tcBorders>
              <w:bottom w:val="single" w:sz="12" w:space="0" w:color="1A2343"/>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2022</w:t>
            </w:r>
          </w:p>
        </w:tc>
        <w:tc>
          <w:tcPr>
            <w:tcW w:w="300" w:type="dxa"/>
            <w:tcBorders/>
            <w:shd w:fill="auto" w:val="clear"/>
            <w:vAlign w:val="center"/>
          </w:tcPr>
          <w:p>
            <w:pPr>
              <w:pStyle w:val="TableContents"/>
              <w:spacing w:before="0" w:after="283"/>
              <w:jc w:val="right"/>
              <w:rPr/>
            </w:pPr>
            <w:r>
              <w:rPr/>
              <w:t>     </w:t>
            </w:r>
          </w:p>
        </w:tc>
        <w:tc>
          <w:tcPr>
            <w:tcW w:w="830"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2021</w:t>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Operating Income and Same-store NOI Reconciliation</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Net (loss) income</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     </w:t>
            </w:r>
          </w:p>
        </w:tc>
        <w:tc>
          <w:tcPr>
            <w:tcW w:w="725" w:type="dxa"/>
            <w:tcBorders>
              <w:bottom w:val="single" w:sz="8" w:space="0" w:color="5B5975"/>
            </w:tcBorders>
            <w:shd w:fill="auto" w:val="clear"/>
            <w:tcMar>
              <w:bottom w:w="40" w:type="dxa"/>
            </w:tcMar>
            <w:vAlign w:val="center"/>
          </w:tcPr>
          <w:p>
            <w:pPr>
              <w:pStyle w:val="TableContents"/>
              <w:spacing w:before="0" w:after="283"/>
              <w:jc w:val="right"/>
              <w:rPr/>
            </w:pPr>
            <w:r>
              <w:rPr>
                <w:rStyle w:val="StrongEmphasis"/>
                <w:rFonts w:ascii="Arial" w:hAnsi="Arial"/>
                <w:color w:val="1A2343"/>
                <w:sz w:val="20"/>
              </w:rPr>
              <w:t>(76,303)</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pPr>
            <w:r>
              <w:rPr>
                <w:rStyle w:val="StrongEmphasis"/>
                <w:rFonts w:ascii="Arial" w:hAnsi="Arial"/>
                <w:color w:val="1A2343"/>
                <w:sz w:val="20"/>
              </w:rPr>
              <w:t>480,632</w:t>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Equity in net loss on sale of interest in unconsolidated joint venture/real estate</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131</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32,757</w:t>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Purchase price and other fair value adjustments</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8,118</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(210,070)</w:t>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Loss (gain) on sale of real estate, net</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84,485</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(287,417)</w:t>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Depreciable real estate reserves</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6,313</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23,794</w:t>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Depreciation and amortization</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215,306</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216,869</w:t>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Interest expense, net of interest income</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89,473</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70,891</w:t>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Amortization of deferred financing costs</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7,817</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11,424</w:t>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Operating income</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w:t>
            </w:r>
          </w:p>
        </w:tc>
        <w:tc>
          <w:tcPr>
            <w:tcW w:w="725" w:type="dxa"/>
            <w:tcBorders>
              <w:bottom w:val="single" w:sz="8" w:space="0" w:color="5B5975"/>
            </w:tcBorders>
            <w:shd w:fill="auto" w:val="clear"/>
            <w:tcMar>
              <w:bottom w:w="40" w:type="dxa"/>
            </w:tcMar>
            <w:vAlign w:val="center"/>
          </w:tcPr>
          <w:p>
            <w:pPr>
              <w:pStyle w:val="TableContents"/>
              <w:spacing w:before="0" w:after="283"/>
              <w:jc w:val="right"/>
              <w:rPr/>
            </w:pPr>
            <w:r>
              <w:rPr>
                <w:rStyle w:val="StrongEmphasis"/>
                <w:rFonts w:ascii="Arial" w:hAnsi="Arial"/>
                <w:color w:val="1A2343"/>
                <w:sz w:val="20"/>
              </w:rPr>
              <w:t>335,340</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338,880</w:t>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Equity in net loss from unconsolidated joint ventures</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57,958</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55,402</w:t>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Marketing, general and administrative expense</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93,798</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94,912</w:t>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Transaction related costs, net</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409</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3,773</w:t>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Investment income</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(81,113)</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(80,340)</w:t>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Loan loss and other investment reserves, net of recoveries</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2,931</w:t>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Non-building revenue</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(47,161)</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(46,110)</w:t>
            </w:r>
          </w:p>
        </w:tc>
      </w:tr>
      <w:tr>
        <w:trPr/>
        <w:tc>
          <w:tcPr>
            <w:tcW w:w="6830"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Loss on early extinguishment of debt</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1,551</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405" w:type="dxa"/>
        <w:jc w:val="left"/>
        <w:tblInd w:w="0" w:type="dxa"/>
        <w:tblCellMar>
          <w:top w:w="0" w:type="dxa"/>
          <w:left w:w="0" w:type="dxa"/>
          <w:bottom w:w="0" w:type="dxa"/>
          <w:right w:w="0" w:type="dxa"/>
        </w:tblCellMar>
      </w:tblPr>
      <w:tblGrid>
        <w:gridCol w:w="995"/>
        <w:gridCol w:w="410"/>
      </w:tblGrid>
      <w:tr>
        <w:trPr/>
        <w:tc>
          <w:tcPr>
            <w:tcW w:w="995" w:type="dxa"/>
            <w:tcBorders/>
            <w:shd w:fill="auto" w:val="clear"/>
            <w:vAlign w:val="center"/>
          </w:tcPr>
          <w:p>
            <w:pPr>
              <w:pStyle w:val="TableContents"/>
              <w:spacing w:before="0" w:after="283"/>
              <w:jc w:val="left"/>
              <w:rPr>
                <w:rFonts w:ascii="Arial" w:hAnsi="Arial"/>
                <w:sz w:val="15"/>
              </w:rPr>
            </w:pPr>
            <w:r>
              <w:rPr>
                <w:rFonts w:ascii="Arial" w:hAnsi="Arial"/>
                <w:b/>
                <w:sz w:val="15"/>
              </w:rPr>
              <w:t>APPENDIX A</w:t>
            </w:r>
            <w:r>
              <w:rPr>
                <w:rFonts w:ascii="Arial" w:hAnsi="Arial"/>
                <w:sz w:val="15"/>
              </w:rPr>
              <w:t xml:space="preserve"> </w:t>
            </w:r>
          </w:p>
        </w:tc>
        <w:tc>
          <w:tcPr>
            <w:tcW w:w="41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A-3</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7531"/>
        <w:gridCol w:w="300"/>
        <w:gridCol w:w="425"/>
        <w:gridCol w:w="824"/>
        <w:gridCol w:w="300"/>
        <w:gridCol w:w="825"/>
      </w:tblGrid>
      <w:tr>
        <w:trPr/>
        <w:tc>
          <w:tcPr>
            <w:tcW w:w="7531"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374" w:type="dxa"/>
            <w:gridSpan w:val="4"/>
            <w:tcBorders/>
            <w:shd w:fill="auto" w:val="clear"/>
            <w:vAlign w:val="center"/>
          </w:tcPr>
          <w:p>
            <w:pPr>
              <w:pStyle w:val="TableContents"/>
              <w:spacing w:before="0" w:after="283"/>
              <w:jc w:val="right"/>
              <w:rPr>
                <w:rFonts w:ascii="Arial" w:hAnsi="Arial"/>
                <w:color w:val="1A2343"/>
                <w:sz w:val="15"/>
              </w:rPr>
            </w:pPr>
            <w:r>
              <w:rPr>
                <w:rFonts w:ascii="Arial" w:hAnsi="Arial"/>
                <w:color w:val="1A2343"/>
                <w:sz w:val="15"/>
              </w:rPr>
              <w:t>Year Ended December 31,</w:t>
            </w:r>
          </w:p>
        </w:tc>
      </w:tr>
      <w:tr>
        <w:trPr/>
        <w:tc>
          <w:tcPr>
            <w:tcW w:w="7531" w:type="dxa"/>
            <w:tcBorders>
              <w:bottom w:val="single" w:sz="12" w:space="0" w:color="1A2343"/>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jc w:val="left"/>
              <w:rPr/>
            </w:pPr>
            <w:r>
              <w:rPr/>
              <w:t>     </w:t>
            </w:r>
          </w:p>
        </w:tc>
        <w:tc>
          <w:tcPr>
            <w:tcW w:w="425" w:type="dxa"/>
            <w:tcBorders>
              <w:bottom w:val="single" w:sz="12" w:space="0" w:color="1A2343"/>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2022</w:t>
            </w:r>
          </w:p>
        </w:tc>
        <w:tc>
          <w:tcPr>
            <w:tcW w:w="300" w:type="dxa"/>
            <w:tcBorders/>
            <w:shd w:fill="auto" w:val="clear"/>
            <w:vAlign w:val="center"/>
          </w:tcPr>
          <w:p>
            <w:pPr>
              <w:pStyle w:val="TableContents"/>
              <w:spacing w:before="0" w:after="283"/>
              <w:jc w:val="right"/>
              <w:rPr/>
            </w:pPr>
            <w:r>
              <w:rPr/>
              <w:t>     </w:t>
            </w:r>
          </w:p>
        </w:tc>
        <w:tc>
          <w:tcPr>
            <w:tcW w:w="825" w:type="dxa"/>
            <w:tcBorders>
              <w:bottom w:val="single" w:sz="12" w:space="0" w:color="1A2343"/>
            </w:tcBorders>
            <w:shd w:fill="auto" w:val="clear"/>
            <w:tcMar>
              <w:bottom w:w="40" w:type="dxa"/>
            </w:tcMar>
            <w:vAlign w:val="center"/>
          </w:tcPr>
          <w:p>
            <w:pPr>
              <w:pStyle w:val="TableContents"/>
              <w:spacing w:before="0" w:after="283"/>
              <w:jc w:val="right"/>
              <w:rPr>
                <w:rFonts w:ascii="Arial" w:hAnsi="Arial"/>
                <w:color w:val="1A2343"/>
                <w:sz w:val="15"/>
              </w:rPr>
            </w:pPr>
            <w:r>
              <w:rPr>
                <w:rFonts w:ascii="Arial" w:hAnsi="Arial"/>
                <w:color w:val="1A2343"/>
                <w:sz w:val="15"/>
              </w:rPr>
              <w:t>2021</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Net operating income (NOI)</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     </w:t>
            </w:r>
          </w:p>
        </w:tc>
        <w:tc>
          <w:tcPr>
            <w:tcW w:w="824" w:type="dxa"/>
            <w:tcBorders>
              <w:bottom w:val="single" w:sz="8" w:space="0" w:color="5B5975"/>
            </w:tcBorders>
            <w:shd w:fill="auto" w:val="clear"/>
            <w:tcMar>
              <w:bottom w:w="40" w:type="dxa"/>
            </w:tcMar>
            <w:vAlign w:val="center"/>
          </w:tcPr>
          <w:p>
            <w:pPr>
              <w:pStyle w:val="TableContents"/>
              <w:spacing w:before="0" w:after="283"/>
              <w:jc w:val="right"/>
              <w:rPr/>
            </w:pPr>
            <w:r>
              <w:rPr>
                <w:rStyle w:val="StrongEmphasis"/>
                <w:rFonts w:ascii="Arial" w:hAnsi="Arial"/>
                <w:color w:val="1A2343"/>
                <w:sz w:val="20"/>
              </w:rPr>
              <w:t>359,231</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370,999</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Equity in net loss from unconsolidated joint ventures</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(57,958)</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(55,402)</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SLG share of unconsolidated JV depreciation and amortization</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241,127</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243,791</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SLG share of unconsolidated JV interest expense, net of interest income</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209,182</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154,026</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SLG share of unconsolidated JV amortization of deferred financing costs</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12,031</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14,297</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SLG share of unconsolidated JV loss on early extinguishment of debt</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325</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1,372</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SLG share of unconsolidated JV investment income</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(1,420)</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(1,229)</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SLG share of unconsolidated JV non-building revenue</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(7,232)</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(4,204)</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NOI including SLG share of unconsolidated JVs</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w:t>
            </w:r>
          </w:p>
        </w:tc>
        <w:tc>
          <w:tcPr>
            <w:tcW w:w="824" w:type="dxa"/>
            <w:tcBorders>
              <w:bottom w:val="single" w:sz="8" w:space="0" w:color="5B5975"/>
            </w:tcBorders>
            <w:shd w:fill="auto" w:val="clear"/>
            <w:tcMar>
              <w:bottom w:w="40" w:type="dxa"/>
            </w:tcMar>
            <w:vAlign w:val="center"/>
          </w:tcPr>
          <w:p>
            <w:pPr>
              <w:pStyle w:val="TableContents"/>
              <w:spacing w:before="0" w:after="283"/>
              <w:jc w:val="right"/>
              <w:rPr/>
            </w:pPr>
            <w:r>
              <w:rPr>
                <w:rStyle w:val="StrongEmphasis"/>
                <w:rFonts w:ascii="Arial" w:hAnsi="Arial"/>
                <w:color w:val="1A2343"/>
                <w:sz w:val="20"/>
              </w:rPr>
              <w:t>755,286</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723,650</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NOI from other properties/affiliates</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(167,818)</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(136,435)</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Same-Store NOI</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w:t>
            </w:r>
          </w:p>
        </w:tc>
        <w:tc>
          <w:tcPr>
            <w:tcW w:w="824" w:type="dxa"/>
            <w:tcBorders>
              <w:bottom w:val="single" w:sz="8" w:space="0" w:color="5B5975"/>
            </w:tcBorders>
            <w:shd w:fill="auto" w:val="clear"/>
            <w:tcMar>
              <w:bottom w:w="40" w:type="dxa"/>
            </w:tcMar>
            <w:vAlign w:val="center"/>
          </w:tcPr>
          <w:p>
            <w:pPr>
              <w:pStyle w:val="TableContents"/>
              <w:spacing w:before="0" w:after="283"/>
              <w:jc w:val="right"/>
              <w:rPr/>
            </w:pPr>
            <w:r>
              <w:rPr>
                <w:rStyle w:val="StrongEmphasis"/>
                <w:rFonts w:ascii="Arial" w:hAnsi="Arial"/>
                <w:color w:val="1A2343"/>
                <w:sz w:val="20"/>
              </w:rPr>
              <w:t>587,468</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587,215</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Operating lease straight-line adjustment</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815</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815</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SLG share of unconsolidated JV ground lease straight-line adjustment</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770</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916</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Straight-line and free rent</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(5,933)</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(7,093)</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Amortization of acquired above and below-market leases, net</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(22)</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(395)</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SLG share of unconsolidated JV straight-line and free rent</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13,741</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(12,487)</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SLG share of unconsolidated JV amortization of acquired above and below-market leases, net</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(18,116)</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(18,741)</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Same-store cash NOI</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w:t>
            </w:r>
          </w:p>
        </w:tc>
        <w:tc>
          <w:tcPr>
            <w:tcW w:w="824" w:type="dxa"/>
            <w:tcBorders>
              <w:bottom w:val="single" w:sz="8" w:space="0" w:color="5B5975"/>
            </w:tcBorders>
            <w:shd w:fill="auto" w:val="clear"/>
            <w:tcMar>
              <w:bottom w:w="40" w:type="dxa"/>
            </w:tcMar>
            <w:vAlign w:val="center"/>
          </w:tcPr>
          <w:p>
            <w:pPr>
              <w:pStyle w:val="TableContents"/>
              <w:spacing w:before="0" w:after="283"/>
              <w:jc w:val="right"/>
              <w:rPr/>
            </w:pPr>
            <w:r>
              <w:rPr>
                <w:rStyle w:val="StrongEmphasis"/>
                <w:rFonts w:ascii="Arial" w:hAnsi="Arial"/>
                <w:color w:val="1A2343"/>
                <w:sz w:val="20"/>
              </w:rPr>
              <w:t>578,723</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550,230</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Lease termination income</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(1,199)</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(3,592)</w:t>
            </w:r>
          </w:p>
        </w:tc>
      </w:tr>
      <w:tr>
        <w:trPr/>
        <w:tc>
          <w:tcPr>
            <w:tcW w:w="7531" w:type="dxa"/>
            <w:tcBorders>
              <w:bottom w:val="single" w:sz="8" w:space="0" w:color="5B5975"/>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SLG share of unconsolidated JV lease termination income</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8" w:space="0" w:color="5B5975"/>
            </w:tcBorders>
            <w:shd w:fill="auto" w:val="clear"/>
            <w:tcMar>
              <w:bottom w:w="40" w:type="dxa"/>
            </w:tcMar>
            <w:vAlign w:val="center"/>
          </w:tcPr>
          <w:p>
            <w:pPr>
              <w:pStyle w:val="TableContents"/>
              <w:spacing w:before="0" w:after="283"/>
              <w:rPr>
                <w:sz w:val="4"/>
                <w:szCs w:val="4"/>
              </w:rPr>
            </w:pPr>
            <w:r>
              <w:rPr>
                <w:sz w:val="4"/>
                <w:szCs w:val="4"/>
              </w:rPr>
            </w:r>
          </w:p>
        </w:tc>
        <w:tc>
          <w:tcPr>
            <w:tcW w:w="824"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(8,515)</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8" w:space="0" w:color="5B5975"/>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(2,521)</w:t>
            </w:r>
          </w:p>
        </w:tc>
      </w:tr>
      <w:tr>
        <w:trPr/>
        <w:tc>
          <w:tcPr>
            <w:tcW w:w="7531" w:type="dxa"/>
            <w:tcBorders>
              <w:bottom w:val="single" w:sz="12" w:space="0" w:color="1A2343"/>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Same-store cash NOI excluding lease termination income</w:t>
            </w:r>
          </w:p>
        </w:tc>
        <w:tc>
          <w:tcPr>
            <w:tcW w:w="300" w:type="dxa"/>
            <w:tcBorders/>
            <w:shd w:fill="auto" w:val="clear"/>
            <w:vAlign w:val="center"/>
          </w:tcPr>
          <w:p>
            <w:pPr>
              <w:pStyle w:val="TableContents"/>
              <w:spacing w:before="0" w:after="283"/>
              <w:rPr>
                <w:sz w:val="4"/>
                <w:szCs w:val="4"/>
              </w:rPr>
            </w:pPr>
            <w:r>
              <w:rPr>
                <w:sz w:val="4"/>
                <w:szCs w:val="4"/>
              </w:rPr>
            </w:r>
          </w:p>
        </w:tc>
        <w:tc>
          <w:tcPr>
            <w:tcW w:w="425" w:type="dxa"/>
            <w:tcBorders>
              <w:bottom w:val="single" w:sz="12" w:space="0" w:color="1A2343"/>
            </w:tcBorders>
            <w:shd w:fill="auto" w:val="clear"/>
            <w:tcMar>
              <w:bottom w:w="40" w:type="dxa"/>
            </w:tcMar>
            <w:vAlign w:val="center"/>
          </w:tcPr>
          <w:p>
            <w:pPr>
              <w:pStyle w:val="TableContents"/>
              <w:spacing w:before="0" w:after="283"/>
              <w:jc w:val="left"/>
              <w:rPr/>
            </w:pPr>
            <w:r>
              <w:rPr>
                <w:rStyle w:val="StrongEmphasis"/>
                <w:rFonts w:ascii="Arial" w:hAnsi="Arial"/>
                <w:color w:val="1A2343"/>
                <w:sz w:val="20"/>
              </w:rPr>
              <w:t>$</w:t>
            </w:r>
          </w:p>
        </w:tc>
        <w:tc>
          <w:tcPr>
            <w:tcW w:w="824" w:type="dxa"/>
            <w:tcBorders>
              <w:bottom w:val="single" w:sz="12" w:space="0" w:color="1A2343"/>
            </w:tcBorders>
            <w:shd w:fill="auto" w:val="clear"/>
            <w:tcMar>
              <w:bottom w:w="40" w:type="dxa"/>
            </w:tcMar>
            <w:vAlign w:val="center"/>
          </w:tcPr>
          <w:p>
            <w:pPr>
              <w:pStyle w:val="TableContents"/>
              <w:spacing w:before="0" w:after="283"/>
              <w:jc w:val="right"/>
              <w:rPr/>
            </w:pPr>
            <w:r>
              <w:rPr>
                <w:rStyle w:val="StrongEmphasis"/>
                <w:rFonts w:ascii="Arial" w:hAnsi="Arial"/>
                <w:color w:val="1A2343"/>
                <w:sz w:val="20"/>
              </w:rPr>
              <w:t>569,009</w:t>
            </w:r>
          </w:p>
        </w:tc>
        <w:tc>
          <w:tcPr>
            <w:tcW w:w="300" w:type="dxa"/>
            <w:tcBorders/>
            <w:shd w:fill="auto" w:val="clear"/>
            <w:vAlign w:val="center"/>
          </w:tcPr>
          <w:p>
            <w:pPr>
              <w:pStyle w:val="TableContents"/>
              <w:spacing w:before="0" w:after="283"/>
              <w:rPr>
                <w:sz w:val="4"/>
                <w:szCs w:val="4"/>
              </w:rPr>
            </w:pPr>
            <w:r>
              <w:rPr>
                <w:sz w:val="4"/>
                <w:szCs w:val="4"/>
              </w:rPr>
            </w:r>
          </w:p>
        </w:tc>
        <w:tc>
          <w:tcPr>
            <w:tcW w:w="825" w:type="dxa"/>
            <w:tcBorders>
              <w:bottom w:val="single" w:sz="12" w:space="0" w:color="1A2343"/>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544,117</w:t>
            </w:r>
          </w:p>
        </w:tc>
      </w:tr>
    </w:tbl>
    <w:p>
      <w:pPr>
        <w:pStyle w:val="TextBody"/>
        <w:spacing w:before="240" w:after="283"/>
        <w:jc w:val="left"/>
        <w:rPr/>
      </w:pPr>
      <w:r>
        <w:rPr>
          <w:rStyle w:val="StrongEmphasis"/>
          <w:rFonts w:ascii="Arial" w:hAnsi="Arial"/>
          <w:i/>
          <w:color w:val="1A2343"/>
          <w:sz w:val="20"/>
        </w:rPr>
        <w:t>Notes:</w:t>
      </w:r>
    </w:p>
    <w:p>
      <w:pPr>
        <w:pStyle w:val="TextBody"/>
        <w:jc w:val="left"/>
        <w:rPr/>
      </w:pPr>
      <w:r>
        <w:rPr>
          <w:rStyle w:val="StrongEmphasis"/>
          <w:rFonts w:ascii="Arial" w:hAnsi="Arial"/>
          <w:color w:val="1A2343"/>
          <w:sz w:val="20"/>
          <w:u w:val="single"/>
        </w:rPr>
        <w:t>Funds from Operations and Normalized Funds from Operations</w:t>
      </w:r>
    </w:p>
    <w:p>
      <w:pPr>
        <w:pStyle w:val="TextBody"/>
        <w:jc w:val="left"/>
        <w:rPr>
          <w:rFonts w:ascii="Arial" w:hAnsi="Arial"/>
          <w:sz w:val="20"/>
        </w:rPr>
      </w:pPr>
      <w:r>
        <w:rPr>
          <w:rFonts w:ascii="Arial" w:hAnsi="Arial"/>
          <w:sz w:val="20"/>
        </w:rPr>
        <w:t>Funds from Operations, or FFO, is a widely recognized non-GAAP financial measure of REIT performance. We compute FFO in accordance with standards established by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and subsequently amended in December 2018, defines FFO as net income (loss) (computed in accordance with GAAP), excluding gains (or losses) from sales of properties, and real estate related impairment charges, plus real estate related depreciation and amortization and after adjustments for unconsolidated partnerships and joint ventures.</w:t>
      </w:r>
    </w:p>
    <w:p>
      <w:pPr>
        <w:pStyle w:val="TextBody"/>
        <w:jc w:val="left"/>
        <w:rPr>
          <w:rFonts w:ascii="Arial" w:hAnsi="Arial"/>
          <w:sz w:val="20"/>
        </w:rPr>
      </w:pPr>
      <w:r>
        <w:rPr>
          <w:rFonts w:ascii="Arial" w:hAnsi="Arial"/>
          <w:sz w:val="20"/>
        </w:rPr>
        <w:t>We present FFO because we consider it an important supplemental measure of our operating performance and believe that it is frequently used by securities analysts, investors and other interested parties in the evaluation of REITs, particularly those that own and operate commercial office properties. We also use FFO as one of several criteria to determine performance-based compensation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pStyle w:val="TextBody"/>
        <w:jc w:val="left"/>
        <w:rPr>
          <w:rFonts w:ascii="Arial" w:hAnsi="Arial"/>
          <w:sz w:val="20"/>
        </w:rPr>
      </w:pPr>
      <w:r>
        <w:rPr>
          <w:rFonts w:ascii="Arial" w:hAnsi="Arial"/>
          <w:sz w:val="20"/>
        </w:rPr>
        <w:t>We also present Normalized FFO, defined as FFO excluding the impact of discrete transactions (set forth in the table above) that impacted FFO in 2022, which we present to enhance the comparability of our FFO across periods.</w:t>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4330" w:type="dxa"/>
        <w:jc w:val="left"/>
        <w:tblInd w:w="0" w:type="dxa"/>
        <w:tblCellMar>
          <w:top w:w="0" w:type="dxa"/>
          <w:left w:w="0" w:type="dxa"/>
          <w:bottom w:w="0" w:type="dxa"/>
          <w:right w:w="0" w:type="dxa"/>
        </w:tblCellMar>
      </w:tblPr>
      <w:tblGrid>
        <w:gridCol w:w="410"/>
        <w:gridCol w:w="3920"/>
      </w:tblGrid>
      <w:tr>
        <w:trPr/>
        <w:tc>
          <w:tcPr>
            <w:tcW w:w="410" w:type="dxa"/>
            <w:tcBorders/>
            <w:shd w:fill="auto" w:val="clear"/>
            <w:vAlign w:val="center"/>
          </w:tcPr>
          <w:p>
            <w:pPr>
              <w:pStyle w:val="TableContents"/>
              <w:spacing w:before="0" w:after="283"/>
              <w:jc w:val="left"/>
              <w:rPr>
                <w:rFonts w:ascii="Arial" w:hAnsi="Arial"/>
                <w:b/>
                <w:color w:val="1A2343"/>
                <w:sz w:val="24"/>
              </w:rPr>
            </w:pPr>
            <w:r>
              <w:rPr>
                <w:rFonts w:ascii="Arial" w:hAnsi="Arial"/>
                <w:b/>
                <w:color w:val="1A2343"/>
                <w:sz w:val="24"/>
              </w:rPr>
              <w:t>A-4</w:t>
            </w:r>
          </w:p>
        </w:tc>
        <w:tc>
          <w:tcPr>
            <w:tcW w:w="3920" w:type="dxa"/>
            <w:tcBorders/>
            <w:shd w:fill="auto" w:val="clear"/>
            <w:vAlign w:val="center"/>
          </w:tcPr>
          <w:p>
            <w:pPr>
              <w:pStyle w:val="TableContents"/>
              <w:spacing w:before="0" w:after="283"/>
              <w:jc w:val="left"/>
              <w:rPr>
                <w:rFonts w:ascii="Arial" w:hAnsi="Arial"/>
                <w:b/>
                <w:sz w:val="15"/>
              </w:rPr>
            </w:pPr>
            <w:r>
              <w:rPr>
                <w:rFonts w:ascii="Arial" w:hAnsi="Arial"/>
                <w:b/>
                <w:sz w:val="15"/>
              </w:rPr>
              <w:t>SL GREEN REALTY CORP. 2023 PROXY STATEMENT</w:t>
            </w:r>
          </w:p>
        </w:tc>
      </w:tr>
    </w:tbl>
    <w:p>
      <w:pPr>
        <w:pStyle w:val="TextBody"/>
        <w:spacing w:before="240" w:after="283"/>
        <w:jc w:val="left"/>
        <w:rPr/>
      </w:pPr>
      <w:r>
        <w:rPr>
          <w:rStyle w:val="StrongEmphasis"/>
          <w:rFonts w:ascii="Arial" w:hAnsi="Arial"/>
          <w:color w:val="1A2343"/>
          <w:sz w:val="20"/>
          <w:u w:val="single"/>
        </w:rPr>
        <w:t>Funds Available for Distribution</w:t>
      </w:r>
    </w:p>
    <w:p>
      <w:pPr>
        <w:pStyle w:val="TextBody"/>
        <w:jc w:val="left"/>
        <w:rPr>
          <w:rFonts w:ascii="Arial" w:hAnsi="Arial"/>
          <w:sz w:val="20"/>
        </w:rPr>
      </w:pPr>
      <w:r>
        <w:rPr>
          <w:rFonts w:ascii="Arial" w:hAnsi="Arial"/>
          <w:sz w:val="20"/>
        </w:rPr>
        <w:t>Funds Available for Distribution, or FAD, is a non-GAAP financial measure that is calculated as FFO plus non-real estate depreciation, allowance for straight line credit loss, adjustment for straight line operating lease rent, non-cash deferred compensation, and pro-rata adjustments for these items from the Company’s unconsolidated JVs, less straight line rental income, free rent net of amortization, second cycle tenant improvement and leasing costs, and recurring capital expenditures.</w:t>
      </w:r>
    </w:p>
    <w:p>
      <w:pPr>
        <w:pStyle w:val="TextBody"/>
        <w:jc w:val="left"/>
        <w:rPr>
          <w:rFonts w:ascii="Arial" w:hAnsi="Arial"/>
          <w:sz w:val="20"/>
        </w:rPr>
      </w:pPr>
      <w:r>
        <w:rPr>
          <w:rFonts w:ascii="Arial" w:hAnsi="Arial"/>
          <w:sz w:val="20"/>
        </w:rPr>
        <w:t>FAD is not intended to represent cash flow for the period and is not indicative of cash flow provided by operating activities as determined in accordance with GAAP. FAD is presented solely as a supplemental disclosure with respect to liquidity because the Company believes it provides useful information regarding the Company’s ability to fund its dividends. Because all companies do not calculate FAD the same way, the presentation of FAD may not be comparable to similarly titled measures of other companies. FAD does not represent cash flow from operating, investing and finance activities in accordance with GAAP and should not be considered as an alternative to net income (determined in accordance with GAAP), as an indication of the Company’s financial performance, as an alternative to net cash flows from operating activities (determined in accordance with GAAP), or as a measure of the Company’s liquidity.</w:t>
      </w:r>
    </w:p>
    <w:p>
      <w:pPr>
        <w:pStyle w:val="TextBody"/>
        <w:jc w:val="left"/>
        <w:rPr/>
      </w:pPr>
      <w:r>
        <w:rPr>
          <w:rStyle w:val="StrongEmphasis"/>
          <w:rFonts w:ascii="Arial" w:hAnsi="Arial"/>
          <w:color w:val="1A2343"/>
          <w:sz w:val="20"/>
          <w:u w:val="single"/>
        </w:rPr>
        <w:t>Same-Store Cash Net Operating Income</w:t>
      </w:r>
    </w:p>
    <w:p>
      <w:pPr>
        <w:pStyle w:val="TextBody"/>
        <w:jc w:val="left"/>
        <w:rPr>
          <w:rFonts w:ascii="Arial" w:hAnsi="Arial"/>
          <w:sz w:val="20"/>
        </w:rPr>
      </w:pPr>
      <w:r>
        <w:rPr>
          <w:rFonts w:ascii="Arial" w:hAnsi="Arial"/>
          <w:sz w:val="20"/>
        </w:rPr>
        <w:t>Net Operating Income, or NOI, is a non-GAAP financial measure that is calculated as operating income before transaction related costs, gains/losses on early extinguishment of debt, marketing general and administrative expenses and non-real estate revenue. Cash NOI is also a non-GAAP financial measure that is calculated by subtracting free rent (net of amortization), straight-line rent, and the amortization of acquired above and below-market leases from NOI, while adding operating lease straight-line adjustment and the allowance for straight-line tenant credit loss.</w:t>
      </w:r>
    </w:p>
    <w:p>
      <w:pPr>
        <w:pStyle w:val="TextBody"/>
        <w:jc w:val="left"/>
        <w:rPr>
          <w:rFonts w:ascii="Arial" w:hAnsi="Arial"/>
          <w:sz w:val="20"/>
        </w:rPr>
      </w:pPr>
      <w:r>
        <w:rPr>
          <w:rFonts w:ascii="Arial" w:hAnsi="Arial"/>
          <w:sz w:val="20"/>
        </w:rPr>
        <w:t>We present NOI and Cash NOI because we believe that these measures, when taken together with the corresponding GAAP financial measures and reconciliations, provide investors with meaningful information regarding the operating performance of our properties. When operating performance is compared across multiple periods, the investor is provided with information not immediately apparent from net income that is determined in accordance with GAAP. NOI and Cash NOI provide information on trends in the revenue generated and expenses incurred in operating our properties, unaffected by the cost of leverage, straight-line adjustments, depreciation, amortization, and other net income components. We use these metrics internally as performance measures. None of these measures is an alternative to net income (determined in accordance with GAAP) and same-store performance should not be considered an alternative to GAAP net income performance.</w:t>
      </w:r>
    </w:p>
    <w:p>
      <w:pPr>
        <w:pStyle w:val="TextBody"/>
        <w:jc w:val="left"/>
        <w:rPr>
          <w:rFonts w:ascii="Arial" w:hAnsi="Arial"/>
          <w:sz w:val="20"/>
        </w:rPr>
      </w:pPr>
      <w:r>
        <w:rPr>
          <w:rFonts w:ascii="Arial" w:hAnsi="Arial"/>
          <w:sz w:val="20"/>
        </w:rPr>
        <w:t>Same-Store refers to properties owned in the same manner during both the current and prior year, excluding development and redevelopment properties that are not stabilized for both the current and prior year.</w:t>
      </w:r>
    </w:p>
    <w:p>
      <w:pPr>
        <w:pStyle w:val="TextBody"/>
        <w:jc w:val="left"/>
        <w:rPr>
          <w:rFonts w:ascii="Arial" w:hAnsi="Arial"/>
          <w:sz w:val="20"/>
        </w:rPr>
      </w:pPr>
      <w:r>
        <w:rPr>
          <w:rFonts w:ascii="Arial" w:hAnsi="Arial"/>
          <w:sz w:val="20"/>
        </w:rPr>
        <w:t>SLG Share of Unconsolidated JV is computed by multiplying the referenced line item by the Company’s percentage ownership or economic interest in the respective joint ventures and may not accurately depict the legal and economic implications of holding a non-controlling interest in the respective joint ventures.</w:t>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rPr/>
      </w:pPr>
      <w:r>
        <w:rPr/>
        <w:br/>
        <w:br/>
        <w:br/>
        <w:br/>
        <w:br/>
        <w:br/>
        <w:br/>
        <w:br/>
        <w:br/>
        <w:br/>
        <w:br/>
        <w:br/>
        <w:br/>
        <w:br/>
      </w:r>
    </w:p>
    <w:p>
      <w:pPr>
        <w:pStyle w:val="TextBody"/>
        <w:jc w:val="center"/>
        <w:rPr/>
      </w:pPr>
      <w:r>
        <w:rPr/>
        <w:drawing>
          <wp:inline distT="0" distB="0" distL="0" distR="0">
            <wp:extent cx="1381125" cy="409575"/>
            <wp:effectExtent l="0" t="0" r="0" b="0"/>
            <wp:docPr id="512"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367" descr=""/>
                    <pic:cNvPicPr>
                      <a:picLocks noChangeAspect="1" noChangeArrowheads="1"/>
                    </pic:cNvPicPr>
                  </pic:nvPicPr>
                  <pic:blipFill>
                    <a:blip r:embed="rId368"/>
                    <a:srcRect l="-729" t="-2460" r="-729" b="-2460"/>
                    <a:stretch>
                      <a:fillRect/>
                    </a:stretch>
                  </pic:blipFill>
                  <pic:spPr bwMode="auto">
                    <a:xfrm>
                      <a:off x="0" y="0"/>
                      <a:ext cx="1381125" cy="409575"/>
                    </a:xfrm>
                    <a:prstGeom prst="rect">
                      <a:avLst/>
                    </a:prstGeom>
                    <a:ln w="635">
                      <a:solidFill>
                        <a:srgbClr val="000000"/>
                      </a:solidFill>
                    </a:ln>
                  </pic:spPr>
                </pic:pic>
              </a:graphicData>
            </a:graphic>
          </wp:inline>
        </w:drawing>
      </w:r>
      <w:r>
        <w:rPr/>
        <w:t xml:space="preserve"> </w:t>
      </w:r>
    </w:p>
    <w:p>
      <w:pPr>
        <w:pStyle w:val="TextBody"/>
        <w:jc w:val="center"/>
        <w:rPr/>
      </w:pPr>
      <w:r>
        <w:rPr>
          <w:rStyle w:val="StrongEmphasis"/>
          <w:rFonts w:ascii="Arial" w:hAnsi="Arial"/>
          <w:color w:val="1A2343"/>
          <w:sz w:val="20"/>
        </w:rPr>
        <w:t>SL Green Realty Corp.</w:t>
      </w:r>
    </w:p>
    <w:p>
      <w:pPr>
        <w:pStyle w:val="TextBody"/>
        <w:jc w:val="center"/>
        <w:rPr/>
      </w:pPr>
      <w:r>
        <w:rPr>
          <w:rStyle w:val="StrongEmphasis"/>
          <w:rFonts w:ascii="Arial" w:hAnsi="Arial"/>
          <w:color w:val="1A2343"/>
          <w:sz w:val="20"/>
        </w:rPr>
        <w:t>One Vanderbilt Avenue,</w:t>
      </w:r>
    </w:p>
    <w:p>
      <w:pPr>
        <w:pStyle w:val="TextBody"/>
        <w:jc w:val="center"/>
        <w:rPr/>
      </w:pPr>
      <w:r>
        <w:rPr>
          <w:rStyle w:val="StrongEmphasis"/>
          <w:rFonts w:ascii="Arial" w:hAnsi="Arial"/>
          <w:color w:val="1A2343"/>
          <w:sz w:val="20"/>
        </w:rPr>
        <w:t>New York, NY 10017</w:t>
      </w:r>
    </w:p>
    <w:p>
      <w:pPr>
        <w:pStyle w:val="TextBody"/>
        <w:jc w:val="center"/>
        <w:rPr/>
      </w:pPr>
      <w:r>
        <w:rPr>
          <w:rStyle w:val="StrongEmphasis"/>
          <w:rFonts w:ascii="Arial" w:hAnsi="Arial"/>
          <w:color w:val="1A2343"/>
          <w:sz w:val="20"/>
        </w:rPr>
        <w:t>212 594 2700 | slgreen.com</w:t>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rPr/>
      </w:pPr>
      <w:r>
        <w:rPr/>
        <w:br/>
        <w:br/>
        <w:br/>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3110230" cy="329565"/>
                <wp:effectExtent l="0" t="0" r="0" b="0"/>
                <wp:wrapSquare wrapText="largest"/>
                <wp:docPr id="513" name="Frame47"/>
                <a:graphic xmlns:a="http://schemas.openxmlformats.org/drawingml/2006/main">
                  <a:graphicData uri="http://schemas.microsoft.com/office/word/2010/wordprocessingShape">
                    <wps:wsp>
                      <wps:cNvSpPr txBox="1"/>
                      <wps:spPr>
                        <a:xfrm>
                          <a:off x="0" y="0"/>
                          <a:ext cx="3110230" cy="329565"/>
                        </a:xfrm>
                        <a:prstGeom prst="rect"/>
                      </wps:spPr>
                      <wps:txbx>
                        <w:txbxContent>
                          <w:p>
                            <w:pPr>
                              <w:pStyle w:val="TextBody"/>
                              <w:spacing w:before="0" w:after="283"/>
                              <w:ind w:left="300" w:right="0" w:hanging="0"/>
                              <w:jc w:val="left"/>
                              <w:rPr>
                                <w:rFonts w:ascii="Arial" w:hAnsi="Arial"/>
                                <w:i/>
                                <w:sz w:val="15"/>
                              </w:rPr>
                            </w:pPr>
                            <w:r>
                              <w:rPr>
                                <w:rFonts w:ascii="Arial" w:hAnsi="Arial"/>
                                <w:i/>
                                <w:sz w:val="15"/>
                              </w:rPr>
                              <w:t>SL GREEN REALTY CORP.</w:t>
                              <w:br/>
                              <w:t>ONE VANDERBILT AVENUE</w:t>
                              <w:br/>
                              <w:t>NEW YORK, NY 10017</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ind w:left="300" w:right="0" w:hanging="0"/>
                        <w:jc w:val="left"/>
                        <w:rPr>
                          <w:rFonts w:ascii="Arial" w:hAnsi="Arial"/>
                          <w:i/>
                          <w:sz w:val="15"/>
                        </w:rPr>
                      </w:pPr>
                      <w:r>
                        <w:rPr>
                          <w:rFonts w:ascii="Arial" w:hAnsi="Arial"/>
                          <w:i/>
                          <w:sz w:val="15"/>
                        </w:rPr>
                        <w:t>SL GREEN REALTY CORP.</w:t>
                        <w:br/>
                        <w:t>ONE VANDERBILT AVENUE</w:t>
                        <w:br/>
                        <w:t>NEW YORK, NY 10017</w:t>
                      </w:r>
                    </w:p>
                  </w:txbxContent>
                </v:textbox>
                <w10:wrap type="square" side="right"/>
              </v:rect>
            </w:pict>
          </mc:Fallback>
        </mc:AlternateContent>
      </w:r>
      <w:r>
        <mc:AlternateContent>
          <mc:Choice Requires="wps">
            <w:drawing>
              <wp:anchor behindDoc="0" distT="0" distB="0" distL="0" distR="0" simplePos="0" locked="0" layoutInCell="1" allowOverlap="1" relativeHeight="118">
                <wp:simplePos x="0" y="0"/>
                <wp:positionH relativeFrom="column">
                  <wp:align>right</wp:align>
                </wp:positionH>
                <wp:positionV relativeFrom="line">
                  <wp:posOffset>635</wp:posOffset>
                </wp:positionV>
                <wp:extent cx="3110230" cy="2595880"/>
                <wp:effectExtent l="0" t="0" r="0" b="0"/>
                <wp:wrapSquare wrapText="largest"/>
                <wp:docPr id="514" name="Frame48"/>
                <a:graphic xmlns:a="http://schemas.openxmlformats.org/drawingml/2006/main">
                  <a:graphicData uri="http://schemas.microsoft.com/office/word/2010/wordprocessingShape">
                    <wps:wsp>
                      <wps:cNvSpPr txBox="1"/>
                      <wps:spPr>
                        <a:xfrm>
                          <a:off x="0" y="0"/>
                          <a:ext cx="3110230" cy="2595880"/>
                        </a:xfrm>
                        <a:prstGeom prst="rect"/>
                      </wps:spPr>
                      <wps:txbx>
                        <w:txbxContent>
                          <w:p>
                            <w:pPr>
                              <w:pStyle w:val="TextBody"/>
                              <w:rPr/>
                            </w:pPr>
                            <w:r>
                              <w:rPr/>
                              <w:drawing>
                                <wp:inline distT="0" distB="0" distL="190500" distR="0">
                                  <wp:extent cx="2009775" cy="485775"/>
                                  <wp:effectExtent l="0" t="0" r="0" b="0"/>
                                  <wp:docPr id="515"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368" descr=""/>
                                          <pic:cNvPicPr>
                                            <a:picLocks noChangeAspect="1" noChangeArrowheads="1"/>
                                          </pic:cNvPicPr>
                                        </pic:nvPicPr>
                                        <pic:blipFill>
                                          <a:blip r:embed="rId369"/>
                                          <a:srcRect l="-501" t="-2075" r="-501" b="-2075"/>
                                          <a:stretch>
                                            <a:fillRect/>
                                          </a:stretch>
                                        </pic:blipFill>
                                        <pic:spPr bwMode="auto">
                                          <a:xfrm>
                                            <a:off x="0" y="0"/>
                                            <a:ext cx="2009775" cy="485775"/>
                                          </a:xfrm>
                                          <a:prstGeom prst="rect">
                                            <a:avLst/>
                                          </a:prstGeom>
                                          <a:ln w="635">
                                            <a:solidFill>
                                              <a:srgbClr val="000000"/>
                                            </a:solidFill>
                                          </a:ln>
                                        </pic:spPr>
                                      </pic:pic>
                                    </a:graphicData>
                                  </a:graphic>
                                </wp:inline>
                              </w:drawing>
                            </w:r>
                            <w:r>
                              <w:rPr/>
                              <w:t xml:space="preserve"> </w:t>
                            </w:r>
                          </w:p>
                          <w:p>
                            <w:pPr>
                              <w:pStyle w:val="TextBody"/>
                              <w:jc w:val="both"/>
                              <w:rPr/>
                            </w:pPr>
                            <w:r>
                              <w:rPr>
                                <w:rFonts w:ascii="Arial" w:hAnsi="Arial"/>
                                <w:b/>
                                <w:sz w:val="15"/>
                              </w:rPr>
                              <w:t xml:space="preserve">AUTHORIZE YOUR PROXY BY INTERNET - </w:t>
                            </w:r>
                            <w:r>
                              <w:rPr>
                                <w:rFonts w:ascii="Arial" w:hAnsi="Arial"/>
                                <w:b/>
                                <w:sz w:val="15"/>
                                <w:u w:val="single"/>
                              </w:rPr>
                              <w:t>www.proxyvote.com</w:t>
                              <w:br/>
                            </w:r>
                            <w:r>
                              <w:rPr>
                                <w:rFonts w:ascii="Arial" w:hAnsi="Arial"/>
                                <w:sz w:val="15"/>
                              </w:rPr>
                              <w:t>Use the Internet to transmit your voting instructions and for electronic delivery of information. Vote by 11:59 p.m. Eastern Time on June 4, 2023. Have your proxy card in hand when you access the web site and follow the instructions to obtain your records and to create an electronic voting instruction form.</w:t>
                            </w:r>
                          </w:p>
                          <w:p>
                            <w:pPr>
                              <w:pStyle w:val="TextBody"/>
                              <w:jc w:val="both"/>
                              <w:rPr/>
                            </w:pPr>
                            <w:r>
                              <w:rPr>
                                <w:rFonts w:ascii="Arial" w:hAnsi="Arial"/>
                                <w:b/>
                                <w:sz w:val="15"/>
                              </w:rPr>
                              <w:t>AUTHORIZE YOUR PROXY BY PHONE - 1-800-690-6903</w:t>
                              <w:br/>
                            </w:r>
                            <w:r>
                              <w:rPr>
                                <w:rFonts w:ascii="Arial" w:hAnsi="Arial"/>
                                <w:sz w:val="15"/>
                              </w:rPr>
                              <w:t>Use any touch-tone telephone to transmit your voting instructions. Vote by 11:59 p.m. Eastern Time on June 4, 2023. Have your proxy card in hand when you call and then follow the instructions.</w:t>
                            </w:r>
                          </w:p>
                          <w:p>
                            <w:pPr>
                              <w:pStyle w:val="TextBody"/>
                              <w:spacing w:before="0" w:after="283"/>
                              <w:jc w:val="both"/>
                              <w:rPr/>
                            </w:pPr>
                            <w:r>
                              <w:rPr>
                                <w:rFonts w:ascii="Arial" w:hAnsi="Arial"/>
                                <w:b/>
                                <w:sz w:val="15"/>
                              </w:rPr>
                              <w:t>AUTHORIZE YOUR PROXY BY MAIL</w:t>
                              <w:br/>
                            </w:r>
                            <w:r>
                              <w:rPr>
                                <w:rFonts w:ascii="Arial" w:hAnsi="Arial"/>
                                <w:sz w:val="15"/>
                              </w:rPr>
                              <w:t>Mark, sign and date your proxy card and return it in the postage-paid envelope we have provided or return it to Vote Processing, c/o Broadridge, 51 Mercedes Way, Edgewood, NY 11717.</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4.4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rPr/>
                      </w:pPr>
                      <w:r>
                        <w:rPr/>
                        <w:drawing>
                          <wp:inline distT="0" distB="0" distL="190500" distR="0">
                            <wp:extent cx="2009775" cy="485775"/>
                            <wp:effectExtent l="0" t="0" r="0" b="0"/>
                            <wp:docPr id="516"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368" descr=""/>
                                    <pic:cNvPicPr>
                                      <a:picLocks noChangeAspect="1" noChangeArrowheads="1"/>
                                    </pic:cNvPicPr>
                                  </pic:nvPicPr>
                                  <pic:blipFill>
                                    <a:blip r:embed="rId369"/>
                                    <a:srcRect l="-501" t="-2075" r="-501" b="-2075"/>
                                    <a:stretch>
                                      <a:fillRect/>
                                    </a:stretch>
                                  </pic:blipFill>
                                  <pic:spPr bwMode="auto">
                                    <a:xfrm>
                                      <a:off x="0" y="0"/>
                                      <a:ext cx="2009775" cy="485775"/>
                                    </a:xfrm>
                                    <a:prstGeom prst="rect">
                                      <a:avLst/>
                                    </a:prstGeom>
                                    <a:ln w="635">
                                      <a:solidFill>
                                        <a:srgbClr val="000000"/>
                                      </a:solidFill>
                                    </a:ln>
                                  </pic:spPr>
                                </pic:pic>
                              </a:graphicData>
                            </a:graphic>
                          </wp:inline>
                        </w:drawing>
                      </w:r>
                      <w:r>
                        <w:rPr/>
                        <w:t xml:space="preserve"> </w:t>
                      </w:r>
                    </w:p>
                    <w:p>
                      <w:pPr>
                        <w:pStyle w:val="TextBody"/>
                        <w:jc w:val="both"/>
                        <w:rPr/>
                      </w:pPr>
                      <w:r>
                        <w:rPr>
                          <w:rFonts w:ascii="Arial" w:hAnsi="Arial"/>
                          <w:b/>
                          <w:sz w:val="15"/>
                        </w:rPr>
                        <w:t xml:space="preserve">AUTHORIZE YOUR PROXY BY INTERNET - </w:t>
                      </w:r>
                      <w:r>
                        <w:rPr>
                          <w:rFonts w:ascii="Arial" w:hAnsi="Arial"/>
                          <w:b/>
                          <w:sz w:val="15"/>
                          <w:u w:val="single"/>
                        </w:rPr>
                        <w:t>www.proxyvote.com</w:t>
                        <w:br/>
                      </w:r>
                      <w:r>
                        <w:rPr>
                          <w:rFonts w:ascii="Arial" w:hAnsi="Arial"/>
                          <w:sz w:val="15"/>
                        </w:rPr>
                        <w:t>Use the Internet to transmit your voting instructions and for electronic delivery of information. Vote by 11:59 p.m. Eastern Time on June 4, 2023. Have your proxy card in hand when you access the web site and follow the instructions to obtain your records and to create an electronic voting instruction form.</w:t>
                      </w:r>
                    </w:p>
                    <w:p>
                      <w:pPr>
                        <w:pStyle w:val="TextBody"/>
                        <w:jc w:val="both"/>
                        <w:rPr/>
                      </w:pPr>
                      <w:r>
                        <w:rPr>
                          <w:rFonts w:ascii="Arial" w:hAnsi="Arial"/>
                          <w:b/>
                          <w:sz w:val="15"/>
                        </w:rPr>
                        <w:t>AUTHORIZE YOUR PROXY BY PHONE - 1-800-690-6903</w:t>
                        <w:br/>
                      </w:r>
                      <w:r>
                        <w:rPr>
                          <w:rFonts w:ascii="Arial" w:hAnsi="Arial"/>
                          <w:sz w:val="15"/>
                        </w:rPr>
                        <w:t>Use any touch-tone telephone to transmit your voting instructions. Vote by 11:59 p.m. Eastern Time on June 4, 2023. Have your proxy card in hand when you call and then follow the instructions.</w:t>
                      </w:r>
                    </w:p>
                    <w:p>
                      <w:pPr>
                        <w:pStyle w:val="TextBody"/>
                        <w:spacing w:before="0" w:after="283"/>
                        <w:jc w:val="both"/>
                        <w:rPr/>
                      </w:pPr>
                      <w:r>
                        <w:rPr>
                          <w:rFonts w:ascii="Arial" w:hAnsi="Arial"/>
                          <w:b/>
                          <w:sz w:val="15"/>
                        </w:rPr>
                        <w:t>AUTHORIZE YOUR PROXY BY MAIL</w:t>
                        <w:br/>
                      </w:r>
                      <w:r>
                        <w:rPr>
                          <w:rFonts w:ascii="Arial" w:hAnsi="Arial"/>
                          <w:sz w:val="15"/>
                        </w:rPr>
                        <w:t>Mark, sign and date your proxy card and return it in the postage-paid envelope we have provided or return it to Vote Processing, c/o Broadridge, 51 Mercedes Way, Edgewood, NY 11717.</w:t>
                      </w:r>
                    </w:p>
                  </w:txbxContent>
                </v:textbox>
                <w10:wrap type="square" side="left"/>
              </v:rect>
            </w:pict>
          </mc:Fallback>
        </mc:AlternateContent>
      </w:r>
    </w:p>
    <w:tbl>
      <w:tblPr>
        <w:tblW w:w="8605" w:type="dxa"/>
        <w:jc w:val="left"/>
        <w:tblInd w:w="0" w:type="dxa"/>
        <w:tblCellMar>
          <w:top w:w="0" w:type="dxa"/>
          <w:left w:w="0" w:type="dxa"/>
          <w:bottom w:w="0" w:type="dxa"/>
          <w:right w:w="0" w:type="dxa"/>
        </w:tblCellMar>
      </w:tblPr>
      <w:tblGrid>
        <w:gridCol w:w="5360"/>
        <w:gridCol w:w="3245"/>
      </w:tblGrid>
      <w:tr>
        <w:trPr/>
        <w:tc>
          <w:tcPr>
            <w:tcW w:w="5360" w:type="dxa"/>
            <w:tcBorders/>
            <w:shd w:fill="auto" w:val="clear"/>
            <w:vAlign w:val="center"/>
          </w:tcPr>
          <w:p>
            <w:pPr>
              <w:pStyle w:val="TableContents"/>
              <w:spacing w:before="0" w:after="283"/>
              <w:jc w:val="left"/>
              <w:rPr>
                <w:rFonts w:ascii="Arial" w:hAnsi="Arial"/>
                <w:sz w:val="15"/>
              </w:rPr>
            </w:pPr>
            <w:r>
              <w:rPr>
                <w:rFonts w:ascii="Arial" w:hAnsi="Arial"/>
                <w:sz w:val="15"/>
              </w:rPr>
              <w:t>TO VOTE, MARK BLOCKS BELOW IN BLUE OR BLACK INK AS FOLLOWS:</w:t>
            </w:r>
          </w:p>
        </w:tc>
        <w:tc>
          <w:tcPr>
            <w:tcW w:w="3245" w:type="dxa"/>
            <w:tcBorders/>
            <w:shd w:fill="auto" w:val="clear"/>
            <w:vAlign w:val="center"/>
          </w:tcPr>
          <w:p>
            <w:pPr>
              <w:pStyle w:val="TableContents"/>
              <w:spacing w:before="0" w:after="283"/>
              <w:rPr>
                <w:sz w:val="4"/>
                <w:szCs w:val="4"/>
              </w:rPr>
            </w:pPr>
            <w:r>
              <w:rPr>
                <w:sz w:val="4"/>
                <w:szCs w:val="4"/>
              </w:rPr>
            </w:r>
          </w:p>
        </w:tc>
      </w:tr>
      <w:tr>
        <w:trPr/>
        <w:tc>
          <w:tcPr>
            <w:tcW w:w="5360" w:type="dxa"/>
            <w:tcBorders>
              <w:bottom w:val="dashed" w:sz="12"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V05793-P89213                    </w:t>
            </w:r>
          </w:p>
        </w:tc>
        <w:tc>
          <w:tcPr>
            <w:tcW w:w="3245" w:type="dxa"/>
            <w:tcBorders>
              <w:bottom w:val="dashed" w:sz="12"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KEEP THIS PORTION FOR YOUR RECORDS</w:t>
            </w:r>
          </w:p>
        </w:tc>
      </w:tr>
      <w:tr>
        <w:trPr/>
        <w:tc>
          <w:tcPr>
            <w:tcW w:w="5360" w:type="dxa"/>
            <w:tcBorders/>
            <w:shd w:fill="auto" w:val="clear"/>
            <w:vAlign w:val="center"/>
          </w:tcPr>
          <w:p>
            <w:pPr>
              <w:pStyle w:val="TableContents"/>
              <w:spacing w:before="0" w:after="283"/>
              <w:rPr>
                <w:sz w:val="4"/>
                <w:szCs w:val="4"/>
              </w:rPr>
            </w:pPr>
            <w:r>
              <w:rPr>
                <w:sz w:val="4"/>
                <w:szCs w:val="4"/>
              </w:rPr>
            </w:r>
          </w:p>
        </w:tc>
        <w:tc>
          <w:tcPr>
            <w:tcW w:w="3245" w:type="dxa"/>
            <w:tcBorders/>
            <w:shd w:fill="auto" w:val="clear"/>
            <w:vAlign w:val="center"/>
          </w:tcPr>
          <w:p>
            <w:pPr>
              <w:pStyle w:val="TableContents"/>
              <w:spacing w:before="0" w:after="283"/>
              <w:jc w:val="right"/>
              <w:rPr>
                <w:rFonts w:ascii="Arial" w:hAnsi="Arial"/>
                <w:sz w:val="15"/>
              </w:rPr>
            </w:pPr>
            <w:r>
              <w:rPr>
                <w:rFonts w:ascii="Arial" w:hAnsi="Arial"/>
                <w:sz w:val="15"/>
              </w:rPr>
              <w:t>DETACH AND RETURN THIS PORTION ONLY</w:t>
            </w:r>
          </w:p>
        </w:tc>
      </w:tr>
    </w:tbl>
    <w:p>
      <w:pPr>
        <w:pStyle w:val="TextBody"/>
        <w:spacing w:before="0" w:after="0"/>
        <w:jc w:val="center"/>
        <w:rPr>
          <w:rFonts w:ascii="Arial" w:hAnsi="Arial"/>
          <w:b/>
          <w:sz w:val="15"/>
        </w:rPr>
      </w:pPr>
      <w:r>
        <w:rPr>
          <w:rFonts w:ascii="Arial" w:hAnsi="Arial"/>
          <w:b/>
          <w:sz w:val="15"/>
        </w:rPr>
        <w:t>THIS PROXY CARD IS VALID ONLY WHEN SIGNED AND DATED.</w:t>
      </w:r>
    </w:p>
    <w:p>
      <w:pPr>
        <w:pStyle w:val="TextBody"/>
        <w:rPr/>
      </w:pPr>
      <w:r>
        <w:rPr/>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3110230" cy="9972040"/>
                <wp:effectExtent l="0" t="0" r="0" b="0"/>
                <wp:wrapSquare wrapText="largest"/>
                <wp:docPr id="517" name="Frame49"/>
                <a:graphic xmlns:a="http://schemas.openxmlformats.org/drawingml/2006/main">
                  <a:graphicData uri="http://schemas.microsoft.com/office/word/2010/wordprocessingShape">
                    <wps:wsp>
                      <wps:cNvSpPr txBox="1"/>
                      <wps:spPr>
                        <a:xfrm>
                          <a:off x="0" y="0"/>
                          <a:ext cx="3110230" cy="9972040"/>
                        </a:xfrm>
                        <a:prstGeom prst="rect"/>
                      </wps:spPr>
                      <wps:txbx>
                        <w:txbxContent>
                          <w:tbl>
                            <w:tblPr>
                              <w:tblW w:w="10205" w:type="dxa"/>
                              <w:jc w:val="left"/>
                              <w:tblInd w:w="0" w:type="dxa"/>
                              <w:tblCellMar>
                                <w:top w:w="0" w:type="dxa"/>
                                <w:left w:w="0" w:type="dxa"/>
                                <w:bottom w:w="0" w:type="dxa"/>
                                <w:right w:w="0" w:type="dxa"/>
                              </w:tblCellMar>
                            </w:tblPr>
                            <w:tblGrid>
                              <w:gridCol w:w="300"/>
                              <w:gridCol w:w="478"/>
                              <w:gridCol w:w="1460"/>
                              <w:gridCol w:w="6556"/>
                              <w:gridCol w:w="260"/>
                              <w:gridCol w:w="575"/>
                              <w:gridCol w:w="576"/>
                            </w:tblGrid>
                            <w:tr>
                              <w:trPr/>
                              <w:tc>
                                <w:tcPr>
                                  <w:tcW w:w="8794" w:type="dxa"/>
                                  <w:gridSpan w:val="4"/>
                                  <w:tcBorders/>
                                  <w:shd w:fill="auto" w:val="clear"/>
                                  <w:vAlign w:val="center"/>
                                </w:tcPr>
                                <w:p>
                                  <w:pPr>
                                    <w:pStyle w:val="TableContents"/>
                                    <w:spacing w:before="0" w:after="283"/>
                                    <w:jc w:val="left"/>
                                    <w:rPr>
                                      <w:rFonts w:ascii="Arial" w:hAnsi="Arial"/>
                                      <w:b/>
                                      <w:sz w:val="15"/>
                                    </w:rPr>
                                  </w:pPr>
                                  <w:r>
                                    <w:rPr>
                                      <w:rFonts w:ascii="Arial" w:hAnsi="Arial"/>
                                      <w:b/>
                                      <w:sz w:val="15"/>
                                    </w:rPr>
                                    <w:t>SL GREEN REALTY CORP.</w:t>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jc w:val="left"/>
                                    <w:rPr/>
                                  </w:pPr>
                                  <w:r>
                                    <w:rPr/>
                                    <w:t>     </w:t>
                                  </w:r>
                                </w:p>
                              </w:tc>
                              <w:tc>
                                <w:tcPr>
                                  <w:tcW w:w="8494" w:type="dxa"/>
                                  <w:gridSpan w:val="3"/>
                                  <w:tcBorders/>
                                  <w:shd w:fill="auto" w:val="clear"/>
                                  <w:vAlign w:val="center"/>
                                </w:tcPr>
                                <w:p>
                                  <w:pPr>
                                    <w:pStyle w:val="TableContents"/>
                                    <w:spacing w:before="0" w:after="283"/>
                                    <w:jc w:val="both"/>
                                    <w:rPr>
                                      <w:rFonts w:ascii="Arial" w:hAnsi="Arial"/>
                                      <w:b/>
                                      <w:sz w:val="15"/>
                                    </w:rPr>
                                  </w:pPr>
                                  <w:r>
                                    <w:rPr>
                                      <w:rFonts w:ascii="Arial" w:hAnsi="Arial"/>
                                      <w:b/>
                                      <w:sz w:val="15"/>
                                    </w:rPr>
                                    <w:t>The Board of Directors recommends you vote FOR the following:</w:t>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jc w:val="left"/>
                                    <w:rPr/>
                                  </w:pPr>
                                  <w:r>
                                    <w:rPr/>
                                    <w:t> </w:t>
                                  </w:r>
                                </w:p>
                              </w:tc>
                              <w:tc>
                                <w:tcPr>
                                  <w:tcW w:w="8494" w:type="dxa"/>
                                  <w:gridSpan w:val="3"/>
                                  <w:tcBorders/>
                                  <w:shd w:fill="auto" w:val="clear"/>
                                  <w:vAlign w:val="center"/>
                                </w:tcPr>
                                <w:p>
                                  <w:pPr>
                                    <w:pStyle w:val="TableContents"/>
                                    <w:spacing w:before="0" w:after="283"/>
                                    <w:jc w:val="both"/>
                                    <w:rPr/>
                                  </w:pPr>
                                  <w:r>
                                    <w:rPr/>
                                    <w:t> </w:t>
                                  </w:r>
                                </w:p>
                              </w:tc>
                              <w:tc>
                                <w:tcPr>
                                  <w:tcW w:w="260" w:type="dxa"/>
                                  <w:tcBorders/>
                                  <w:shd w:fill="auto" w:val="clear"/>
                                  <w:vAlign w:val="center"/>
                                </w:tcPr>
                                <w:p>
                                  <w:pPr>
                                    <w:pStyle w:val="TableContents"/>
                                    <w:spacing w:before="0" w:after="283"/>
                                    <w:jc w:val="left"/>
                                    <w:rPr/>
                                  </w:pPr>
                                  <w:r>
                                    <w:rPr/>
                                    <w:t> </w:t>
                                  </w:r>
                                </w:p>
                              </w:tc>
                              <w:tc>
                                <w:tcPr>
                                  <w:tcW w:w="575" w:type="dxa"/>
                                  <w:tcBorders/>
                                  <w:shd w:fill="auto" w:val="clear"/>
                                  <w:vAlign w:val="center"/>
                                </w:tcPr>
                                <w:p>
                                  <w:pPr>
                                    <w:pStyle w:val="TableContents"/>
                                    <w:spacing w:before="0" w:after="283"/>
                                    <w:jc w:val="left"/>
                                    <w:rPr/>
                                  </w:pPr>
                                  <w:r>
                                    <w:rPr/>
                                    <w:t> </w:t>
                                  </w:r>
                                </w:p>
                              </w:tc>
                              <w:tc>
                                <w:tcPr>
                                  <w:tcW w:w="576" w:type="dxa"/>
                                  <w:tcBorders/>
                                  <w:shd w:fill="auto" w:val="clear"/>
                                  <w:vAlign w:val="center"/>
                                </w:tcPr>
                                <w:p>
                                  <w:pPr>
                                    <w:pStyle w:val="TableContents"/>
                                    <w:spacing w:before="0" w:after="283"/>
                                    <w:jc w:val="left"/>
                                    <w:rPr/>
                                  </w:pPr>
                                  <w:r>
                                    <w:rPr/>
                                    <w:t> </w:t>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8016" w:type="dxa"/>
                                  <w:gridSpan w:val="2"/>
                                  <w:tcBorders/>
                                  <w:shd w:fill="auto" w:val="clear"/>
                                  <w:vAlign w:val="center"/>
                                </w:tcPr>
                                <w:p>
                                  <w:pPr>
                                    <w:pStyle w:val="TableContents"/>
                                    <w:spacing w:before="0" w:after="283"/>
                                    <w:jc w:val="left"/>
                                    <w:rPr>
                                      <w:rFonts w:ascii="Arial" w:hAnsi="Arial"/>
                                      <w:sz w:val="15"/>
                                    </w:rPr>
                                  </w:pPr>
                                  <w:r>
                                    <w:rPr>
                                      <w:rFonts w:ascii="Arial" w:hAnsi="Arial"/>
                                      <w:sz w:val="15"/>
                                    </w:rPr>
                                    <w:t>Election of Directors</w:t>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jc w:val="lef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8016" w:type="dxa"/>
                                  <w:gridSpan w:val="2"/>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8016" w:type="dxa"/>
                                  <w:gridSpan w:val="2"/>
                                  <w:tcBorders/>
                                  <w:shd w:fill="auto" w:val="clear"/>
                                  <w:vAlign w:val="center"/>
                                </w:tcPr>
                                <w:p>
                                  <w:pPr>
                                    <w:pStyle w:val="TableContents"/>
                                    <w:spacing w:before="0" w:after="283"/>
                                    <w:jc w:val="left"/>
                                    <w:rPr>
                                      <w:rFonts w:ascii="Arial" w:hAnsi="Arial"/>
                                      <w:b/>
                                      <w:sz w:val="15"/>
                                    </w:rPr>
                                  </w:pPr>
                                  <w:r>
                                    <w:rPr>
                                      <w:rFonts w:ascii="Arial" w:hAnsi="Arial"/>
                                      <w:b/>
                                      <w:sz w:val="15"/>
                                    </w:rPr>
                                    <w:t>Nominees:</w:t>
                                  </w:r>
                                </w:p>
                              </w:tc>
                              <w:tc>
                                <w:tcPr>
                                  <w:tcW w:w="260" w:type="dxa"/>
                                  <w:tcBorders/>
                                  <w:shd w:fill="auto" w:val="clear"/>
                                  <w:vAlign w:val="center"/>
                                </w:tcPr>
                                <w:p>
                                  <w:pPr>
                                    <w:pStyle w:val="TableContents"/>
                                    <w:spacing w:before="0" w:after="283"/>
                                    <w:jc w:val="center"/>
                                    <w:rPr>
                                      <w:rFonts w:ascii="Arial" w:hAnsi="Arial"/>
                                      <w:b/>
                                      <w:sz w:val="15"/>
                                    </w:rPr>
                                  </w:pPr>
                                  <w:r>
                                    <w:rPr>
                                      <w:rFonts w:ascii="Arial" w:hAnsi="Arial"/>
                                      <w:b/>
                                      <w:sz w:val="15"/>
                                    </w:rPr>
                                    <w:t>For</w:t>
                                  </w:r>
                                </w:p>
                              </w:tc>
                              <w:tc>
                                <w:tcPr>
                                  <w:tcW w:w="575" w:type="dxa"/>
                                  <w:tcBorders/>
                                  <w:shd w:fill="auto" w:val="clear"/>
                                  <w:vAlign w:val="center"/>
                                </w:tcPr>
                                <w:p>
                                  <w:pPr>
                                    <w:pStyle w:val="TableContents"/>
                                    <w:spacing w:before="0" w:after="283"/>
                                    <w:jc w:val="center"/>
                                    <w:rPr>
                                      <w:rFonts w:ascii="Arial" w:hAnsi="Arial"/>
                                      <w:b/>
                                      <w:sz w:val="15"/>
                                    </w:rPr>
                                  </w:pPr>
                                  <w:r>
                                    <w:rPr>
                                      <w:rFonts w:ascii="Arial" w:hAnsi="Arial"/>
                                      <w:b/>
                                      <w:sz w:val="15"/>
                                    </w:rPr>
                                    <w:t>Against</w:t>
                                  </w:r>
                                </w:p>
                              </w:tc>
                              <w:tc>
                                <w:tcPr>
                                  <w:tcW w:w="576" w:type="dxa"/>
                                  <w:tcBorders/>
                                  <w:shd w:fill="auto" w:val="clear"/>
                                  <w:vAlign w:val="center"/>
                                </w:tcPr>
                                <w:p>
                                  <w:pPr>
                                    <w:pStyle w:val="TableContents"/>
                                    <w:spacing w:before="0" w:after="283"/>
                                    <w:jc w:val="center"/>
                                    <w:rPr>
                                      <w:rFonts w:ascii="Arial" w:hAnsi="Arial"/>
                                      <w:b/>
                                      <w:sz w:val="15"/>
                                    </w:rPr>
                                  </w:pPr>
                                  <w:r>
                                    <w:rPr>
                                      <w:rFonts w:ascii="Arial" w:hAnsi="Arial"/>
                                      <w:b/>
                                      <w:sz w:val="15"/>
                                    </w:rPr>
                                    <w:t>Abstain</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8016" w:type="dxa"/>
                                  <w:gridSpan w:val="2"/>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1a.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John H. Alschuler</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1b.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Betsy S. Atkins</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1c.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Carol N. Brown</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1d.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Edwin T. Burton, III</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1e.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Lauren B. Dillard</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1f.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Stephen L. Green</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1g.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Craig M. Hatkoff</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1h.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Marc Holliday</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1i.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Andrew W. Mathias</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8494" w:type="dxa"/>
                                  <w:gridSpan w:val="3"/>
                                  <w:tcBorders/>
                                  <w:shd w:fill="auto" w:val="clear"/>
                                  <w:vAlign w:val="center"/>
                                </w:tcPr>
                                <w:p>
                                  <w:pPr>
                                    <w:pStyle w:val="TableContents"/>
                                    <w:spacing w:before="0" w:after="283"/>
                                    <w:jc w:val="both"/>
                                    <w:rPr>
                                      <w:rFonts w:ascii="Arial" w:hAnsi="Arial"/>
                                      <w:b/>
                                      <w:sz w:val="15"/>
                                    </w:rPr>
                                  </w:pPr>
                                  <w:r>
                                    <w:rPr>
                                      <w:rFonts w:ascii="Arial" w:hAnsi="Arial"/>
                                      <w:b/>
                                      <w:sz w:val="15"/>
                                    </w:rPr>
                                    <w:t>The Board of Directors recommends you vote FOR the following proposals:</w:t>
                                  </w:r>
                                </w:p>
                              </w:tc>
                              <w:tc>
                                <w:tcPr>
                                  <w:tcW w:w="260" w:type="dxa"/>
                                  <w:tcBorders/>
                                  <w:shd w:fill="auto" w:val="clear"/>
                                  <w:vAlign w:val="center"/>
                                </w:tcPr>
                                <w:p>
                                  <w:pPr>
                                    <w:pStyle w:val="TableContents"/>
                                    <w:spacing w:before="0" w:after="283"/>
                                    <w:jc w:val="center"/>
                                    <w:rPr>
                                      <w:rFonts w:ascii="Arial" w:hAnsi="Arial"/>
                                      <w:b/>
                                      <w:sz w:val="15"/>
                                    </w:rPr>
                                  </w:pPr>
                                  <w:r>
                                    <w:rPr>
                                      <w:rFonts w:ascii="Arial" w:hAnsi="Arial"/>
                                      <w:b/>
                                      <w:sz w:val="15"/>
                                    </w:rPr>
                                    <w:t>For</w:t>
                                  </w:r>
                                </w:p>
                              </w:tc>
                              <w:tc>
                                <w:tcPr>
                                  <w:tcW w:w="575" w:type="dxa"/>
                                  <w:tcBorders/>
                                  <w:shd w:fill="auto" w:val="clear"/>
                                  <w:vAlign w:val="center"/>
                                </w:tcPr>
                                <w:p>
                                  <w:pPr>
                                    <w:pStyle w:val="TableContents"/>
                                    <w:spacing w:before="0" w:after="283"/>
                                    <w:jc w:val="center"/>
                                    <w:rPr>
                                      <w:rFonts w:ascii="Arial" w:hAnsi="Arial"/>
                                      <w:b/>
                                      <w:sz w:val="15"/>
                                    </w:rPr>
                                  </w:pPr>
                                  <w:r>
                                    <w:rPr>
                                      <w:rFonts w:ascii="Arial" w:hAnsi="Arial"/>
                                      <w:b/>
                                      <w:sz w:val="15"/>
                                    </w:rPr>
                                    <w:t>Against</w:t>
                                  </w:r>
                                </w:p>
                              </w:tc>
                              <w:tc>
                                <w:tcPr>
                                  <w:tcW w:w="576" w:type="dxa"/>
                                  <w:tcBorders/>
                                  <w:shd w:fill="auto" w:val="clear"/>
                                  <w:vAlign w:val="center"/>
                                </w:tcPr>
                                <w:p>
                                  <w:pPr>
                                    <w:pStyle w:val="TableContents"/>
                                    <w:spacing w:before="0" w:after="283"/>
                                    <w:jc w:val="center"/>
                                    <w:rPr>
                                      <w:rFonts w:ascii="Arial" w:hAnsi="Arial"/>
                                      <w:b/>
                                      <w:sz w:val="15"/>
                                    </w:rPr>
                                  </w:pPr>
                                  <w:r>
                                    <w:rPr>
                                      <w:rFonts w:ascii="Arial" w:hAnsi="Arial"/>
                                      <w:b/>
                                      <w:sz w:val="15"/>
                                    </w:rPr>
                                    <w:t>Abstain</w:t>
                                  </w:r>
                                </w:p>
                              </w:tc>
                            </w:tr>
                            <w:tr>
                              <w:trPr/>
                              <w:tc>
                                <w:tcPr>
                                  <w:tcW w:w="300" w:type="dxa"/>
                                  <w:tcBorders/>
                                  <w:shd w:fill="auto" w:val="clear"/>
                                  <w:vAlign w:val="center"/>
                                </w:tcPr>
                                <w:p>
                                  <w:pPr>
                                    <w:pStyle w:val="TableContents"/>
                                    <w:spacing w:before="0" w:after="283"/>
                                    <w:jc w:val="left"/>
                                    <w:rPr/>
                                  </w:pPr>
                                  <w:r>
                                    <w:rPr/>
                                    <w:t> </w:t>
                                  </w:r>
                                </w:p>
                              </w:tc>
                              <w:tc>
                                <w:tcPr>
                                  <w:tcW w:w="8494" w:type="dxa"/>
                                  <w:gridSpan w:val="3"/>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jc w:val="left"/>
                                    <w:rPr>
                                      <w:rFonts w:ascii="Arial" w:hAnsi="Arial"/>
                                      <w:sz w:val="15"/>
                                    </w:rPr>
                                  </w:pPr>
                                  <w:r>
                                    <w:rPr>
                                      <w:rFonts w:ascii="Arial" w:hAnsi="Arial"/>
                                      <w:sz w:val="15"/>
                                    </w:rPr>
                                    <w:t xml:space="preserve">2. </w:t>
                                  </w:r>
                                </w:p>
                              </w:tc>
                              <w:tc>
                                <w:tcPr>
                                  <w:tcW w:w="8016" w:type="dxa"/>
                                  <w:gridSpan w:val="2"/>
                                  <w:tcBorders/>
                                  <w:shd w:fill="auto" w:val="clear"/>
                                  <w:vAlign w:val="center"/>
                                </w:tcPr>
                                <w:p>
                                  <w:pPr>
                                    <w:pStyle w:val="TableContents"/>
                                    <w:spacing w:before="0" w:after="283"/>
                                    <w:jc w:val="both"/>
                                    <w:rPr>
                                      <w:rFonts w:ascii="Arial" w:hAnsi="Arial"/>
                                      <w:sz w:val="15"/>
                                    </w:rPr>
                                  </w:pPr>
                                  <w:r>
                                    <w:rPr>
                                      <w:rFonts w:ascii="Arial" w:hAnsi="Arial"/>
                                      <w:sz w:val="15"/>
                                    </w:rPr>
                                    <w:t>To approve, on a non-binding advisory basis, our executive compensation.</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8016" w:type="dxa"/>
                                  <w:gridSpan w:val="2"/>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center"/>
                                    <w:rPr/>
                                  </w:pPr>
                                  <w:r>
                                    <w:rPr/>
                                    <w:t> </w:t>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jc w:val="left"/>
                                    <w:rPr>
                                      <w:rFonts w:ascii="Arial" w:hAnsi="Arial"/>
                                      <w:sz w:val="15"/>
                                    </w:rPr>
                                  </w:pPr>
                                  <w:r>
                                    <w:rPr>
                                      <w:rFonts w:ascii="Arial" w:hAnsi="Arial"/>
                                      <w:sz w:val="15"/>
                                    </w:rPr>
                                    <w:t xml:space="preserve">3. </w:t>
                                  </w:r>
                                </w:p>
                              </w:tc>
                              <w:tc>
                                <w:tcPr>
                                  <w:tcW w:w="8016" w:type="dxa"/>
                                  <w:gridSpan w:val="2"/>
                                  <w:tcBorders/>
                                  <w:shd w:fill="auto" w:val="clear"/>
                                  <w:vAlign w:val="center"/>
                                </w:tcPr>
                                <w:p>
                                  <w:pPr>
                                    <w:pStyle w:val="TableContents"/>
                                    <w:spacing w:before="0" w:after="283"/>
                                    <w:jc w:val="both"/>
                                    <w:rPr>
                                      <w:rFonts w:ascii="Arial" w:hAnsi="Arial"/>
                                      <w:sz w:val="15"/>
                                    </w:rPr>
                                  </w:pPr>
                                  <w:r>
                                    <w:rPr>
                                      <w:rFonts w:ascii="Arial" w:hAnsi="Arial"/>
                                      <w:sz w:val="15"/>
                                    </w:rPr>
                                    <w:t>To ratify the appointment of Ernst &amp; Young LLP as our independent registered public accounting firm for the fiscal year ending December 31, 2023.</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CellMar>
                          <w:top w:w="0" w:type="dxa"/>
                          <w:left w:w="0" w:type="dxa"/>
                          <w:bottom w:w="0" w:type="dxa"/>
                          <w:right w:w="0" w:type="dxa"/>
                        </w:tblCellMar>
                      </w:tblPr>
                      <w:tblGrid>
                        <w:gridCol w:w="300"/>
                        <w:gridCol w:w="478"/>
                        <w:gridCol w:w="1460"/>
                        <w:gridCol w:w="6556"/>
                        <w:gridCol w:w="260"/>
                        <w:gridCol w:w="575"/>
                        <w:gridCol w:w="576"/>
                      </w:tblGrid>
                      <w:tr>
                        <w:trPr/>
                        <w:tc>
                          <w:tcPr>
                            <w:tcW w:w="8794" w:type="dxa"/>
                            <w:gridSpan w:val="4"/>
                            <w:tcBorders/>
                            <w:shd w:fill="auto" w:val="clear"/>
                            <w:vAlign w:val="center"/>
                          </w:tcPr>
                          <w:p>
                            <w:pPr>
                              <w:pStyle w:val="TableContents"/>
                              <w:spacing w:before="0" w:after="283"/>
                              <w:jc w:val="left"/>
                              <w:rPr>
                                <w:rFonts w:ascii="Arial" w:hAnsi="Arial"/>
                                <w:b/>
                                <w:sz w:val="15"/>
                              </w:rPr>
                            </w:pPr>
                            <w:r>
                              <w:rPr>
                                <w:rFonts w:ascii="Arial" w:hAnsi="Arial"/>
                                <w:b/>
                                <w:sz w:val="15"/>
                              </w:rPr>
                              <w:t>SL GREEN REALTY CORP.</w:t>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jc w:val="left"/>
                              <w:rPr/>
                            </w:pPr>
                            <w:r>
                              <w:rPr/>
                              <w:t>     </w:t>
                            </w:r>
                          </w:p>
                        </w:tc>
                        <w:tc>
                          <w:tcPr>
                            <w:tcW w:w="8494" w:type="dxa"/>
                            <w:gridSpan w:val="3"/>
                            <w:tcBorders/>
                            <w:shd w:fill="auto" w:val="clear"/>
                            <w:vAlign w:val="center"/>
                          </w:tcPr>
                          <w:p>
                            <w:pPr>
                              <w:pStyle w:val="TableContents"/>
                              <w:spacing w:before="0" w:after="283"/>
                              <w:jc w:val="both"/>
                              <w:rPr>
                                <w:rFonts w:ascii="Arial" w:hAnsi="Arial"/>
                                <w:b/>
                                <w:sz w:val="15"/>
                              </w:rPr>
                            </w:pPr>
                            <w:r>
                              <w:rPr>
                                <w:rFonts w:ascii="Arial" w:hAnsi="Arial"/>
                                <w:b/>
                                <w:sz w:val="15"/>
                              </w:rPr>
                              <w:t>The Board of Directors recommends you vote FOR the following:</w:t>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jc w:val="left"/>
                              <w:rPr/>
                            </w:pPr>
                            <w:r>
                              <w:rPr/>
                              <w:t> </w:t>
                            </w:r>
                          </w:p>
                        </w:tc>
                        <w:tc>
                          <w:tcPr>
                            <w:tcW w:w="8494" w:type="dxa"/>
                            <w:gridSpan w:val="3"/>
                            <w:tcBorders/>
                            <w:shd w:fill="auto" w:val="clear"/>
                            <w:vAlign w:val="center"/>
                          </w:tcPr>
                          <w:p>
                            <w:pPr>
                              <w:pStyle w:val="TableContents"/>
                              <w:spacing w:before="0" w:after="283"/>
                              <w:jc w:val="both"/>
                              <w:rPr/>
                            </w:pPr>
                            <w:r>
                              <w:rPr/>
                              <w:t> </w:t>
                            </w:r>
                          </w:p>
                        </w:tc>
                        <w:tc>
                          <w:tcPr>
                            <w:tcW w:w="260" w:type="dxa"/>
                            <w:tcBorders/>
                            <w:shd w:fill="auto" w:val="clear"/>
                            <w:vAlign w:val="center"/>
                          </w:tcPr>
                          <w:p>
                            <w:pPr>
                              <w:pStyle w:val="TableContents"/>
                              <w:spacing w:before="0" w:after="283"/>
                              <w:jc w:val="left"/>
                              <w:rPr/>
                            </w:pPr>
                            <w:r>
                              <w:rPr/>
                              <w:t> </w:t>
                            </w:r>
                          </w:p>
                        </w:tc>
                        <w:tc>
                          <w:tcPr>
                            <w:tcW w:w="575" w:type="dxa"/>
                            <w:tcBorders/>
                            <w:shd w:fill="auto" w:val="clear"/>
                            <w:vAlign w:val="center"/>
                          </w:tcPr>
                          <w:p>
                            <w:pPr>
                              <w:pStyle w:val="TableContents"/>
                              <w:spacing w:before="0" w:after="283"/>
                              <w:jc w:val="left"/>
                              <w:rPr/>
                            </w:pPr>
                            <w:r>
                              <w:rPr/>
                              <w:t> </w:t>
                            </w:r>
                          </w:p>
                        </w:tc>
                        <w:tc>
                          <w:tcPr>
                            <w:tcW w:w="576" w:type="dxa"/>
                            <w:tcBorders/>
                            <w:shd w:fill="auto" w:val="clear"/>
                            <w:vAlign w:val="center"/>
                          </w:tcPr>
                          <w:p>
                            <w:pPr>
                              <w:pStyle w:val="TableContents"/>
                              <w:spacing w:before="0" w:after="283"/>
                              <w:jc w:val="left"/>
                              <w:rPr/>
                            </w:pPr>
                            <w:r>
                              <w:rPr/>
                              <w:t> </w:t>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jc w:val="left"/>
                              <w:rPr>
                                <w:rFonts w:ascii="Arial" w:hAnsi="Arial"/>
                                <w:sz w:val="15"/>
                              </w:rPr>
                            </w:pPr>
                            <w:r>
                              <w:rPr>
                                <w:rFonts w:ascii="Arial" w:hAnsi="Arial"/>
                                <w:sz w:val="15"/>
                              </w:rPr>
                              <w:t>1.</w:t>
                            </w:r>
                          </w:p>
                        </w:tc>
                        <w:tc>
                          <w:tcPr>
                            <w:tcW w:w="8016" w:type="dxa"/>
                            <w:gridSpan w:val="2"/>
                            <w:tcBorders/>
                            <w:shd w:fill="auto" w:val="clear"/>
                            <w:vAlign w:val="center"/>
                          </w:tcPr>
                          <w:p>
                            <w:pPr>
                              <w:pStyle w:val="TableContents"/>
                              <w:spacing w:before="0" w:after="283"/>
                              <w:jc w:val="left"/>
                              <w:rPr>
                                <w:rFonts w:ascii="Arial" w:hAnsi="Arial"/>
                                <w:sz w:val="15"/>
                              </w:rPr>
                            </w:pPr>
                            <w:r>
                              <w:rPr>
                                <w:rFonts w:ascii="Arial" w:hAnsi="Arial"/>
                                <w:sz w:val="15"/>
                              </w:rPr>
                              <w:t>Election of Directors</w:t>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jc w:val="lef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8016" w:type="dxa"/>
                            <w:gridSpan w:val="2"/>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8016" w:type="dxa"/>
                            <w:gridSpan w:val="2"/>
                            <w:tcBorders/>
                            <w:shd w:fill="auto" w:val="clear"/>
                            <w:vAlign w:val="center"/>
                          </w:tcPr>
                          <w:p>
                            <w:pPr>
                              <w:pStyle w:val="TableContents"/>
                              <w:spacing w:before="0" w:after="283"/>
                              <w:jc w:val="left"/>
                              <w:rPr>
                                <w:rFonts w:ascii="Arial" w:hAnsi="Arial"/>
                                <w:b/>
                                <w:sz w:val="15"/>
                              </w:rPr>
                            </w:pPr>
                            <w:r>
                              <w:rPr>
                                <w:rFonts w:ascii="Arial" w:hAnsi="Arial"/>
                                <w:b/>
                                <w:sz w:val="15"/>
                              </w:rPr>
                              <w:t>Nominees:</w:t>
                            </w:r>
                          </w:p>
                        </w:tc>
                        <w:tc>
                          <w:tcPr>
                            <w:tcW w:w="260" w:type="dxa"/>
                            <w:tcBorders/>
                            <w:shd w:fill="auto" w:val="clear"/>
                            <w:vAlign w:val="center"/>
                          </w:tcPr>
                          <w:p>
                            <w:pPr>
                              <w:pStyle w:val="TableContents"/>
                              <w:spacing w:before="0" w:after="283"/>
                              <w:jc w:val="center"/>
                              <w:rPr>
                                <w:rFonts w:ascii="Arial" w:hAnsi="Arial"/>
                                <w:b/>
                                <w:sz w:val="15"/>
                              </w:rPr>
                            </w:pPr>
                            <w:r>
                              <w:rPr>
                                <w:rFonts w:ascii="Arial" w:hAnsi="Arial"/>
                                <w:b/>
                                <w:sz w:val="15"/>
                              </w:rPr>
                              <w:t>For</w:t>
                            </w:r>
                          </w:p>
                        </w:tc>
                        <w:tc>
                          <w:tcPr>
                            <w:tcW w:w="575" w:type="dxa"/>
                            <w:tcBorders/>
                            <w:shd w:fill="auto" w:val="clear"/>
                            <w:vAlign w:val="center"/>
                          </w:tcPr>
                          <w:p>
                            <w:pPr>
                              <w:pStyle w:val="TableContents"/>
                              <w:spacing w:before="0" w:after="283"/>
                              <w:jc w:val="center"/>
                              <w:rPr>
                                <w:rFonts w:ascii="Arial" w:hAnsi="Arial"/>
                                <w:b/>
                                <w:sz w:val="15"/>
                              </w:rPr>
                            </w:pPr>
                            <w:r>
                              <w:rPr>
                                <w:rFonts w:ascii="Arial" w:hAnsi="Arial"/>
                                <w:b/>
                                <w:sz w:val="15"/>
                              </w:rPr>
                              <w:t>Against</w:t>
                            </w:r>
                          </w:p>
                        </w:tc>
                        <w:tc>
                          <w:tcPr>
                            <w:tcW w:w="576" w:type="dxa"/>
                            <w:tcBorders/>
                            <w:shd w:fill="auto" w:val="clear"/>
                            <w:vAlign w:val="center"/>
                          </w:tcPr>
                          <w:p>
                            <w:pPr>
                              <w:pStyle w:val="TableContents"/>
                              <w:spacing w:before="0" w:after="283"/>
                              <w:jc w:val="center"/>
                              <w:rPr>
                                <w:rFonts w:ascii="Arial" w:hAnsi="Arial"/>
                                <w:b/>
                                <w:sz w:val="15"/>
                              </w:rPr>
                            </w:pPr>
                            <w:r>
                              <w:rPr>
                                <w:rFonts w:ascii="Arial" w:hAnsi="Arial"/>
                                <w:b/>
                                <w:sz w:val="15"/>
                              </w:rPr>
                              <w:t>Abstain</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8016" w:type="dxa"/>
                            <w:gridSpan w:val="2"/>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1a.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John H. Alschuler</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1b.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Betsy S. Atkins</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1c.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Carol N. Brown</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1d.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Edwin T. Burton, III</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1e.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Lauren B. Dillard</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1f.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Stephen L. Green</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1g.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Craig M. Hatkoff</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1h.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Marc Holliday</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1i. </w:t>
                            </w:r>
                          </w:p>
                        </w:tc>
                        <w:tc>
                          <w:tcPr>
                            <w:tcW w:w="6556" w:type="dxa"/>
                            <w:tcBorders/>
                            <w:shd w:fill="auto" w:val="clear"/>
                            <w:vAlign w:val="center"/>
                          </w:tcPr>
                          <w:p>
                            <w:pPr>
                              <w:pStyle w:val="TableContents"/>
                              <w:spacing w:before="0" w:after="283"/>
                              <w:jc w:val="left"/>
                              <w:rPr>
                                <w:rFonts w:ascii="Arial" w:hAnsi="Arial"/>
                                <w:sz w:val="15"/>
                              </w:rPr>
                            </w:pPr>
                            <w:r>
                              <w:rPr>
                                <w:rFonts w:ascii="Arial" w:hAnsi="Arial"/>
                                <w:sz w:val="15"/>
                              </w:rPr>
                              <w:t>Andrew W. Mathias</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55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8494" w:type="dxa"/>
                            <w:gridSpan w:val="3"/>
                            <w:tcBorders/>
                            <w:shd w:fill="auto" w:val="clear"/>
                            <w:vAlign w:val="center"/>
                          </w:tcPr>
                          <w:p>
                            <w:pPr>
                              <w:pStyle w:val="TableContents"/>
                              <w:spacing w:before="0" w:after="283"/>
                              <w:jc w:val="both"/>
                              <w:rPr>
                                <w:rFonts w:ascii="Arial" w:hAnsi="Arial"/>
                                <w:b/>
                                <w:sz w:val="15"/>
                              </w:rPr>
                            </w:pPr>
                            <w:r>
                              <w:rPr>
                                <w:rFonts w:ascii="Arial" w:hAnsi="Arial"/>
                                <w:b/>
                                <w:sz w:val="15"/>
                              </w:rPr>
                              <w:t>The Board of Directors recommends you vote FOR the following proposals:</w:t>
                            </w:r>
                          </w:p>
                        </w:tc>
                        <w:tc>
                          <w:tcPr>
                            <w:tcW w:w="260" w:type="dxa"/>
                            <w:tcBorders/>
                            <w:shd w:fill="auto" w:val="clear"/>
                            <w:vAlign w:val="center"/>
                          </w:tcPr>
                          <w:p>
                            <w:pPr>
                              <w:pStyle w:val="TableContents"/>
                              <w:spacing w:before="0" w:after="283"/>
                              <w:jc w:val="center"/>
                              <w:rPr>
                                <w:rFonts w:ascii="Arial" w:hAnsi="Arial"/>
                                <w:b/>
                                <w:sz w:val="15"/>
                              </w:rPr>
                            </w:pPr>
                            <w:r>
                              <w:rPr>
                                <w:rFonts w:ascii="Arial" w:hAnsi="Arial"/>
                                <w:b/>
                                <w:sz w:val="15"/>
                              </w:rPr>
                              <w:t>For</w:t>
                            </w:r>
                          </w:p>
                        </w:tc>
                        <w:tc>
                          <w:tcPr>
                            <w:tcW w:w="575" w:type="dxa"/>
                            <w:tcBorders/>
                            <w:shd w:fill="auto" w:val="clear"/>
                            <w:vAlign w:val="center"/>
                          </w:tcPr>
                          <w:p>
                            <w:pPr>
                              <w:pStyle w:val="TableContents"/>
                              <w:spacing w:before="0" w:after="283"/>
                              <w:jc w:val="center"/>
                              <w:rPr>
                                <w:rFonts w:ascii="Arial" w:hAnsi="Arial"/>
                                <w:b/>
                                <w:sz w:val="15"/>
                              </w:rPr>
                            </w:pPr>
                            <w:r>
                              <w:rPr>
                                <w:rFonts w:ascii="Arial" w:hAnsi="Arial"/>
                                <w:b/>
                                <w:sz w:val="15"/>
                              </w:rPr>
                              <w:t>Against</w:t>
                            </w:r>
                          </w:p>
                        </w:tc>
                        <w:tc>
                          <w:tcPr>
                            <w:tcW w:w="576" w:type="dxa"/>
                            <w:tcBorders/>
                            <w:shd w:fill="auto" w:val="clear"/>
                            <w:vAlign w:val="center"/>
                          </w:tcPr>
                          <w:p>
                            <w:pPr>
                              <w:pStyle w:val="TableContents"/>
                              <w:spacing w:before="0" w:after="283"/>
                              <w:jc w:val="center"/>
                              <w:rPr>
                                <w:rFonts w:ascii="Arial" w:hAnsi="Arial"/>
                                <w:b/>
                                <w:sz w:val="15"/>
                              </w:rPr>
                            </w:pPr>
                            <w:r>
                              <w:rPr>
                                <w:rFonts w:ascii="Arial" w:hAnsi="Arial"/>
                                <w:b/>
                                <w:sz w:val="15"/>
                              </w:rPr>
                              <w:t>Abstain</w:t>
                            </w:r>
                          </w:p>
                        </w:tc>
                      </w:tr>
                      <w:tr>
                        <w:trPr/>
                        <w:tc>
                          <w:tcPr>
                            <w:tcW w:w="300" w:type="dxa"/>
                            <w:tcBorders/>
                            <w:shd w:fill="auto" w:val="clear"/>
                            <w:vAlign w:val="center"/>
                          </w:tcPr>
                          <w:p>
                            <w:pPr>
                              <w:pStyle w:val="TableContents"/>
                              <w:spacing w:before="0" w:after="283"/>
                              <w:jc w:val="left"/>
                              <w:rPr/>
                            </w:pPr>
                            <w:r>
                              <w:rPr/>
                              <w:t> </w:t>
                            </w:r>
                          </w:p>
                        </w:tc>
                        <w:tc>
                          <w:tcPr>
                            <w:tcW w:w="8494" w:type="dxa"/>
                            <w:gridSpan w:val="3"/>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jc w:val="left"/>
                              <w:rPr>
                                <w:rFonts w:ascii="Arial" w:hAnsi="Arial"/>
                                <w:sz w:val="15"/>
                              </w:rPr>
                            </w:pPr>
                            <w:r>
                              <w:rPr>
                                <w:rFonts w:ascii="Arial" w:hAnsi="Arial"/>
                                <w:sz w:val="15"/>
                              </w:rPr>
                              <w:t xml:space="preserve">2. </w:t>
                            </w:r>
                          </w:p>
                        </w:tc>
                        <w:tc>
                          <w:tcPr>
                            <w:tcW w:w="8016" w:type="dxa"/>
                            <w:gridSpan w:val="2"/>
                            <w:tcBorders/>
                            <w:shd w:fill="auto" w:val="clear"/>
                            <w:vAlign w:val="center"/>
                          </w:tcPr>
                          <w:p>
                            <w:pPr>
                              <w:pStyle w:val="TableContents"/>
                              <w:spacing w:before="0" w:after="283"/>
                              <w:jc w:val="both"/>
                              <w:rPr>
                                <w:rFonts w:ascii="Arial" w:hAnsi="Arial"/>
                                <w:sz w:val="15"/>
                              </w:rPr>
                            </w:pPr>
                            <w:r>
                              <w:rPr>
                                <w:rFonts w:ascii="Arial" w:hAnsi="Arial"/>
                                <w:sz w:val="15"/>
                              </w:rPr>
                              <w:t>To approve, on a non-binding advisory basis, our executive compensation.</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8016" w:type="dxa"/>
                            <w:gridSpan w:val="2"/>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center"/>
                              <w:rPr/>
                            </w:pPr>
                            <w:r>
                              <w:rPr/>
                              <w:t> </w:t>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jc w:val="left"/>
                              <w:rPr>
                                <w:rFonts w:ascii="Arial" w:hAnsi="Arial"/>
                                <w:sz w:val="15"/>
                              </w:rPr>
                            </w:pPr>
                            <w:r>
                              <w:rPr>
                                <w:rFonts w:ascii="Arial" w:hAnsi="Arial"/>
                                <w:sz w:val="15"/>
                              </w:rPr>
                              <w:t xml:space="preserve">3. </w:t>
                            </w:r>
                          </w:p>
                        </w:tc>
                        <w:tc>
                          <w:tcPr>
                            <w:tcW w:w="8016" w:type="dxa"/>
                            <w:gridSpan w:val="2"/>
                            <w:tcBorders/>
                            <w:shd w:fill="auto" w:val="clear"/>
                            <w:vAlign w:val="center"/>
                          </w:tcPr>
                          <w:p>
                            <w:pPr>
                              <w:pStyle w:val="TableContents"/>
                              <w:spacing w:before="0" w:after="283"/>
                              <w:jc w:val="both"/>
                              <w:rPr>
                                <w:rFonts w:ascii="Arial" w:hAnsi="Arial"/>
                                <w:sz w:val="15"/>
                              </w:rPr>
                            </w:pPr>
                            <w:r>
                              <w:rPr>
                                <w:rFonts w:ascii="Arial" w:hAnsi="Arial"/>
                                <w:sz w:val="15"/>
                              </w:rPr>
                              <w:t>To ratify the appointment of Ernst &amp; Young LLP as our independent registered public accounting firm for the fiscal year ending December 31, 2023.</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29">
                <wp:simplePos x="0" y="0"/>
                <wp:positionH relativeFrom="column">
                  <wp:align>right</wp:align>
                </wp:positionH>
                <wp:positionV relativeFrom="line">
                  <wp:posOffset>635</wp:posOffset>
                </wp:positionV>
                <wp:extent cx="3110230" cy="5388610"/>
                <wp:effectExtent l="0" t="0" r="0" b="0"/>
                <wp:wrapSquare wrapText="largest"/>
                <wp:docPr id="518" name="Frame50"/>
                <a:graphic xmlns:a="http://schemas.openxmlformats.org/drawingml/2006/main">
                  <a:graphicData uri="http://schemas.microsoft.com/office/word/2010/wordprocessingShape">
                    <wps:wsp>
                      <wps:cNvSpPr txBox="1"/>
                      <wps:spPr>
                        <a:xfrm>
                          <a:off x="0" y="0"/>
                          <a:ext cx="3110230" cy="5388610"/>
                        </a:xfrm>
                        <a:prstGeom prst="rect"/>
                      </wps:spPr>
                      <wps:txbx>
                        <w:txbxContent>
                          <w:p>
                            <w:pPr>
                              <w:pStyle w:val="TextBody"/>
                              <w:spacing w:before="0" w:after="0"/>
                              <w:rPr/>
                            </w:pPr>
                            <w:r>
                              <w:rPr/>
                            </w:r>
                          </w:p>
                          <w:tbl>
                            <w:tblPr>
                              <w:tblW w:w="960" w:type="dxa"/>
                              <w:jc w:val="left"/>
                              <w:tblInd w:w="0" w:type="dxa"/>
                              <w:tblCellMar>
                                <w:top w:w="0" w:type="dxa"/>
                                <w:left w:w="0" w:type="dxa"/>
                                <w:bottom w:w="0" w:type="dxa"/>
                                <w:right w:w="0" w:type="dxa"/>
                              </w:tblCellMar>
                            </w:tblPr>
                            <w:tblGrid>
                              <w:gridCol w:w="60"/>
                              <w:gridCol w:w="720"/>
                              <w:gridCol w:w="180"/>
                            </w:tblGrid>
                            <w:tr>
                              <w:trPr/>
                              <w:tc>
                                <w:tcPr>
                                  <w:tcW w:w="60" w:type="dxa"/>
                                  <w:tcBorders/>
                                  <w:shd w:fill="auto" w:val="clear"/>
                                  <w:vAlign w:val="center"/>
                                </w:tcPr>
                                <w:p>
                                  <w:pPr>
                                    <w:pStyle w:val="TableContents"/>
                                    <w:spacing w:before="0" w:after="283"/>
                                    <w:rPr/>
                                  </w:pPr>
                                  <w:r>
                                    <w:rPr/>
                                    <w:t> </w:t>
                                  </w:r>
                                </w:p>
                              </w:tc>
                              <w:tc>
                                <w:tcPr>
                                  <w:tcW w:w="720" w:type="dxa"/>
                                  <w:tcBorders>
                                    <w:top w:val="single" w:sz="24" w:space="0" w:color="000000"/>
                                    <w:right w:val="single" w:sz="24" w:space="0" w:color="000000"/>
                                  </w:tcBorders>
                                  <w:shd w:fill="auto" w:val="clear"/>
                                  <w:tcMar>
                                    <w:top w:w="28" w:type="dxa"/>
                                    <w:right w:w="28" w:type="dxa"/>
                                  </w:tcMar>
                                  <w:vAlign w:val="center"/>
                                </w:tcPr>
                                <w:p>
                                  <w:pPr>
                                    <w:pStyle w:val="TableContents"/>
                                    <w:spacing w:before="0" w:after="283"/>
                                    <w:jc w:val="left"/>
                                    <w:rPr/>
                                  </w:pPr>
                                  <w:r>
                                    <w:rPr/>
                                    <w:t>            </w:t>
                                  </w:r>
                                  <w:r>
                                    <w:rPr/>
                                    <w:br/>
                                    <w:t> </w:t>
                                  </w:r>
                                </w:p>
                              </w:tc>
                              <w:tc>
                                <w:tcPr>
                                  <w:tcW w:w="180" w:type="dxa"/>
                                  <w:tcBorders/>
                                  <w:shd w:fill="auto" w:val="clear"/>
                                  <w:vAlign w:val="center"/>
                                </w:tcPr>
                                <w:p>
                                  <w:pPr>
                                    <w:pStyle w:val="TableContents"/>
                                    <w:spacing w:before="0" w:after="283"/>
                                    <w:rPr/>
                                  </w:pPr>
                                  <w:r>
                                    <w:rPr/>
                                    <w:t>   </w:t>
                                  </w:r>
                                </w:p>
                              </w:tc>
                            </w:tr>
                          </w:tbl>
                          <w:p>
                            <w:pPr>
                              <w:pStyle w:val="TextBody"/>
                              <w:rPr/>
                            </w:pPr>
                            <w:r>
                              <w:rPr/>
                              <w:br/>
                            </w:r>
                          </w:p>
                          <w:tbl>
                            <w:tblPr>
                              <w:tblW w:w="10205" w:type="dxa"/>
                              <w:jc w:val="left"/>
                              <w:tblInd w:w="0" w:type="dxa"/>
                              <w:tblCellMar>
                                <w:top w:w="0" w:type="dxa"/>
                                <w:left w:w="0" w:type="dxa"/>
                                <w:bottom w:w="0" w:type="dxa"/>
                                <w:right w:w="0" w:type="dxa"/>
                              </w:tblCellMar>
                            </w:tblPr>
                            <w:tblGrid>
                              <w:gridCol w:w="189"/>
                              <w:gridCol w:w="7850"/>
                              <w:gridCol w:w="621"/>
                              <w:gridCol w:w="484"/>
                              <w:gridCol w:w="484"/>
                              <w:gridCol w:w="577"/>
                            </w:tblGrid>
                            <w:tr>
                              <w:trPr/>
                              <w:tc>
                                <w:tcPr>
                                  <w:tcW w:w="8039" w:type="dxa"/>
                                  <w:gridSpan w:val="2"/>
                                  <w:tcBorders/>
                                  <w:shd w:fill="auto" w:val="clear"/>
                                  <w:vAlign w:val="center"/>
                                </w:tcPr>
                                <w:p>
                                  <w:pPr>
                                    <w:pStyle w:val="TableContents"/>
                                    <w:spacing w:before="0" w:after="283"/>
                                    <w:jc w:val="both"/>
                                    <w:rPr>
                                      <w:rFonts w:ascii="Arial" w:hAnsi="Arial"/>
                                      <w:b/>
                                      <w:sz w:val="15"/>
                                    </w:rPr>
                                  </w:pPr>
                                  <w:r>
                                    <w:rPr>
                                      <w:rFonts w:ascii="Arial" w:hAnsi="Arial"/>
                                      <w:b/>
                                      <w:sz w:val="15"/>
                                    </w:rPr>
                                    <w:t>The Board of Directors recommends you vote 1 YEAR on the following proposal:</w:t>
                                  </w:r>
                                </w:p>
                              </w:tc>
                              <w:tc>
                                <w:tcPr>
                                  <w:tcW w:w="621" w:type="dxa"/>
                                  <w:tcBorders/>
                                  <w:shd w:fill="auto" w:val="clear"/>
                                  <w:vAlign w:val="center"/>
                                </w:tcPr>
                                <w:p>
                                  <w:pPr>
                                    <w:pStyle w:val="TableContents"/>
                                    <w:spacing w:before="0" w:after="283"/>
                                    <w:jc w:val="center"/>
                                    <w:rPr>
                                      <w:rFonts w:ascii="Arial" w:hAnsi="Arial"/>
                                      <w:b/>
                                      <w:sz w:val="15"/>
                                    </w:rPr>
                                  </w:pPr>
                                  <w:r>
                                    <w:rPr>
                                      <w:rFonts w:ascii="Arial" w:hAnsi="Arial"/>
                                      <w:b/>
                                      <w:sz w:val="15"/>
                                    </w:rPr>
                                    <w:t>1 Year</w:t>
                                  </w:r>
                                </w:p>
                              </w:tc>
                              <w:tc>
                                <w:tcPr>
                                  <w:tcW w:w="484" w:type="dxa"/>
                                  <w:tcBorders/>
                                  <w:shd w:fill="auto" w:val="clear"/>
                                  <w:vAlign w:val="center"/>
                                </w:tcPr>
                                <w:p>
                                  <w:pPr>
                                    <w:pStyle w:val="TableContents"/>
                                    <w:spacing w:before="0" w:after="283"/>
                                    <w:jc w:val="center"/>
                                    <w:rPr>
                                      <w:rFonts w:ascii="Arial" w:hAnsi="Arial"/>
                                      <w:b/>
                                      <w:sz w:val="15"/>
                                    </w:rPr>
                                  </w:pPr>
                                  <w:r>
                                    <w:rPr>
                                      <w:rFonts w:ascii="Arial" w:hAnsi="Arial"/>
                                      <w:b/>
                                      <w:sz w:val="15"/>
                                    </w:rPr>
                                    <w:t>2 Years</w:t>
                                  </w:r>
                                </w:p>
                              </w:tc>
                              <w:tc>
                                <w:tcPr>
                                  <w:tcW w:w="484" w:type="dxa"/>
                                  <w:tcBorders/>
                                  <w:shd w:fill="auto" w:val="clear"/>
                                  <w:vAlign w:val="center"/>
                                </w:tcPr>
                                <w:p>
                                  <w:pPr>
                                    <w:pStyle w:val="TableContents"/>
                                    <w:spacing w:before="0" w:after="283"/>
                                    <w:jc w:val="center"/>
                                    <w:rPr>
                                      <w:rFonts w:ascii="Arial" w:hAnsi="Arial"/>
                                      <w:b/>
                                      <w:sz w:val="15"/>
                                    </w:rPr>
                                  </w:pPr>
                                  <w:r>
                                    <w:rPr>
                                      <w:rFonts w:ascii="Arial" w:hAnsi="Arial"/>
                                      <w:b/>
                                      <w:sz w:val="15"/>
                                    </w:rPr>
                                    <w:t>3 Years</w:t>
                                  </w:r>
                                </w:p>
                              </w:tc>
                              <w:tc>
                                <w:tcPr>
                                  <w:tcW w:w="577" w:type="dxa"/>
                                  <w:tcBorders/>
                                  <w:shd w:fill="auto" w:val="clear"/>
                                  <w:vAlign w:val="center"/>
                                </w:tcPr>
                                <w:p>
                                  <w:pPr>
                                    <w:pStyle w:val="TableContents"/>
                                    <w:spacing w:before="0" w:after="283"/>
                                    <w:jc w:val="center"/>
                                    <w:rPr>
                                      <w:rFonts w:ascii="Arial" w:hAnsi="Arial"/>
                                      <w:b/>
                                      <w:sz w:val="15"/>
                                    </w:rPr>
                                  </w:pPr>
                                  <w:r>
                                    <w:rPr>
                                      <w:rFonts w:ascii="Arial" w:hAnsi="Arial"/>
                                      <w:b/>
                                      <w:sz w:val="15"/>
                                    </w:rPr>
                                    <w:t>Abstain</w:t>
                                  </w:r>
                                </w:p>
                              </w:tc>
                            </w:tr>
                            <w:tr>
                              <w:trPr/>
                              <w:tc>
                                <w:tcPr>
                                  <w:tcW w:w="189" w:type="dxa"/>
                                  <w:tcBorders/>
                                  <w:shd w:fill="auto" w:val="clear"/>
                                  <w:vAlign w:val="center"/>
                                </w:tcPr>
                                <w:p>
                                  <w:pPr>
                                    <w:pStyle w:val="TableContents"/>
                                    <w:spacing w:before="0" w:after="283"/>
                                    <w:jc w:val="left"/>
                                    <w:rPr/>
                                  </w:pPr>
                                  <w:r>
                                    <w:rPr/>
                                    <w:t> </w:t>
                                  </w:r>
                                </w:p>
                              </w:tc>
                              <w:tc>
                                <w:tcPr>
                                  <w:tcW w:w="7850"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jc w:val="left"/>
                                    <w:rPr>
                                      <w:rFonts w:ascii="Arial" w:hAnsi="Arial"/>
                                      <w:sz w:val="15"/>
                                    </w:rPr>
                                  </w:pPr>
                                  <w:r>
                                    <w:rPr>
                                      <w:rFonts w:ascii="Arial" w:hAnsi="Arial"/>
                                      <w:sz w:val="15"/>
                                    </w:rPr>
                                    <w:t>4.</w:t>
                                  </w:r>
                                </w:p>
                              </w:tc>
                              <w:tc>
                                <w:tcPr>
                                  <w:tcW w:w="7850" w:type="dxa"/>
                                  <w:tcBorders/>
                                  <w:shd w:fill="auto" w:val="clear"/>
                                  <w:vAlign w:val="center"/>
                                </w:tcPr>
                                <w:p>
                                  <w:pPr>
                                    <w:pStyle w:val="TableContents"/>
                                    <w:spacing w:before="0" w:after="283"/>
                                    <w:jc w:val="both"/>
                                    <w:rPr>
                                      <w:rFonts w:ascii="Arial" w:hAnsi="Arial"/>
                                      <w:sz w:val="15"/>
                                    </w:rPr>
                                  </w:pPr>
                                  <w:r>
                                    <w:rPr>
                                      <w:rFonts w:ascii="Arial" w:hAnsi="Arial"/>
                                      <w:sz w:val="15"/>
                                    </w:rPr>
                                    <w:t>To recommend, by a non-binding advisory vote, whether an advisory vote on our executive compensation should be held every one, two or three years.</w:t>
                                  </w:r>
                                </w:p>
                              </w:tc>
                              <w:tc>
                                <w:tcPr>
                                  <w:tcW w:w="621" w:type="dxa"/>
                                  <w:tcBorders/>
                                  <w:shd w:fill="auto" w:val="clear"/>
                                  <w:vAlign w:val="center"/>
                                </w:tcPr>
                                <w:p>
                                  <w:pPr>
                                    <w:pStyle w:val="TableContents"/>
                                    <w:spacing w:before="0" w:after="283"/>
                                    <w:jc w:val="center"/>
                                    <w:rPr/>
                                  </w:pPr>
                                  <w:r>
                                    <w:rPr/>
                                    <w:t>☐</w:t>
                                  </w:r>
                                </w:p>
                              </w:tc>
                              <w:tc>
                                <w:tcPr>
                                  <w:tcW w:w="484" w:type="dxa"/>
                                  <w:tcBorders/>
                                  <w:shd w:fill="auto" w:val="clear"/>
                                  <w:vAlign w:val="center"/>
                                </w:tcPr>
                                <w:p>
                                  <w:pPr>
                                    <w:pStyle w:val="TableContents"/>
                                    <w:spacing w:before="0" w:after="283"/>
                                    <w:jc w:val="center"/>
                                    <w:rPr/>
                                  </w:pPr>
                                  <w:r>
                                    <w:rPr/>
                                    <w:t>☐</w:t>
                                  </w:r>
                                </w:p>
                              </w:tc>
                              <w:tc>
                                <w:tcPr>
                                  <w:tcW w:w="484" w:type="dxa"/>
                                  <w:tcBorders/>
                                  <w:shd w:fill="auto" w:val="clear"/>
                                  <w:vAlign w:val="center"/>
                                </w:tcPr>
                                <w:p>
                                  <w:pPr>
                                    <w:pStyle w:val="TableContents"/>
                                    <w:spacing w:before="0" w:after="283"/>
                                    <w:jc w:val="center"/>
                                    <w:rPr/>
                                  </w:pPr>
                                  <w:r>
                                    <w:rPr/>
                                    <w:t>☐</w:t>
                                  </w:r>
                                </w:p>
                              </w:tc>
                              <w:tc>
                                <w:tcPr>
                                  <w:tcW w:w="577"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jc w:val="left"/>
                                    <w:rPr/>
                                  </w:pPr>
                                  <w:r>
                                    <w:rPr/>
                                    <w:t> </w:t>
                                  </w:r>
                                </w:p>
                              </w:tc>
                              <w:tc>
                                <w:tcPr>
                                  <w:tcW w:w="7850"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r>
                            <w:tr>
                              <w:trPr/>
                              <w:tc>
                                <w:tcPr>
                                  <w:tcW w:w="8660" w:type="dxa"/>
                                  <w:gridSpan w:val="3"/>
                                  <w:tcBorders/>
                                  <w:shd w:fill="auto" w:val="clear"/>
                                  <w:vAlign w:val="center"/>
                                </w:tcPr>
                                <w:p>
                                  <w:pPr>
                                    <w:pStyle w:val="TableContents"/>
                                    <w:spacing w:before="0" w:after="283"/>
                                    <w:jc w:val="both"/>
                                    <w:rPr/>
                                  </w:pPr>
                                  <w:r>
                                    <w:rPr>
                                      <w:rFonts w:ascii="Arial" w:hAnsi="Arial"/>
                                      <w:b/>
                                      <w:sz w:val="15"/>
                                    </w:rPr>
                                    <w:t xml:space="preserve">NOTE: </w:t>
                                  </w:r>
                                  <w:r>
                                    <w:rPr>
                                      <w:rFonts w:ascii="Arial" w:hAnsi="Arial"/>
                                      <w:sz w:val="15"/>
                                    </w:rPr>
                                    <w:t>The proxies are authorized to vote in their discretion upon such other business as may properly come before the Annual Meeting, including any adjournments or postponements thereof.</w:t>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pPr>
                                  <w:r>
                                    <w:rPr/>
                                    <w:t> </w:t>
                                  </w:r>
                                </w:p>
                              </w:tc>
                              <w:tc>
                                <w:tcPr>
                                  <w:tcW w:w="10016" w:type="dxa"/>
                                  <w:gridSpan w:val="5"/>
                                  <w:tcBorders/>
                                  <w:shd w:fill="auto" w:val="clear"/>
                                  <w:vAlign w:val="center"/>
                                </w:tcPr>
                                <w:p>
                                  <w:pPr>
                                    <w:pStyle w:val="TableContents"/>
                                    <w:spacing w:before="0" w:after="283"/>
                                    <w:rPr>
                                      <w:sz w:val="4"/>
                                      <w:szCs w:val="4"/>
                                    </w:rPr>
                                  </w:pPr>
                                  <w:r>
                                    <w:rPr>
                                      <w:sz w:val="4"/>
                                      <w:szCs w:val="4"/>
                                    </w:rPr>
                                  </w:r>
                                </w:p>
                              </w:tc>
                            </w:tr>
                            <w:tr>
                              <w:trPr/>
                              <w:tc>
                                <w:tcPr>
                                  <w:tcW w:w="8660" w:type="dxa"/>
                                  <w:gridSpan w:val="3"/>
                                  <w:tcBorders/>
                                  <w:shd w:fill="auto" w:val="clear"/>
                                  <w:vAlign w:val="center"/>
                                </w:tcPr>
                                <w:p>
                                  <w:pPr>
                                    <w:pStyle w:val="TableContents"/>
                                    <w:spacing w:before="0" w:after="283"/>
                                    <w:jc w:val="both"/>
                                    <w:rPr>
                                      <w:rFonts w:ascii="Arial" w:hAnsi="Arial"/>
                                      <w:sz w:val="15"/>
                                    </w:rPr>
                                  </w:pPr>
                                  <w:r>
                                    <w:rPr>
                                      <w:rFonts w:ascii="Arial" w:hAnsi="Arial"/>
                                      <w:sz w:val="15"/>
                                    </w:rPr>
                                    <w:t>The undersigned hereby acknowledge(s) receipt of the Notice of the Annual Meeting of Stockholders, the terms of which are incorporated herein by reference, and revoke(s) any proxy or proxies heretofore given with respect to the Annual Meeting. This proxy may be revoked at any time prior to the time voting is declared closed by giving the corporate secretary of SL Green Realty Corp. written notice of revocation or by a subsequently dated proxy, or by casting a ballot at the Annual Meeting.</w:t>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pPr>
                                  <w:r>
                                    <w:rPr/>
                                    <w:t> </w:t>
                                  </w:r>
                                </w:p>
                              </w:tc>
                              <w:tc>
                                <w:tcPr>
                                  <w:tcW w:w="10016" w:type="dxa"/>
                                  <w:gridSpan w:val="5"/>
                                  <w:tcBorders/>
                                  <w:shd w:fill="auto" w:val="clear"/>
                                  <w:vAlign w:val="center"/>
                                </w:tcPr>
                                <w:p>
                                  <w:pPr>
                                    <w:pStyle w:val="TableContents"/>
                                    <w:spacing w:before="0" w:after="283"/>
                                    <w:rPr>
                                      <w:sz w:val="4"/>
                                      <w:szCs w:val="4"/>
                                    </w:rPr>
                                  </w:pPr>
                                  <w:r>
                                    <w:rPr>
                                      <w:sz w:val="4"/>
                                      <w:szCs w:val="4"/>
                                    </w:rPr>
                                  </w:r>
                                </w:p>
                              </w:tc>
                            </w:tr>
                            <w:tr>
                              <w:trPr/>
                              <w:tc>
                                <w:tcPr>
                                  <w:tcW w:w="8660" w:type="dxa"/>
                                  <w:gridSpan w:val="3"/>
                                  <w:tcBorders/>
                                  <w:shd w:fill="auto" w:val="clear"/>
                                  <w:vAlign w:val="center"/>
                                </w:tcPr>
                                <w:p>
                                  <w:pPr>
                                    <w:pStyle w:val="TableContents"/>
                                    <w:spacing w:before="0" w:after="283"/>
                                    <w:jc w:val="both"/>
                                    <w:rPr/>
                                  </w:pPr>
                                  <w:r>
                                    <w:rPr>
                                      <w:rStyle w:val="StrongEmphasis"/>
                                      <w:rFonts w:ascii="Arial" w:hAnsi="Arial"/>
                                      <w:sz w:val="15"/>
                                    </w:rPr>
                                    <w:t xml:space="preserve">This solicitation of proxies is made by and on behalf of the Board. </w:t>
                                  </w:r>
                                  <w:r>
                                    <w:rPr>
                                      <w:rFonts w:ascii="Arial" w:hAnsi="Arial"/>
                                      <w:sz w:val="15"/>
                                    </w:rPr>
                                    <w:t>The validity of this proxy is governed by the Maryland General Corporation Law and applicable federal securities laws. This proxy does not revoke any prior powers of attorney except for prior proxies given in connection with the Annual Meeting.</w:t>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24.3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pPr>
                      <w:r>
                        <w:rPr/>
                      </w:r>
                    </w:p>
                    <w:tbl>
                      <w:tblPr>
                        <w:tblW w:w="960" w:type="dxa"/>
                        <w:jc w:val="left"/>
                        <w:tblInd w:w="0" w:type="dxa"/>
                        <w:tblCellMar>
                          <w:top w:w="0" w:type="dxa"/>
                          <w:left w:w="0" w:type="dxa"/>
                          <w:bottom w:w="0" w:type="dxa"/>
                          <w:right w:w="0" w:type="dxa"/>
                        </w:tblCellMar>
                      </w:tblPr>
                      <w:tblGrid>
                        <w:gridCol w:w="60"/>
                        <w:gridCol w:w="720"/>
                        <w:gridCol w:w="180"/>
                      </w:tblGrid>
                      <w:tr>
                        <w:trPr/>
                        <w:tc>
                          <w:tcPr>
                            <w:tcW w:w="60" w:type="dxa"/>
                            <w:tcBorders/>
                            <w:shd w:fill="auto" w:val="clear"/>
                            <w:vAlign w:val="center"/>
                          </w:tcPr>
                          <w:p>
                            <w:pPr>
                              <w:pStyle w:val="TableContents"/>
                              <w:spacing w:before="0" w:after="283"/>
                              <w:rPr/>
                            </w:pPr>
                            <w:r>
                              <w:rPr/>
                              <w:t> </w:t>
                            </w:r>
                          </w:p>
                        </w:tc>
                        <w:tc>
                          <w:tcPr>
                            <w:tcW w:w="720" w:type="dxa"/>
                            <w:tcBorders>
                              <w:top w:val="single" w:sz="24" w:space="0" w:color="000000"/>
                              <w:right w:val="single" w:sz="24" w:space="0" w:color="000000"/>
                            </w:tcBorders>
                            <w:shd w:fill="auto" w:val="clear"/>
                            <w:tcMar>
                              <w:top w:w="28" w:type="dxa"/>
                              <w:right w:w="28" w:type="dxa"/>
                            </w:tcMar>
                            <w:vAlign w:val="center"/>
                          </w:tcPr>
                          <w:p>
                            <w:pPr>
                              <w:pStyle w:val="TableContents"/>
                              <w:spacing w:before="0" w:after="283"/>
                              <w:jc w:val="left"/>
                              <w:rPr/>
                            </w:pPr>
                            <w:r>
                              <w:rPr/>
                              <w:t>            </w:t>
                            </w:r>
                            <w:r>
                              <w:rPr/>
                              <w:br/>
                              <w:t> </w:t>
                            </w:r>
                          </w:p>
                        </w:tc>
                        <w:tc>
                          <w:tcPr>
                            <w:tcW w:w="180" w:type="dxa"/>
                            <w:tcBorders/>
                            <w:shd w:fill="auto" w:val="clear"/>
                            <w:vAlign w:val="center"/>
                          </w:tcPr>
                          <w:p>
                            <w:pPr>
                              <w:pStyle w:val="TableContents"/>
                              <w:spacing w:before="0" w:after="283"/>
                              <w:rPr/>
                            </w:pPr>
                            <w:r>
                              <w:rPr/>
                              <w:t>   </w:t>
                            </w:r>
                          </w:p>
                        </w:tc>
                      </w:tr>
                    </w:tbl>
                    <w:p>
                      <w:pPr>
                        <w:pStyle w:val="TextBody"/>
                        <w:rPr/>
                      </w:pPr>
                      <w:r>
                        <w:rPr/>
                        <w:br/>
                      </w:r>
                    </w:p>
                    <w:tbl>
                      <w:tblPr>
                        <w:tblW w:w="10205" w:type="dxa"/>
                        <w:jc w:val="left"/>
                        <w:tblInd w:w="0" w:type="dxa"/>
                        <w:tblCellMar>
                          <w:top w:w="0" w:type="dxa"/>
                          <w:left w:w="0" w:type="dxa"/>
                          <w:bottom w:w="0" w:type="dxa"/>
                          <w:right w:w="0" w:type="dxa"/>
                        </w:tblCellMar>
                      </w:tblPr>
                      <w:tblGrid>
                        <w:gridCol w:w="189"/>
                        <w:gridCol w:w="7850"/>
                        <w:gridCol w:w="621"/>
                        <w:gridCol w:w="484"/>
                        <w:gridCol w:w="484"/>
                        <w:gridCol w:w="577"/>
                      </w:tblGrid>
                      <w:tr>
                        <w:trPr/>
                        <w:tc>
                          <w:tcPr>
                            <w:tcW w:w="8039" w:type="dxa"/>
                            <w:gridSpan w:val="2"/>
                            <w:tcBorders/>
                            <w:shd w:fill="auto" w:val="clear"/>
                            <w:vAlign w:val="center"/>
                          </w:tcPr>
                          <w:p>
                            <w:pPr>
                              <w:pStyle w:val="TableContents"/>
                              <w:spacing w:before="0" w:after="283"/>
                              <w:jc w:val="both"/>
                              <w:rPr>
                                <w:rFonts w:ascii="Arial" w:hAnsi="Arial"/>
                                <w:b/>
                                <w:sz w:val="15"/>
                              </w:rPr>
                            </w:pPr>
                            <w:r>
                              <w:rPr>
                                <w:rFonts w:ascii="Arial" w:hAnsi="Arial"/>
                                <w:b/>
                                <w:sz w:val="15"/>
                              </w:rPr>
                              <w:t>The Board of Directors recommends you vote 1 YEAR on the following proposal:</w:t>
                            </w:r>
                          </w:p>
                        </w:tc>
                        <w:tc>
                          <w:tcPr>
                            <w:tcW w:w="621" w:type="dxa"/>
                            <w:tcBorders/>
                            <w:shd w:fill="auto" w:val="clear"/>
                            <w:vAlign w:val="center"/>
                          </w:tcPr>
                          <w:p>
                            <w:pPr>
                              <w:pStyle w:val="TableContents"/>
                              <w:spacing w:before="0" w:after="283"/>
                              <w:jc w:val="center"/>
                              <w:rPr>
                                <w:rFonts w:ascii="Arial" w:hAnsi="Arial"/>
                                <w:b/>
                                <w:sz w:val="15"/>
                              </w:rPr>
                            </w:pPr>
                            <w:r>
                              <w:rPr>
                                <w:rFonts w:ascii="Arial" w:hAnsi="Arial"/>
                                <w:b/>
                                <w:sz w:val="15"/>
                              </w:rPr>
                              <w:t>1 Year</w:t>
                            </w:r>
                          </w:p>
                        </w:tc>
                        <w:tc>
                          <w:tcPr>
                            <w:tcW w:w="484" w:type="dxa"/>
                            <w:tcBorders/>
                            <w:shd w:fill="auto" w:val="clear"/>
                            <w:vAlign w:val="center"/>
                          </w:tcPr>
                          <w:p>
                            <w:pPr>
                              <w:pStyle w:val="TableContents"/>
                              <w:spacing w:before="0" w:after="283"/>
                              <w:jc w:val="center"/>
                              <w:rPr>
                                <w:rFonts w:ascii="Arial" w:hAnsi="Arial"/>
                                <w:b/>
                                <w:sz w:val="15"/>
                              </w:rPr>
                            </w:pPr>
                            <w:r>
                              <w:rPr>
                                <w:rFonts w:ascii="Arial" w:hAnsi="Arial"/>
                                <w:b/>
                                <w:sz w:val="15"/>
                              </w:rPr>
                              <w:t>2 Years</w:t>
                            </w:r>
                          </w:p>
                        </w:tc>
                        <w:tc>
                          <w:tcPr>
                            <w:tcW w:w="484" w:type="dxa"/>
                            <w:tcBorders/>
                            <w:shd w:fill="auto" w:val="clear"/>
                            <w:vAlign w:val="center"/>
                          </w:tcPr>
                          <w:p>
                            <w:pPr>
                              <w:pStyle w:val="TableContents"/>
                              <w:spacing w:before="0" w:after="283"/>
                              <w:jc w:val="center"/>
                              <w:rPr>
                                <w:rFonts w:ascii="Arial" w:hAnsi="Arial"/>
                                <w:b/>
                                <w:sz w:val="15"/>
                              </w:rPr>
                            </w:pPr>
                            <w:r>
                              <w:rPr>
                                <w:rFonts w:ascii="Arial" w:hAnsi="Arial"/>
                                <w:b/>
                                <w:sz w:val="15"/>
                              </w:rPr>
                              <w:t>3 Years</w:t>
                            </w:r>
                          </w:p>
                        </w:tc>
                        <w:tc>
                          <w:tcPr>
                            <w:tcW w:w="577" w:type="dxa"/>
                            <w:tcBorders/>
                            <w:shd w:fill="auto" w:val="clear"/>
                            <w:vAlign w:val="center"/>
                          </w:tcPr>
                          <w:p>
                            <w:pPr>
                              <w:pStyle w:val="TableContents"/>
                              <w:spacing w:before="0" w:after="283"/>
                              <w:jc w:val="center"/>
                              <w:rPr>
                                <w:rFonts w:ascii="Arial" w:hAnsi="Arial"/>
                                <w:b/>
                                <w:sz w:val="15"/>
                              </w:rPr>
                            </w:pPr>
                            <w:r>
                              <w:rPr>
                                <w:rFonts w:ascii="Arial" w:hAnsi="Arial"/>
                                <w:b/>
                                <w:sz w:val="15"/>
                              </w:rPr>
                              <w:t>Abstain</w:t>
                            </w:r>
                          </w:p>
                        </w:tc>
                      </w:tr>
                      <w:tr>
                        <w:trPr/>
                        <w:tc>
                          <w:tcPr>
                            <w:tcW w:w="189" w:type="dxa"/>
                            <w:tcBorders/>
                            <w:shd w:fill="auto" w:val="clear"/>
                            <w:vAlign w:val="center"/>
                          </w:tcPr>
                          <w:p>
                            <w:pPr>
                              <w:pStyle w:val="TableContents"/>
                              <w:spacing w:before="0" w:after="283"/>
                              <w:jc w:val="left"/>
                              <w:rPr/>
                            </w:pPr>
                            <w:r>
                              <w:rPr/>
                              <w:t> </w:t>
                            </w:r>
                          </w:p>
                        </w:tc>
                        <w:tc>
                          <w:tcPr>
                            <w:tcW w:w="7850"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jc w:val="left"/>
                              <w:rPr>
                                <w:rFonts w:ascii="Arial" w:hAnsi="Arial"/>
                                <w:sz w:val="15"/>
                              </w:rPr>
                            </w:pPr>
                            <w:r>
                              <w:rPr>
                                <w:rFonts w:ascii="Arial" w:hAnsi="Arial"/>
                                <w:sz w:val="15"/>
                              </w:rPr>
                              <w:t>4.</w:t>
                            </w:r>
                          </w:p>
                        </w:tc>
                        <w:tc>
                          <w:tcPr>
                            <w:tcW w:w="7850" w:type="dxa"/>
                            <w:tcBorders/>
                            <w:shd w:fill="auto" w:val="clear"/>
                            <w:vAlign w:val="center"/>
                          </w:tcPr>
                          <w:p>
                            <w:pPr>
                              <w:pStyle w:val="TableContents"/>
                              <w:spacing w:before="0" w:after="283"/>
                              <w:jc w:val="both"/>
                              <w:rPr>
                                <w:rFonts w:ascii="Arial" w:hAnsi="Arial"/>
                                <w:sz w:val="15"/>
                              </w:rPr>
                            </w:pPr>
                            <w:r>
                              <w:rPr>
                                <w:rFonts w:ascii="Arial" w:hAnsi="Arial"/>
                                <w:sz w:val="15"/>
                              </w:rPr>
                              <w:t>To recommend, by a non-binding advisory vote, whether an advisory vote on our executive compensation should be held every one, two or three years.</w:t>
                            </w:r>
                          </w:p>
                        </w:tc>
                        <w:tc>
                          <w:tcPr>
                            <w:tcW w:w="621" w:type="dxa"/>
                            <w:tcBorders/>
                            <w:shd w:fill="auto" w:val="clear"/>
                            <w:vAlign w:val="center"/>
                          </w:tcPr>
                          <w:p>
                            <w:pPr>
                              <w:pStyle w:val="TableContents"/>
                              <w:spacing w:before="0" w:after="283"/>
                              <w:jc w:val="center"/>
                              <w:rPr/>
                            </w:pPr>
                            <w:r>
                              <w:rPr/>
                              <w:t>☐</w:t>
                            </w:r>
                          </w:p>
                        </w:tc>
                        <w:tc>
                          <w:tcPr>
                            <w:tcW w:w="484" w:type="dxa"/>
                            <w:tcBorders/>
                            <w:shd w:fill="auto" w:val="clear"/>
                            <w:vAlign w:val="center"/>
                          </w:tcPr>
                          <w:p>
                            <w:pPr>
                              <w:pStyle w:val="TableContents"/>
                              <w:spacing w:before="0" w:after="283"/>
                              <w:jc w:val="center"/>
                              <w:rPr/>
                            </w:pPr>
                            <w:r>
                              <w:rPr/>
                              <w:t>☐</w:t>
                            </w:r>
                          </w:p>
                        </w:tc>
                        <w:tc>
                          <w:tcPr>
                            <w:tcW w:w="484" w:type="dxa"/>
                            <w:tcBorders/>
                            <w:shd w:fill="auto" w:val="clear"/>
                            <w:vAlign w:val="center"/>
                          </w:tcPr>
                          <w:p>
                            <w:pPr>
                              <w:pStyle w:val="TableContents"/>
                              <w:spacing w:before="0" w:after="283"/>
                              <w:jc w:val="center"/>
                              <w:rPr/>
                            </w:pPr>
                            <w:r>
                              <w:rPr/>
                              <w:t>☐</w:t>
                            </w:r>
                          </w:p>
                        </w:tc>
                        <w:tc>
                          <w:tcPr>
                            <w:tcW w:w="577" w:type="dxa"/>
                            <w:tcBorders/>
                            <w:shd w:fill="auto" w:val="clear"/>
                            <w:vAlign w:val="center"/>
                          </w:tcPr>
                          <w:p>
                            <w:pPr>
                              <w:pStyle w:val="TableContents"/>
                              <w:spacing w:before="0" w:after="283"/>
                              <w:jc w:val="center"/>
                              <w:rPr/>
                            </w:pPr>
                            <w:r>
                              <w:rPr/>
                              <w:t>☐</w:t>
                            </w:r>
                          </w:p>
                        </w:tc>
                      </w:tr>
                      <w:tr>
                        <w:trPr/>
                        <w:tc>
                          <w:tcPr>
                            <w:tcW w:w="189" w:type="dxa"/>
                            <w:tcBorders/>
                            <w:shd w:fill="auto" w:val="clear"/>
                            <w:vAlign w:val="center"/>
                          </w:tcPr>
                          <w:p>
                            <w:pPr>
                              <w:pStyle w:val="TableContents"/>
                              <w:spacing w:before="0" w:after="283"/>
                              <w:jc w:val="left"/>
                              <w:rPr/>
                            </w:pPr>
                            <w:r>
                              <w:rPr/>
                              <w:t> </w:t>
                            </w:r>
                          </w:p>
                        </w:tc>
                        <w:tc>
                          <w:tcPr>
                            <w:tcW w:w="7850"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r>
                      <w:tr>
                        <w:trPr/>
                        <w:tc>
                          <w:tcPr>
                            <w:tcW w:w="8660" w:type="dxa"/>
                            <w:gridSpan w:val="3"/>
                            <w:tcBorders/>
                            <w:shd w:fill="auto" w:val="clear"/>
                            <w:vAlign w:val="center"/>
                          </w:tcPr>
                          <w:p>
                            <w:pPr>
                              <w:pStyle w:val="TableContents"/>
                              <w:spacing w:before="0" w:after="283"/>
                              <w:jc w:val="both"/>
                              <w:rPr/>
                            </w:pPr>
                            <w:r>
                              <w:rPr>
                                <w:rFonts w:ascii="Arial" w:hAnsi="Arial"/>
                                <w:b/>
                                <w:sz w:val="15"/>
                              </w:rPr>
                              <w:t xml:space="preserve">NOTE: </w:t>
                            </w:r>
                            <w:r>
                              <w:rPr>
                                <w:rFonts w:ascii="Arial" w:hAnsi="Arial"/>
                                <w:sz w:val="15"/>
                              </w:rPr>
                              <w:t>The proxies are authorized to vote in their discretion upon such other business as may properly come before the Annual Meeting, including any adjournments or postponements thereof.</w:t>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pPr>
                            <w:r>
                              <w:rPr/>
                              <w:t> </w:t>
                            </w:r>
                          </w:p>
                        </w:tc>
                        <w:tc>
                          <w:tcPr>
                            <w:tcW w:w="10016" w:type="dxa"/>
                            <w:gridSpan w:val="5"/>
                            <w:tcBorders/>
                            <w:shd w:fill="auto" w:val="clear"/>
                            <w:vAlign w:val="center"/>
                          </w:tcPr>
                          <w:p>
                            <w:pPr>
                              <w:pStyle w:val="TableContents"/>
                              <w:spacing w:before="0" w:after="283"/>
                              <w:rPr>
                                <w:sz w:val="4"/>
                                <w:szCs w:val="4"/>
                              </w:rPr>
                            </w:pPr>
                            <w:r>
                              <w:rPr>
                                <w:sz w:val="4"/>
                                <w:szCs w:val="4"/>
                              </w:rPr>
                            </w:r>
                          </w:p>
                        </w:tc>
                      </w:tr>
                      <w:tr>
                        <w:trPr/>
                        <w:tc>
                          <w:tcPr>
                            <w:tcW w:w="8660" w:type="dxa"/>
                            <w:gridSpan w:val="3"/>
                            <w:tcBorders/>
                            <w:shd w:fill="auto" w:val="clear"/>
                            <w:vAlign w:val="center"/>
                          </w:tcPr>
                          <w:p>
                            <w:pPr>
                              <w:pStyle w:val="TableContents"/>
                              <w:spacing w:before="0" w:after="283"/>
                              <w:jc w:val="both"/>
                              <w:rPr>
                                <w:rFonts w:ascii="Arial" w:hAnsi="Arial"/>
                                <w:sz w:val="15"/>
                              </w:rPr>
                            </w:pPr>
                            <w:r>
                              <w:rPr>
                                <w:rFonts w:ascii="Arial" w:hAnsi="Arial"/>
                                <w:sz w:val="15"/>
                              </w:rPr>
                              <w:t>The undersigned hereby acknowledge(s) receipt of the Notice of the Annual Meeting of Stockholders, the terms of which are incorporated herein by reference, and revoke(s) any proxy or proxies heretofore given with respect to the Annual Meeting. This proxy may be revoked at any time prior to the time voting is declared closed by giving the corporate secretary of SL Green Realty Corp. written notice of revocation or by a subsequently dated proxy, or by casting a ballot at the Annual Meeting.</w:t>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before="0" w:after="283"/>
                              <w:rPr/>
                            </w:pPr>
                            <w:r>
                              <w:rPr/>
                              <w:t> </w:t>
                            </w:r>
                          </w:p>
                        </w:tc>
                        <w:tc>
                          <w:tcPr>
                            <w:tcW w:w="10016" w:type="dxa"/>
                            <w:gridSpan w:val="5"/>
                            <w:tcBorders/>
                            <w:shd w:fill="auto" w:val="clear"/>
                            <w:vAlign w:val="center"/>
                          </w:tcPr>
                          <w:p>
                            <w:pPr>
                              <w:pStyle w:val="TableContents"/>
                              <w:spacing w:before="0" w:after="283"/>
                              <w:rPr>
                                <w:sz w:val="4"/>
                                <w:szCs w:val="4"/>
                              </w:rPr>
                            </w:pPr>
                            <w:r>
                              <w:rPr>
                                <w:sz w:val="4"/>
                                <w:szCs w:val="4"/>
                              </w:rPr>
                            </w:r>
                          </w:p>
                        </w:tc>
                      </w:tr>
                      <w:tr>
                        <w:trPr/>
                        <w:tc>
                          <w:tcPr>
                            <w:tcW w:w="8660" w:type="dxa"/>
                            <w:gridSpan w:val="3"/>
                            <w:tcBorders/>
                            <w:shd w:fill="auto" w:val="clear"/>
                            <w:vAlign w:val="center"/>
                          </w:tcPr>
                          <w:p>
                            <w:pPr>
                              <w:pStyle w:val="TableContents"/>
                              <w:spacing w:before="0" w:after="283"/>
                              <w:jc w:val="both"/>
                              <w:rPr/>
                            </w:pPr>
                            <w:r>
                              <w:rPr>
                                <w:rStyle w:val="StrongEmphasis"/>
                                <w:rFonts w:ascii="Arial" w:hAnsi="Arial"/>
                                <w:sz w:val="15"/>
                              </w:rPr>
                              <w:t xml:space="preserve">This solicitation of proxies is made by and on behalf of the Board. </w:t>
                            </w:r>
                            <w:r>
                              <w:rPr>
                                <w:rFonts w:ascii="Arial" w:hAnsi="Arial"/>
                                <w:sz w:val="15"/>
                              </w:rPr>
                              <w:t>The validity of this proxy is governed by the Maryland General Corporation Law and applicable federal securities laws. This proxy does not revoke any prior powers of attorney except for prior proxies given in connection with the Annual Meeting.</w:t>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w10:wrap type="square" side="left"/>
              </v:rect>
            </w:pict>
          </mc:Fallback>
        </mc:AlternateContent>
      </w:r>
    </w:p>
    <w:p>
      <w:pPr>
        <w:pStyle w:val="TextBody"/>
        <w:ind w:left="0" w:right="2100" w:hanging="0"/>
        <w:jc w:val="both"/>
        <w:rPr>
          <w:rFonts w:ascii="Arial" w:hAnsi="Arial"/>
          <w:sz w:val="15"/>
          <w:bdr w:val="single" w:sz="12" w:space="10" w:color="000000"/>
        </w:rPr>
      </w:pPr>
      <w:r>
        <w:rPr>
          <w:rFonts w:ascii="Arial" w:hAnsi="Arial"/>
          <w:sz w:val="15"/>
          <w:bdr w:val="single" w:sz="12" w:space="10" w:color="000000"/>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extBody"/>
        <w:spacing w:before="0" w:after="0"/>
        <w:rPr/>
      </w:pPr>
      <w:r>
        <w:rPr/>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3110230" cy="978535"/>
                <wp:effectExtent l="0" t="0" r="0" b="0"/>
                <wp:wrapSquare wrapText="largest"/>
                <wp:docPr id="519" name="Frame51"/>
                <a:graphic xmlns:a="http://schemas.openxmlformats.org/drawingml/2006/main">
                  <a:graphicData uri="http://schemas.microsoft.com/office/word/2010/wordprocessingShape">
                    <wps:wsp>
                      <wps:cNvSpPr txBox="1"/>
                      <wps:spPr>
                        <a:xfrm>
                          <a:off x="0" y="0"/>
                          <a:ext cx="3110230" cy="978535"/>
                        </a:xfrm>
                        <a:prstGeom prst="rect"/>
                      </wps:spPr>
                      <wps:txbx>
                        <w:txbxContent>
                          <w:tbl>
                            <w:tblPr>
                              <w:tblW w:w="3840" w:type="dxa"/>
                              <w:jc w:val="left"/>
                              <w:tblInd w:w="0" w:type="dxa"/>
                              <w:tblCellMar>
                                <w:top w:w="100" w:type="dxa"/>
                                <w:left w:w="28" w:type="dxa"/>
                                <w:bottom w:w="100" w:type="dxa"/>
                                <w:right w:w="0" w:type="dxa"/>
                              </w:tblCellMar>
                            </w:tblPr>
                            <w:tblGrid>
                              <w:gridCol w:w="3240"/>
                              <w:gridCol w:w="600"/>
                            </w:tblGrid>
                            <w:tr>
                              <w:trPr/>
                              <w:tc>
                                <w:tcPr>
                                  <w:tcW w:w="3240" w:type="dxa"/>
                                  <w:tcBorders>
                                    <w:top w:val="single" w:sz="8" w:space="0" w:color="000000"/>
                                    <w:left w:val="single" w:sz="8" w:space="0" w:color="000000"/>
                                    <w:bottom w:val="single" w:sz="12" w:space="0" w:color="000000"/>
                                  </w:tcBorders>
                                  <w:shd w:fill="auto" w:val="clear"/>
                                  <w:vAlign w:val="center"/>
                                </w:tcPr>
                                <w:p>
                                  <w:pPr>
                                    <w:pStyle w:val="TableContents"/>
                                    <w:spacing w:before="0" w:after="283"/>
                                    <w:jc w:val="left"/>
                                    <w:rPr/>
                                  </w:pPr>
                                  <w:r>
                                    <w:rPr/>
                                    <w:t>                                                      </w:t>
                                  </w:r>
                                </w:p>
                              </w:tc>
                              <w:tc>
                                <w:tcPr>
                                  <w:tcW w:w="600" w:type="dxa"/>
                                  <w:tcBorders>
                                    <w:top w:val="single" w:sz="8" w:space="0" w:color="000000"/>
                                    <w:left w:val="single" w:sz="8" w:space="0" w:color="000000"/>
                                    <w:bottom w:val="single" w:sz="12" w:space="0" w:color="000000"/>
                                    <w:right w:val="single" w:sz="8" w:space="0" w:color="000000"/>
                                  </w:tcBorders>
                                  <w:shd w:fill="auto" w:val="clear"/>
                                  <w:tcMar>
                                    <w:right w:w="28" w:type="dxa"/>
                                  </w:tcMar>
                                  <w:vAlign w:val="center"/>
                                </w:tcPr>
                                <w:p>
                                  <w:pPr>
                                    <w:pStyle w:val="TableContents"/>
                                    <w:spacing w:before="0" w:after="283"/>
                                    <w:jc w:val="left"/>
                                    <w:rPr/>
                                  </w:pPr>
                                  <w:r>
                                    <w:rPr/>
                                    <w:t>          </w:t>
                                  </w:r>
                                </w:p>
                              </w:tc>
                            </w:tr>
                            <w:tr>
                              <w:trPr/>
                              <w:tc>
                                <w:tcPr>
                                  <w:tcW w:w="3240" w:type="dxa"/>
                                  <w:tcBorders/>
                                  <w:shd w:fill="auto" w:val="clear"/>
                                  <w:tcMar>
                                    <w:top w:w="0" w:type="dxa"/>
                                    <w:left w:w="0" w:type="dxa"/>
                                    <w:bottom w:w="0" w:type="dxa"/>
                                  </w:tcMar>
                                  <w:vAlign w:val="center"/>
                                </w:tcPr>
                                <w:p>
                                  <w:pPr>
                                    <w:pStyle w:val="TableContents"/>
                                    <w:spacing w:before="0" w:after="283"/>
                                    <w:jc w:val="left"/>
                                    <w:rPr>
                                      <w:rFonts w:ascii="Arial" w:hAnsi="Arial"/>
                                      <w:sz w:val="15"/>
                                    </w:rPr>
                                  </w:pPr>
                                  <w:r>
                                    <w:rPr>
                                      <w:rFonts w:ascii="Arial" w:hAnsi="Arial"/>
                                      <w:sz w:val="15"/>
                                    </w:rPr>
                                    <w:t>Signature [PLEASE SIGN WITHIN BOX]</w:t>
                                  </w:r>
                                </w:p>
                              </w:tc>
                              <w:tc>
                                <w:tcPr>
                                  <w:tcW w:w="600" w:type="dxa"/>
                                  <w:tcBorders/>
                                  <w:shd w:fill="auto" w:val="clear"/>
                                  <w:tcMar>
                                    <w:top w:w="0" w:type="dxa"/>
                                    <w:left w:w="0" w:type="dxa"/>
                                    <w:bottom w:w="0" w:type="dxa"/>
                                  </w:tcMar>
                                  <w:vAlign w:val="center"/>
                                </w:tcPr>
                                <w:p>
                                  <w:pPr>
                                    <w:pStyle w:val="TableContents"/>
                                    <w:spacing w:before="0" w:after="283"/>
                                    <w:jc w:val="left"/>
                                    <w:rPr>
                                      <w:rFonts w:ascii="Arial" w:hAnsi="Arial"/>
                                      <w:sz w:val="15"/>
                                    </w:rPr>
                                  </w:pPr>
                                  <w:r>
                                    <w:rPr>
                                      <w:rFonts w:ascii="Arial" w:hAnsi="Arial"/>
                                      <w:sz w:val="15"/>
                                    </w:rPr>
                                    <w:t>Date</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7.05pt;mso-wrap-distance-left:0pt;mso-wrap-distance-right:0pt;mso-wrap-distance-top:0pt;mso-wrap-distance-bottom:0pt;margin-top:0pt;mso-position-vertical:top;mso-position-vertical-relative:text;margin-left:0pt;mso-position-horizontal:left;mso-position-horizontal-relative:text">
                <v:textbox>
                  <w:txbxContent>
                    <w:tbl>
                      <w:tblPr>
                        <w:tblW w:w="3840" w:type="dxa"/>
                        <w:jc w:val="left"/>
                        <w:tblInd w:w="0" w:type="dxa"/>
                        <w:tblCellMar>
                          <w:top w:w="100" w:type="dxa"/>
                          <w:left w:w="28" w:type="dxa"/>
                          <w:bottom w:w="100" w:type="dxa"/>
                          <w:right w:w="0" w:type="dxa"/>
                        </w:tblCellMar>
                      </w:tblPr>
                      <w:tblGrid>
                        <w:gridCol w:w="3240"/>
                        <w:gridCol w:w="600"/>
                      </w:tblGrid>
                      <w:tr>
                        <w:trPr/>
                        <w:tc>
                          <w:tcPr>
                            <w:tcW w:w="3240" w:type="dxa"/>
                            <w:tcBorders>
                              <w:top w:val="single" w:sz="8" w:space="0" w:color="000000"/>
                              <w:left w:val="single" w:sz="8" w:space="0" w:color="000000"/>
                              <w:bottom w:val="single" w:sz="12" w:space="0" w:color="000000"/>
                            </w:tcBorders>
                            <w:shd w:fill="auto" w:val="clear"/>
                            <w:vAlign w:val="center"/>
                          </w:tcPr>
                          <w:p>
                            <w:pPr>
                              <w:pStyle w:val="TableContents"/>
                              <w:spacing w:before="0" w:after="283"/>
                              <w:jc w:val="left"/>
                              <w:rPr/>
                            </w:pPr>
                            <w:r>
                              <w:rPr/>
                              <w:t>                                                      </w:t>
                            </w:r>
                          </w:p>
                        </w:tc>
                        <w:tc>
                          <w:tcPr>
                            <w:tcW w:w="600" w:type="dxa"/>
                            <w:tcBorders>
                              <w:top w:val="single" w:sz="8" w:space="0" w:color="000000"/>
                              <w:left w:val="single" w:sz="8" w:space="0" w:color="000000"/>
                              <w:bottom w:val="single" w:sz="12" w:space="0" w:color="000000"/>
                              <w:right w:val="single" w:sz="8" w:space="0" w:color="000000"/>
                            </w:tcBorders>
                            <w:shd w:fill="auto" w:val="clear"/>
                            <w:tcMar>
                              <w:right w:w="28" w:type="dxa"/>
                            </w:tcMar>
                            <w:vAlign w:val="center"/>
                          </w:tcPr>
                          <w:p>
                            <w:pPr>
                              <w:pStyle w:val="TableContents"/>
                              <w:spacing w:before="0" w:after="283"/>
                              <w:jc w:val="left"/>
                              <w:rPr/>
                            </w:pPr>
                            <w:r>
                              <w:rPr/>
                              <w:t>          </w:t>
                            </w:r>
                          </w:p>
                        </w:tc>
                      </w:tr>
                      <w:tr>
                        <w:trPr/>
                        <w:tc>
                          <w:tcPr>
                            <w:tcW w:w="3240" w:type="dxa"/>
                            <w:tcBorders/>
                            <w:shd w:fill="auto" w:val="clear"/>
                            <w:tcMar>
                              <w:top w:w="0" w:type="dxa"/>
                              <w:left w:w="0" w:type="dxa"/>
                              <w:bottom w:w="0" w:type="dxa"/>
                            </w:tcMar>
                            <w:vAlign w:val="center"/>
                          </w:tcPr>
                          <w:p>
                            <w:pPr>
                              <w:pStyle w:val="TableContents"/>
                              <w:spacing w:before="0" w:after="283"/>
                              <w:jc w:val="left"/>
                              <w:rPr>
                                <w:rFonts w:ascii="Arial" w:hAnsi="Arial"/>
                                <w:sz w:val="15"/>
                              </w:rPr>
                            </w:pPr>
                            <w:r>
                              <w:rPr>
                                <w:rFonts w:ascii="Arial" w:hAnsi="Arial"/>
                                <w:sz w:val="15"/>
                              </w:rPr>
                              <w:t>Signature [PLEASE SIGN WITHIN BOX]</w:t>
                            </w:r>
                          </w:p>
                        </w:tc>
                        <w:tc>
                          <w:tcPr>
                            <w:tcW w:w="600" w:type="dxa"/>
                            <w:tcBorders/>
                            <w:shd w:fill="auto" w:val="clear"/>
                            <w:tcMar>
                              <w:top w:w="0" w:type="dxa"/>
                              <w:left w:w="0" w:type="dxa"/>
                              <w:bottom w:w="0" w:type="dxa"/>
                            </w:tcMar>
                            <w:vAlign w:val="center"/>
                          </w:tcPr>
                          <w:p>
                            <w:pPr>
                              <w:pStyle w:val="TableContents"/>
                              <w:spacing w:before="0" w:after="283"/>
                              <w:jc w:val="left"/>
                              <w:rPr>
                                <w:rFonts w:ascii="Arial" w:hAnsi="Arial"/>
                                <w:sz w:val="15"/>
                              </w:rPr>
                            </w:pPr>
                            <w:r>
                              <w:rPr>
                                <w:rFonts w:ascii="Arial" w:hAnsi="Arial"/>
                                <w:sz w:val="15"/>
                              </w:rPr>
                              <w:t>Date</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45">
                <wp:simplePos x="0" y="0"/>
                <wp:positionH relativeFrom="column">
                  <wp:align>right</wp:align>
                </wp:positionH>
                <wp:positionV relativeFrom="line">
                  <wp:posOffset>635</wp:posOffset>
                </wp:positionV>
                <wp:extent cx="3110230" cy="978535"/>
                <wp:effectExtent l="0" t="0" r="0" b="0"/>
                <wp:wrapSquare wrapText="largest"/>
                <wp:docPr id="520" name="Frame52"/>
                <a:graphic xmlns:a="http://schemas.openxmlformats.org/drawingml/2006/main">
                  <a:graphicData uri="http://schemas.microsoft.com/office/word/2010/wordprocessingShape">
                    <wps:wsp>
                      <wps:cNvSpPr txBox="1"/>
                      <wps:spPr>
                        <a:xfrm>
                          <a:off x="0" y="0"/>
                          <a:ext cx="3110230" cy="978535"/>
                        </a:xfrm>
                        <a:prstGeom prst="rect"/>
                      </wps:spPr>
                      <wps:txbx>
                        <w:txbxContent>
                          <w:tbl>
                            <w:tblPr>
                              <w:tblW w:w="3840" w:type="dxa"/>
                              <w:jc w:val="left"/>
                              <w:tblInd w:w="0" w:type="dxa"/>
                              <w:tblCellMar>
                                <w:top w:w="100" w:type="dxa"/>
                                <w:left w:w="28" w:type="dxa"/>
                                <w:bottom w:w="100" w:type="dxa"/>
                                <w:right w:w="0" w:type="dxa"/>
                              </w:tblCellMar>
                            </w:tblPr>
                            <w:tblGrid>
                              <w:gridCol w:w="3240"/>
                              <w:gridCol w:w="600"/>
                            </w:tblGrid>
                            <w:tr>
                              <w:trPr/>
                              <w:tc>
                                <w:tcPr>
                                  <w:tcW w:w="3240" w:type="dxa"/>
                                  <w:tcBorders>
                                    <w:top w:val="single" w:sz="8" w:space="0" w:color="000000"/>
                                    <w:left w:val="single" w:sz="8" w:space="0" w:color="000000"/>
                                    <w:bottom w:val="single" w:sz="12" w:space="0" w:color="000000"/>
                                  </w:tcBorders>
                                  <w:shd w:fill="auto" w:val="clear"/>
                                  <w:vAlign w:val="center"/>
                                </w:tcPr>
                                <w:p>
                                  <w:pPr>
                                    <w:pStyle w:val="TableContents"/>
                                    <w:spacing w:before="0" w:after="283"/>
                                    <w:jc w:val="left"/>
                                    <w:rPr/>
                                  </w:pPr>
                                  <w:r>
                                    <w:rPr/>
                                    <w:t>                                                      </w:t>
                                  </w:r>
                                </w:p>
                              </w:tc>
                              <w:tc>
                                <w:tcPr>
                                  <w:tcW w:w="600" w:type="dxa"/>
                                  <w:tcBorders>
                                    <w:top w:val="single" w:sz="8" w:space="0" w:color="000000"/>
                                    <w:left w:val="single" w:sz="8" w:space="0" w:color="000000"/>
                                    <w:bottom w:val="single" w:sz="12" w:space="0" w:color="000000"/>
                                    <w:right w:val="single" w:sz="8" w:space="0" w:color="000000"/>
                                  </w:tcBorders>
                                  <w:shd w:fill="auto" w:val="clear"/>
                                  <w:tcMar>
                                    <w:right w:w="28" w:type="dxa"/>
                                  </w:tcMar>
                                  <w:vAlign w:val="center"/>
                                </w:tcPr>
                                <w:p>
                                  <w:pPr>
                                    <w:pStyle w:val="TableContents"/>
                                    <w:spacing w:before="0" w:after="283"/>
                                    <w:jc w:val="left"/>
                                    <w:rPr/>
                                  </w:pPr>
                                  <w:r>
                                    <w:rPr/>
                                    <w:t>          </w:t>
                                  </w:r>
                                </w:p>
                              </w:tc>
                            </w:tr>
                            <w:tr>
                              <w:trPr/>
                              <w:tc>
                                <w:tcPr>
                                  <w:tcW w:w="3240" w:type="dxa"/>
                                  <w:tcBorders/>
                                  <w:shd w:fill="auto" w:val="clear"/>
                                  <w:tcMar>
                                    <w:top w:w="0" w:type="dxa"/>
                                    <w:left w:w="0" w:type="dxa"/>
                                    <w:bottom w:w="0" w:type="dxa"/>
                                  </w:tcMar>
                                  <w:vAlign w:val="center"/>
                                </w:tcPr>
                                <w:p>
                                  <w:pPr>
                                    <w:pStyle w:val="TableContents"/>
                                    <w:spacing w:before="0" w:after="283"/>
                                    <w:jc w:val="left"/>
                                    <w:rPr>
                                      <w:rFonts w:ascii="Arial" w:hAnsi="Arial"/>
                                      <w:sz w:val="15"/>
                                    </w:rPr>
                                  </w:pPr>
                                  <w:r>
                                    <w:rPr>
                                      <w:rFonts w:ascii="Arial" w:hAnsi="Arial"/>
                                      <w:sz w:val="15"/>
                                    </w:rPr>
                                    <w:t>Signature (Joint Owners)</w:t>
                                  </w:r>
                                </w:p>
                              </w:tc>
                              <w:tc>
                                <w:tcPr>
                                  <w:tcW w:w="600" w:type="dxa"/>
                                  <w:tcBorders/>
                                  <w:shd w:fill="auto" w:val="clear"/>
                                  <w:tcMar>
                                    <w:top w:w="0" w:type="dxa"/>
                                    <w:left w:w="0" w:type="dxa"/>
                                    <w:bottom w:w="0" w:type="dxa"/>
                                  </w:tcMar>
                                  <w:vAlign w:val="center"/>
                                </w:tcPr>
                                <w:p>
                                  <w:pPr>
                                    <w:pStyle w:val="TableContents"/>
                                    <w:spacing w:before="0" w:after="283"/>
                                    <w:jc w:val="left"/>
                                    <w:rPr>
                                      <w:rFonts w:ascii="Arial" w:hAnsi="Arial"/>
                                      <w:sz w:val="15"/>
                                    </w:rPr>
                                  </w:pPr>
                                  <w:r>
                                    <w:rPr>
                                      <w:rFonts w:ascii="Arial" w:hAnsi="Arial"/>
                                      <w:sz w:val="15"/>
                                    </w:rPr>
                                    <w:t>Date</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7.05pt;mso-wrap-distance-left:0pt;mso-wrap-distance-right:0pt;mso-wrap-distance-top:0pt;mso-wrap-distance-bottom:0pt;margin-top:0pt;mso-position-vertical:top;mso-position-vertical-relative:text;margin-left:265.35pt;mso-position-horizontal:right;mso-position-horizontal-relative:text">
                <v:textbox>
                  <w:txbxContent>
                    <w:tbl>
                      <w:tblPr>
                        <w:tblW w:w="3840" w:type="dxa"/>
                        <w:jc w:val="left"/>
                        <w:tblInd w:w="0" w:type="dxa"/>
                        <w:tblCellMar>
                          <w:top w:w="100" w:type="dxa"/>
                          <w:left w:w="28" w:type="dxa"/>
                          <w:bottom w:w="100" w:type="dxa"/>
                          <w:right w:w="0" w:type="dxa"/>
                        </w:tblCellMar>
                      </w:tblPr>
                      <w:tblGrid>
                        <w:gridCol w:w="3240"/>
                        <w:gridCol w:w="600"/>
                      </w:tblGrid>
                      <w:tr>
                        <w:trPr/>
                        <w:tc>
                          <w:tcPr>
                            <w:tcW w:w="3240" w:type="dxa"/>
                            <w:tcBorders>
                              <w:top w:val="single" w:sz="8" w:space="0" w:color="000000"/>
                              <w:left w:val="single" w:sz="8" w:space="0" w:color="000000"/>
                              <w:bottom w:val="single" w:sz="12" w:space="0" w:color="000000"/>
                            </w:tcBorders>
                            <w:shd w:fill="auto" w:val="clear"/>
                            <w:vAlign w:val="center"/>
                          </w:tcPr>
                          <w:p>
                            <w:pPr>
                              <w:pStyle w:val="TableContents"/>
                              <w:spacing w:before="0" w:after="283"/>
                              <w:jc w:val="left"/>
                              <w:rPr/>
                            </w:pPr>
                            <w:r>
                              <w:rPr/>
                              <w:t>                                                      </w:t>
                            </w:r>
                          </w:p>
                        </w:tc>
                        <w:tc>
                          <w:tcPr>
                            <w:tcW w:w="600" w:type="dxa"/>
                            <w:tcBorders>
                              <w:top w:val="single" w:sz="8" w:space="0" w:color="000000"/>
                              <w:left w:val="single" w:sz="8" w:space="0" w:color="000000"/>
                              <w:bottom w:val="single" w:sz="12" w:space="0" w:color="000000"/>
                              <w:right w:val="single" w:sz="8" w:space="0" w:color="000000"/>
                            </w:tcBorders>
                            <w:shd w:fill="auto" w:val="clear"/>
                            <w:tcMar>
                              <w:right w:w="28" w:type="dxa"/>
                            </w:tcMar>
                            <w:vAlign w:val="center"/>
                          </w:tcPr>
                          <w:p>
                            <w:pPr>
                              <w:pStyle w:val="TableContents"/>
                              <w:spacing w:before="0" w:after="283"/>
                              <w:jc w:val="left"/>
                              <w:rPr/>
                            </w:pPr>
                            <w:r>
                              <w:rPr/>
                              <w:t>          </w:t>
                            </w:r>
                          </w:p>
                        </w:tc>
                      </w:tr>
                      <w:tr>
                        <w:trPr/>
                        <w:tc>
                          <w:tcPr>
                            <w:tcW w:w="3240" w:type="dxa"/>
                            <w:tcBorders/>
                            <w:shd w:fill="auto" w:val="clear"/>
                            <w:tcMar>
                              <w:top w:w="0" w:type="dxa"/>
                              <w:left w:w="0" w:type="dxa"/>
                              <w:bottom w:w="0" w:type="dxa"/>
                            </w:tcMar>
                            <w:vAlign w:val="center"/>
                          </w:tcPr>
                          <w:p>
                            <w:pPr>
                              <w:pStyle w:val="TableContents"/>
                              <w:spacing w:before="0" w:after="283"/>
                              <w:jc w:val="left"/>
                              <w:rPr>
                                <w:rFonts w:ascii="Arial" w:hAnsi="Arial"/>
                                <w:sz w:val="15"/>
                              </w:rPr>
                            </w:pPr>
                            <w:r>
                              <w:rPr>
                                <w:rFonts w:ascii="Arial" w:hAnsi="Arial"/>
                                <w:sz w:val="15"/>
                              </w:rPr>
                              <w:t>Signature (Joint Owners)</w:t>
                            </w:r>
                          </w:p>
                        </w:tc>
                        <w:tc>
                          <w:tcPr>
                            <w:tcW w:w="600" w:type="dxa"/>
                            <w:tcBorders/>
                            <w:shd w:fill="auto" w:val="clear"/>
                            <w:tcMar>
                              <w:top w:w="0" w:type="dxa"/>
                              <w:left w:w="0" w:type="dxa"/>
                              <w:bottom w:w="0" w:type="dxa"/>
                            </w:tcMar>
                            <w:vAlign w:val="center"/>
                          </w:tcPr>
                          <w:p>
                            <w:pPr>
                              <w:pStyle w:val="TableContents"/>
                              <w:spacing w:before="0" w:after="283"/>
                              <w:jc w:val="left"/>
                              <w:rPr>
                                <w:rFonts w:ascii="Arial" w:hAnsi="Arial"/>
                                <w:sz w:val="15"/>
                              </w:rPr>
                            </w:pPr>
                            <w:r>
                              <w:rPr>
                                <w:rFonts w:ascii="Arial" w:hAnsi="Arial"/>
                                <w:sz w:val="15"/>
                              </w:rPr>
                              <w:t>Date</w:t>
                            </w:r>
                          </w:p>
                        </w:tc>
                      </w:tr>
                    </w:tbl>
                    <w:p>
                      <w:pPr>
                        <w:pStyle w:val="TextBody"/>
                        <w:spacing w:before="0" w:after="283"/>
                        <w:rPr/>
                      </w:pPr>
                      <w:r>
                        <w:rPr/>
                      </w:r>
                    </w:p>
                  </w:txbxContent>
                </v:textbox>
                <w10:wrap type="square" side="left"/>
              </v:rect>
            </w:pict>
          </mc:Fallback>
        </mc:AlternateContent>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center"/>
        <w:rPr/>
      </w:pPr>
      <w:r>
        <w:rPr>
          <w:rFonts w:ascii="Arial" w:hAnsi="Arial"/>
          <w:b/>
          <w:sz w:val="20"/>
        </w:rPr>
        <w:br/>
        <w:br/>
        <w:br/>
        <w:br/>
        <w:br/>
        <w:br/>
        <w:br/>
        <w:br/>
        <w:br/>
        <w:t>Important Notice Regarding the Availability of Proxy Materials for the Annual Meeting</w:t>
        <w:br/>
        <w:t xml:space="preserve">to be Held on June 5, 2023: </w:t>
      </w:r>
      <w:r>
        <w:rPr>
          <w:rFonts w:ascii="Arial" w:hAnsi="Arial"/>
          <w:sz w:val="20"/>
        </w:rPr>
        <w:t>The Notice and Proxy Statement and 2022 Annual Report are available at www.proxyvote.com.</w:t>
      </w:r>
    </w:p>
    <w:p>
      <w:pPr>
        <w:pStyle w:val="TextBody"/>
        <w:jc w:val="center"/>
        <w:rPr>
          <w:rFonts w:ascii="Arial" w:hAnsi="Arial"/>
          <w:sz w:val="20"/>
        </w:rPr>
      </w:pPr>
      <w:r>
        <w:rPr>
          <w:rFonts w:ascii="Arial" w:hAnsi="Arial"/>
          <w:sz w:val="20"/>
        </w:rPr>
        <w:br/>
        <w:br/>
        <w:br/>
        <w:br/>
        <w:br/>
      </w:r>
    </w:p>
    <w:tbl>
      <w:tblPr>
        <w:tblW w:w="1175" w:type="dxa"/>
        <w:jc w:val="left"/>
        <w:tblInd w:w="0" w:type="dxa"/>
        <w:tblCellMar>
          <w:top w:w="0" w:type="dxa"/>
          <w:left w:w="0" w:type="dxa"/>
          <w:bottom w:w="28" w:type="dxa"/>
          <w:right w:w="0" w:type="dxa"/>
        </w:tblCellMar>
      </w:tblPr>
      <w:tblGrid>
        <w:gridCol w:w="1175"/>
      </w:tblGrid>
      <w:tr>
        <w:trPr/>
        <w:tc>
          <w:tcPr>
            <w:tcW w:w="1175" w:type="dxa"/>
            <w:tcBorders>
              <w:bottom w:val="dashed" w:sz="12" w:space="0" w:color="000000"/>
            </w:tcBorders>
            <w:shd w:fill="auto" w:val="clear"/>
            <w:vAlign w:val="center"/>
          </w:tcPr>
          <w:p>
            <w:pPr>
              <w:pStyle w:val="TableContents"/>
              <w:spacing w:before="0" w:after="283"/>
              <w:jc w:val="left"/>
              <w:rPr/>
            </w:pPr>
            <w:r>
              <w:rPr/>
              <w:t> </w:t>
            </w:r>
          </w:p>
        </w:tc>
      </w:tr>
      <w:tr>
        <w:trPr/>
        <w:tc>
          <w:tcPr>
            <w:tcW w:w="1175" w:type="dxa"/>
            <w:tcBorders/>
            <w:shd w:fill="auto" w:val="clear"/>
            <w:tcMar>
              <w:bottom w:w="0" w:type="dxa"/>
            </w:tcMar>
            <w:vAlign w:val="center"/>
          </w:tcPr>
          <w:p>
            <w:pPr>
              <w:pStyle w:val="TableContents"/>
              <w:spacing w:before="0" w:after="283"/>
              <w:jc w:val="right"/>
              <w:rPr>
                <w:rFonts w:ascii="Arial" w:hAnsi="Arial"/>
                <w:sz w:val="15"/>
              </w:rPr>
            </w:pPr>
            <w:r>
              <w:rPr>
                <w:rFonts w:ascii="Arial" w:hAnsi="Arial"/>
                <w:sz w:val="15"/>
              </w:rPr>
              <w:t>V05794-P89213</w:t>
            </w:r>
          </w:p>
        </w:tc>
      </w:tr>
    </w:tbl>
    <w:p>
      <w:pPr>
        <w:pStyle w:val="TextBody"/>
        <w:rPr/>
      </w:pPr>
      <w:r>
        <w:rPr/>
      </w:r>
    </w:p>
    <w:p>
      <w:pPr>
        <w:pStyle w:val="TextBody"/>
        <w:jc w:val="center"/>
        <w:rPr>
          <w:rFonts w:ascii="Arial" w:hAnsi="Arial"/>
          <w:b/>
          <w:sz w:val="20"/>
          <w:bdr w:val="single" w:sz="12" w:space="10" w:color="000000"/>
        </w:rPr>
      </w:pPr>
      <w:r>
        <w:rPr>
          <w:rFonts w:ascii="Arial" w:hAnsi="Arial"/>
          <w:b/>
          <w:sz w:val="20"/>
          <w:bdr w:val="single" w:sz="12" w:space="10" w:color="000000"/>
        </w:rPr>
        <w:t>SL GREEN REALTY CORP.</w:t>
        <w:br/>
        <w:t>THIS PROXY IS SOLICITED ON BEHALF OF THE BOARD OF DIRECTORS</w:t>
      </w:r>
    </w:p>
    <w:p>
      <w:pPr>
        <w:pStyle w:val="TextBody"/>
        <w:jc w:val="both"/>
        <w:rPr>
          <w:rFonts w:ascii="Arial" w:hAnsi="Arial"/>
          <w:sz w:val="20"/>
          <w:bdr w:val="single" w:sz="12" w:space="10" w:color="000000"/>
        </w:rPr>
      </w:pPr>
      <w:r>
        <w:rPr>
          <w:rFonts w:ascii="Arial" w:hAnsi="Arial"/>
          <w:sz w:val="20"/>
          <w:bdr w:val="single" w:sz="12" w:space="10" w:color="000000"/>
        </w:rPr>
        <w:t>The undersigned stockholder(s) hereby appoint(s) Marc Holliday and Andrew S. Levine, or either of them, as proxies, each with the power to appoint his substitute and hereby authorize(s) them to represent and to vote as designated on the reverse side of this ballot all of the shares of Common Stock of SL GREEN REALTY CORP. that the stockholder(s) is/are entitled to vote at the Annual Meeting of Stockholders to be held at the Auditorium at One Vanderbilt, One Vanderbilt Avenue, New York, NY 10017 at 10:00 A.M., Eastern Time on Monday, June 5, 2023 and any adjournment or postponement thereof.</w:t>
      </w:r>
    </w:p>
    <w:p>
      <w:pPr>
        <w:pStyle w:val="TextBody"/>
        <w:jc w:val="both"/>
        <w:rPr>
          <w:rFonts w:ascii="Arial" w:hAnsi="Arial"/>
          <w:b/>
          <w:sz w:val="20"/>
          <w:bdr w:val="single" w:sz="12" w:space="10" w:color="000000"/>
        </w:rPr>
      </w:pPr>
      <w:r>
        <w:rPr>
          <w:rFonts w:ascii="Arial" w:hAnsi="Arial"/>
          <w:b/>
          <w:sz w:val="20"/>
          <w:bdr w:val="single" w:sz="12" w:space="10" w:color="000000"/>
        </w:rPr>
        <w:t>THIS PROXY, WHEN PROPERLY EXECUTED, WILL BE VOTED AS DIRECTED BY THE STOCKHOLDER(S) AND IN THE DISCRETION OF THE PROXYHOLDER ON ANY OTHER MATTER PROPERLY BROUGHT BEFORE THE MEETING OR ANY ADJOURNMENT OR POSTPONEMENT THEREOF. IF NO SUCH DIRECTIONS ARE MADE, THIS PROXY WILL BE VOTED FOR THE ELECTION OF THE BOARD OF DIRECTORS' NOMINEES LISTED ON THE REVERSE SIDE HEREOF, FOR PROPOSALS 2 AND 3 AND FOR 1 YEAR ON PROPOSAL 4.</w:t>
      </w:r>
    </w:p>
    <w:p>
      <w:pPr>
        <w:pStyle w:val="TextBody"/>
        <w:jc w:val="both"/>
        <w:rPr>
          <w:rFonts w:ascii="Arial" w:hAnsi="Arial"/>
          <w:b/>
          <w:sz w:val="20"/>
          <w:bdr w:val="single" w:sz="12" w:space="10" w:color="000000"/>
        </w:rPr>
      </w:pPr>
      <w:r>
        <w:rPr>
          <w:rFonts w:ascii="Arial" w:hAnsi="Arial"/>
          <w:b/>
          <w:sz w:val="20"/>
          <w:bdr w:val="single" w:sz="12" w:space="10" w:color="000000"/>
        </w:rPr>
        <w:t>PLEASE MARK, SIGN AND DATE AND RETURN THIS PROXY CARD PROMPTLY USING THE ENCLOSED REPLY ENVELOPE.</w:t>
      </w:r>
    </w:p>
    <w:p>
      <w:pPr>
        <w:pStyle w:val="TextBody"/>
        <w:jc w:val="center"/>
        <w:rPr>
          <w:rFonts w:ascii="Arial" w:hAnsi="Arial"/>
          <w:b/>
          <w:sz w:val="20"/>
          <w:bdr w:val="single" w:sz="12" w:space="10" w:color="000000"/>
        </w:rPr>
      </w:pPr>
      <w:r>
        <w:rPr>
          <w:rFonts w:ascii="Arial" w:hAnsi="Arial"/>
          <w:b/>
          <w:sz w:val="20"/>
          <w:bdr w:val="single" w:sz="12" w:space="10" w:color="000000"/>
        </w:rPr>
        <w:t>Continued and to be signed on reverse side</w:t>
      </w:r>
    </w:p>
    <w:p>
      <w:pPr>
        <w:pStyle w:val="TextBody"/>
        <w:spacing w:before="0" w:after="0"/>
        <w:rPr/>
      </w:pPr>
      <w:r>
        <w:rPr/>
      </w:r>
    </w:p>
    <w:p>
      <w:pPr>
        <w:pStyle w:val="HorizontalLine"/>
        <w:pBdr>
          <w:bottom w:val="double" w:sz="2"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arial">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image" Target="media/image236.jpeg"/><Relationship Id="rId238" Type="http://schemas.openxmlformats.org/officeDocument/2006/relationships/image" Target="media/image237.jpeg"/><Relationship Id="rId239" Type="http://schemas.openxmlformats.org/officeDocument/2006/relationships/image" Target="media/image238.jpeg"/><Relationship Id="rId240" Type="http://schemas.openxmlformats.org/officeDocument/2006/relationships/image" Target="media/image239.jpeg"/><Relationship Id="rId241" Type="http://schemas.openxmlformats.org/officeDocument/2006/relationships/image" Target="media/image240.jpeg"/><Relationship Id="rId242" Type="http://schemas.openxmlformats.org/officeDocument/2006/relationships/image" Target="media/image241.jpeg"/><Relationship Id="rId243" Type="http://schemas.openxmlformats.org/officeDocument/2006/relationships/image" Target="media/image242.jpeg"/><Relationship Id="rId244" Type="http://schemas.openxmlformats.org/officeDocument/2006/relationships/image" Target="media/image243.jpeg"/><Relationship Id="rId245" Type="http://schemas.openxmlformats.org/officeDocument/2006/relationships/image" Target="media/image244.jpeg"/><Relationship Id="rId246" Type="http://schemas.openxmlformats.org/officeDocument/2006/relationships/image" Target="media/image245.jpeg"/><Relationship Id="rId247" Type="http://schemas.openxmlformats.org/officeDocument/2006/relationships/image" Target="media/image246.jpeg"/><Relationship Id="rId248" Type="http://schemas.openxmlformats.org/officeDocument/2006/relationships/image" Target="media/image247.jpeg"/><Relationship Id="rId249" Type="http://schemas.openxmlformats.org/officeDocument/2006/relationships/image" Target="media/image248.jpeg"/><Relationship Id="rId250" Type="http://schemas.openxmlformats.org/officeDocument/2006/relationships/image" Target="media/image249.jpeg"/><Relationship Id="rId251" Type="http://schemas.openxmlformats.org/officeDocument/2006/relationships/image" Target="media/image250.jpeg"/><Relationship Id="rId252" Type="http://schemas.openxmlformats.org/officeDocument/2006/relationships/image" Target="media/image251.jpeg"/><Relationship Id="rId253" Type="http://schemas.openxmlformats.org/officeDocument/2006/relationships/image" Target="media/image252.jpeg"/><Relationship Id="rId254" Type="http://schemas.openxmlformats.org/officeDocument/2006/relationships/image" Target="media/image253.jpeg"/><Relationship Id="rId255" Type="http://schemas.openxmlformats.org/officeDocument/2006/relationships/image" Target="media/image254.jpeg"/><Relationship Id="rId256" Type="http://schemas.openxmlformats.org/officeDocument/2006/relationships/image" Target="media/image255.jpeg"/><Relationship Id="rId257" Type="http://schemas.openxmlformats.org/officeDocument/2006/relationships/image" Target="media/image256.jpeg"/><Relationship Id="rId258" Type="http://schemas.openxmlformats.org/officeDocument/2006/relationships/image" Target="media/image257.jpeg"/><Relationship Id="rId259" Type="http://schemas.openxmlformats.org/officeDocument/2006/relationships/image" Target="media/image258.jpeg"/><Relationship Id="rId260" Type="http://schemas.openxmlformats.org/officeDocument/2006/relationships/image" Target="media/image259.jpeg"/><Relationship Id="rId261" Type="http://schemas.openxmlformats.org/officeDocument/2006/relationships/image" Target="media/image260.jpeg"/><Relationship Id="rId262" Type="http://schemas.openxmlformats.org/officeDocument/2006/relationships/image" Target="media/image261.jpeg"/><Relationship Id="rId263" Type="http://schemas.openxmlformats.org/officeDocument/2006/relationships/image" Target="media/image262.jpeg"/><Relationship Id="rId264" Type="http://schemas.openxmlformats.org/officeDocument/2006/relationships/image" Target="media/image263.jpeg"/><Relationship Id="rId265" Type="http://schemas.openxmlformats.org/officeDocument/2006/relationships/image" Target="media/image264.jpeg"/><Relationship Id="rId266" Type="http://schemas.openxmlformats.org/officeDocument/2006/relationships/image" Target="media/image265.jpeg"/><Relationship Id="rId267" Type="http://schemas.openxmlformats.org/officeDocument/2006/relationships/image" Target="media/image266.jpeg"/><Relationship Id="rId268" Type="http://schemas.openxmlformats.org/officeDocument/2006/relationships/image" Target="media/image267.jpeg"/><Relationship Id="rId269" Type="http://schemas.openxmlformats.org/officeDocument/2006/relationships/image" Target="media/image268.jpeg"/><Relationship Id="rId270" Type="http://schemas.openxmlformats.org/officeDocument/2006/relationships/image" Target="media/image269.jpeg"/><Relationship Id="rId271" Type="http://schemas.openxmlformats.org/officeDocument/2006/relationships/image" Target="media/image270.jpeg"/><Relationship Id="rId272" Type="http://schemas.openxmlformats.org/officeDocument/2006/relationships/image" Target="media/image271.jpeg"/><Relationship Id="rId273" Type="http://schemas.openxmlformats.org/officeDocument/2006/relationships/image" Target="media/image272.jpeg"/><Relationship Id="rId274" Type="http://schemas.openxmlformats.org/officeDocument/2006/relationships/image" Target="media/image273.jpeg"/><Relationship Id="rId275" Type="http://schemas.openxmlformats.org/officeDocument/2006/relationships/image" Target="media/image274.jpeg"/><Relationship Id="rId276" Type="http://schemas.openxmlformats.org/officeDocument/2006/relationships/image" Target="media/image275.jpeg"/><Relationship Id="rId277" Type="http://schemas.openxmlformats.org/officeDocument/2006/relationships/image" Target="media/image276.jpeg"/><Relationship Id="rId278" Type="http://schemas.openxmlformats.org/officeDocument/2006/relationships/image" Target="media/image277.jpeg"/><Relationship Id="rId279" Type="http://schemas.openxmlformats.org/officeDocument/2006/relationships/image" Target="media/image278.jpeg"/><Relationship Id="rId280" Type="http://schemas.openxmlformats.org/officeDocument/2006/relationships/image" Target="media/image279.jpeg"/><Relationship Id="rId281" Type="http://schemas.openxmlformats.org/officeDocument/2006/relationships/image" Target="media/image280.jpeg"/><Relationship Id="rId282" Type="http://schemas.openxmlformats.org/officeDocument/2006/relationships/image" Target="media/image281.jpeg"/><Relationship Id="rId283" Type="http://schemas.openxmlformats.org/officeDocument/2006/relationships/image" Target="media/image282.jpeg"/><Relationship Id="rId284" Type="http://schemas.openxmlformats.org/officeDocument/2006/relationships/image" Target="media/image283.jpeg"/><Relationship Id="rId285" Type="http://schemas.openxmlformats.org/officeDocument/2006/relationships/image" Target="media/image284.jpeg"/><Relationship Id="rId286" Type="http://schemas.openxmlformats.org/officeDocument/2006/relationships/image" Target="media/image285.jpeg"/><Relationship Id="rId287" Type="http://schemas.openxmlformats.org/officeDocument/2006/relationships/image" Target="media/image286.jpeg"/><Relationship Id="rId288" Type="http://schemas.openxmlformats.org/officeDocument/2006/relationships/image" Target="media/image287.jpeg"/><Relationship Id="rId289" Type="http://schemas.openxmlformats.org/officeDocument/2006/relationships/image" Target="media/image288.jpeg"/><Relationship Id="rId290" Type="http://schemas.openxmlformats.org/officeDocument/2006/relationships/image" Target="media/image289.jpeg"/><Relationship Id="rId291" Type="http://schemas.openxmlformats.org/officeDocument/2006/relationships/image" Target="media/image290.jpeg"/><Relationship Id="rId292" Type="http://schemas.openxmlformats.org/officeDocument/2006/relationships/image" Target="media/image291.jpeg"/><Relationship Id="rId293" Type="http://schemas.openxmlformats.org/officeDocument/2006/relationships/image" Target="media/image292.jpeg"/><Relationship Id="rId294" Type="http://schemas.openxmlformats.org/officeDocument/2006/relationships/image" Target="media/image293.jpeg"/><Relationship Id="rId295" Type="http://schemas.openxmlformats.org/officeDocument/2006/relationships/image" Target="media/image294.jpeg"/><Relationship Id="rId296" Type="http://schemas.openxmlformats.org/officeDocument/2006/relationships/image" Target="media/image295.jpeg"/><Relationship Id="rId297" Type="http://schemas.openxmlformats.org/officeDocument/2006/relationships/image" Target="media/image296.jpeg"/><Relationship Id="rId298" Type="http://schemas.openxmlformats.org/officeDocument/2006/relationships/image" Target="media/image297.jpeg"/><Relationship Id="rId299" Type="http://schemas.openxmlformats.org/officeDocument/2006/relationships/image" Target="media/image298.jpeg"/><Relationship Id="rId300" Type="http://schemas.openxmlformats.org/officeDocument/2006/relationships/image" Target="media/image299.jpeg"/><Relationship Id="rId301" Type="http://schemas.openxmlformats.org/officeDocument/2006/relationships/image" Target="media/image300.jpeg"/><Relationship Id="rId302" Type="http://schemas.openxmlformats.org/officeDocument/2006/relationships/image" Target="media/image301.jpeg"/><Relationship Id="rId303" Type="http://schemas.openxmlformats.org/officeDocument/2006/relationships/image" Target="media/image302.jpeg"/><Relationship Id="rId304" Type="http://schemas.openxmlformats.org/officeDocument/2006/relationships/image" Target="media/image303.jpeg"/><Relationship Id="rId305" Type="http://schemas.openxmlformats.org/officeDocument/2006/relationships/image" Target="media/image304.jpeg"/><Relationship Id="rId306" Type="http://schemas.openxmlformats.org/officeDocument/2006/relationships/image" Target="media/image305.jpeg"/><Relationship Id="rId307" Type="http://schemas.openxmlformats.org/officeDocument/2006/relationships/image" Target="media/image306.jpeg"/><Relationship Id="rId308" Type="http://schemas.openxmlformats.org/officeDocument/2006/relationships/image" Target="media/image307.jpeg"/><Relationship Id="rId309" Type="http://schemas.openxmlformats.org/officeDocument/2006/relationships/image" Target="media/image308.jpeg"/><Relationship Id="rId310" Type="http://schemas.openxmlformats.org/officeDocument/2006/relationships/image" Target="media/image309.jpeg"/><Relationship Id="rId311" Type="http://schemas.openxmlformats.org/officeDocument/2006/relationships/image" Target="media/image310.jpeg"/><Relationship Id="rId312" Type="http://schemas.openxmlformats.org/officeDocument/2006/relationships/image" Target="media/image311.jpeg"/><Relationship Id="rId313" Type="http://schemas.openxmlformats.org/officeDocument/2006/relationships/image" Target="media/image312.jpeg"/><Relationship Id="rId314" Type="http://schemas.openxmlformats.org/officeDocument/2006/relationships/image" Target="media/image313.jpeg"/><Relationship Id="rId315" Type="http://schemas.openxmlformats.org/officeDocument/2006/relationships/image" Target="media/image314.jpeg"/><Relationship Id="rId316" Type="http://schemas.openxmlformats.org/officeDocument/2006/relationships/image" Target="media/image315.jpeg"/><Relationship Id="rId317" Type="http://schemas.openxmlformats.org/officeDocument/2006/relationships/image" Target="media/image316.jpeg"/><Relationship Id="rId318" Type="http://schemas.openxmlformats.org/officeDocument/2006/relationships/image" Target="media/image317.jpeg"/><Relationship Id="rId319" Type="http://schemas.openxmlformats.org/officeDocument/2006/relationships/image" Target="media/image318.jpeg"/><Relationship Id="rId320" Type="http://schemas.openxmlformats.org/officeDocument/2006/relationships/image" Target="media/image319.jpeg"/><Relationship Id="rId321" Type="http://schemas.openxmlformats.org/officeDocument/2006/relationships/image" Target="media/image320.jpeg"/><Relationship Id="rId322" Type="http://schemas.openxmlformats.org/officeDocument/2006/relationships/image" Target="media/image321.jpeg"/><Relationship Id="rId323" Type="http://schemas.openxmlformats.org/officeDocument/2006/relationships/image" Target="media/image322.jpeg"/><Relationship Id="rId324" Type="http://schemas.openxmlformats.org/officeDocument/2006/relationships/image" Target="media/image323.jpeg"/><Relationship Id="rId325" Type="http://schemas.openxmlformats.org/officeDocument/2006/relationships/image" Target="media/image324.jpeg"/><Relationship Id="rId326" Type="http://schemas.openxmlformats.org/officeDocument/2006/relationships/image" Target="media/image325.jpeg"/><Relationship Id="rId327" Type="http://schemas.openxmlformats.org/officeDocument/2006/relationships/image" Target="media/image326.jpeg"/><Relationship Id="rId328" Type="http://schemas.openxmlformats.org/officeDocument/2006/relationships/image" Target="media/image327.jpeg"/><Relationship Id="rId329" Type="http://schemas.openxmlformats.org/officeDocument/2006/relationships/image" Target="media/image328.jpeg"/><Relationship Id="rId330" Type="http://schemas.openxmlformats.org/officeDocument/2006/relationships/image" Target="media/image329.jpeg"/><Relationship Id="rId331" Type="http://schemas.openxmlformats.org/officeDocument/2006/relationships/image" Target="media/image330.jpeg"/><Relationship Id="rId332" Type="http://schemas.openxmlformats.org/officeDocument/2006/relationships/image" Target="media/image331.jpeg"/><Relationship Id="rId333" Type="http://schemas.openxmlformats.org/officeDocument/2006/relationships/image" Target="media/image332.jpeg"/><Relationship Id="rId334" Type="http://schemas.openxmlformats.org/officeDocument/2006/relationships/image" Target="media/image333.jpeg"/><Relationship Id="rId335" Type="http://schemas.openxmlformats.org/officeDocument/2006/relationships/image" Target="media/image334.jpeg"/><Relationship Id="rId336" Type="http://schemas.openxmlformats.org/officeDocument/2006/relationships/image" Target="media/image335.jpeg"/><Relationship Id="rId337" Type="http://schemas.openxmlformats.org/officeDocument/2006/relationships/image" Target="media/image336.jpeg"/><Relationship Id="rId338" Type="http://schemas.openxmlformats.org/officeDocument/2006/relationships/image" Target="media/image337.jpeg"/><Relationship Id="rId339" Type="http://schemas.openxmlformats.org/officeDocument/2006/relationships/image" Target="media/image338.jpeg"/><Relationship Id="rId340" Type="http://schemas.openxmlformats.org/officeDocument/2006/relationships/image" Target="media/image339.jpeg"/><Relationship Id="rId341" Type="http://schemas.openxmlformats.org/officeDocument/2006/relationships/image" Target="media/image340.jpeg"/><Relationship Id="rId342" Type="http://schemas.openxmlformats.org/officeDocument/2006/relationships/image" Target="media/image341.jpeg"/><Relationship Id="rId343" Type="http://schemas.openxmlformats.org/officeDocument/2006/relationships/image" Target="media/image342.jpeg"/><Relationship Id="rId344" Type="http://schemas.openxmlformats.org/officeDocument/2006/relationships/image" Target="media/image343.jpeg"/><Relationship Id="rId345" Type="http://schemas.openxmlformats.org/officeDocument/2006/relationships/image" Target="media/image344.jpeg"/><Relationship Id="rId346" Type="http://schemas.openxmlformats.org/officeDocument/2006/relationships/image" Target="media/image345.jpeg"/><Relationship Id="rId347" Type="http://schemas.openxmlformats.org/officeDocument/2006/relationships/image" Target="media/image346.jpeg"/><Relationship Id="rId348" Type="http://schemas.openxmlformats.org/officeDocument/2006/relationships/image" Target="media/image347.jpeg"/><Relationship Id="rId349" Type="http://schemas.openxmlformats.org/officeDocument/2006/relationships/image" Target="media/image348.jpeg"/><Relationship Id="rId350" Type="http://schemas.openxmlformats.org/officeDocument/2006/relationships/image" Target="media/image349.jpeg"/><Relationship Id="rId351" Type="http://schemas.openxmlformats.org/officeDocument/2006/relationships/image" Target="media/image350.jpeg"/><Relationship Id="rId352" Type="http://schemas.openxmlformats.org/officeDocument/2006/relationships/image" Target="media/image351.jpeg"/><Relationship Id="rId353" Type="http://schemas.openxmlformats.org/officeDocument/2006/relationships/image" Target="media/image352.jpeg"/><Relationship Id="rId354" Type="http://schemas.openxmlformats.org/officeDocument/2006/relationships/image" Target="media/image353.jpeg"/><Relationship Id="rId355" Type="http://schemas.openxmlformats.org/officeDocument/2006/relationships/image" Target="media/image354.jpeg"/><Relationship Id="rId356" Type="http://schemas.openxmlformats.org/officeDocument/2006/relationships/image" Target="media/image355.jpeg"/><Relationship Id="rId357" Type="http://schemas.openxmlformats.org/officeDocument/2006/relationships/image" Target="media/image356.jpeg"/><Relationship Id="rId358" Type="http://schemas.openxmlformats.org/officeDocument/2006/relationships/image" Target="media/image357.jpeg"/><Relationship Id="rId359" Type="http://schemas.openxmlformats.org/officeDocument/2006/relationships/image" Target="media/image358.jpeg"/><Relationship Id="rId360" Type="http://schemas.openxmlformats.org/officeDocument/2006/relationships/image" Target="media/image359.jpeg"/><Relationship Id="rId361" Type="http://schemas.openxmlformats.org/officeDocument/2006/relationships/image" Target="media/image360.jpeg"/><Relationship Id="rId362" Type="http://schemas.openxmlformats.org/officeDocument/2006/relationships/image" Target="media/image361.jpeg"/><Relationship Id="rId363" Type="http://schemas.openxmlformats.org/officeDocument/2006/relationships/image" Target="media/image362.jpeg"/><Relationship Id="rId364" Type="http://schemas.openxmlformats.org/officeDocument/2006/relationships/image" Target="media/image363.jpeg"/><Relationship Id="rId365" Type="http://schemas.openxmlformats.org/officeDocument/2006/relationships/image" Target="media/image364.jpeg"/><Relationship Id="rId366" Type="http://schemas.openxmlformats.org/officeDocument/2006/relationships/image" Target="media/image365.jpeg"/><Relationship Id="rId367" Type="http://schemas.openxmlformats.org/officeDocument/2006/relationships/image" Target="media/image366.jpeg"/><Relationship Id="rId368" Type="http://schemas.openxmlformats.org/officeDocument/2006/relationships/image" Target="media/image367.jpeg"/><Relationship Id="rId369" Type="http://schemas.openxmlformats.org/officeDocument/2006/relationships/image" Target="media/image368.jpeg"/><Relationship Id="rId370" Type="http://schemas.openxmlformats.org/officeDocument/2006/relationships/fontTable" Target="fontTable.xml"/><Relationship Id="rId37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47157</Words>
  <CharactersWithSpaces>306285</CharactersWithSpaces>
  <Paragraphs>5328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