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t>UNITED STATES</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32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2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10-K</w:t>
      </w:r>
    </w:p>
    <w:p>
      <w:pPr>
        <w:spacing w:after="0" w:line="306" w:lineRule="exact"/>
        <w:rPr>
          <w:sz w:val="24"/>
          <w:szCs w:val="24"/>
          <w:color w:val="auto"/>
        </w:rPr>
      </w:pPr>
    </w:p>
    <w:p>
      <w:pPr>
        <w:ind w:left="1300" w:hanging="792"/>
        <w:spacing w:after="0"/>
        <w:tabs>
          <w:tab w:leader="none" w:pos="13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00" w:hanging="759"/>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20"/>
          </w:cols>
          <w:pgMar w:left="240" w:top="522" w:right="339" w:bottom="1440" w:gutter="0" w:footer="0" w:header="0"/>
        </w:sectPr>
      </w:pPr>
    </w:p>
    <w:p>
      <w:pPr>
        <w:spacing w:after="0" w:line="77" w:lineRule="exact"/>
        <w:rPr>
          <w:sz w:val="24"/>
          <w:szCs w:val="24"/>
          <w:color w:val="auto"/>
        </w:rPr>
      </w:pPr>
    </w:p>
    <w:p>
      <w:pPr>
        <w:ind w:left="414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72" w:lineRule="exact"/>
        <w:rPr>
          <w:sz w:val="24"/>
          <w:szCs w:val="24"/>
          <w:color w:val="auto"/>
        </w:rPr>
      </w:pPr>
    </w:p>
    <w:p>
      <w:pPr>
        <w:sectPr>
          <w:pgSz w:w="11900" w:h="16838" w:orient="portrait"/>
          <w:cols w:equalWidth="0" w:num="2">
            <w:col w:w="6000" w:space="580"/>
            <w:col w:w="4740"/>
          </w:cols>
          <w:pgMar w:left="240" w:top="522" w:right="33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Commission File Number: 033-84580</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RECKSON OPERATING PARTNERSHIP, L.P.</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______________________________________________________________________</w:t>
      </w:r>
    </w:p>
    <w:p>
      <w:pPr>
        <w:sectPr>
          <w:pgSz w:w="11900" w:h="16838" w:orient="portrait"/>
          <w:cols w:equalWidth="0" w:num="1">
            <w:col w:w="11320"/>
          </w:cols>
          <w:pgMar w:left="240" w:top="522" w:right="339" w:bottom="1440" w:gutter="0" w:footer="0" w:header="0"/>
          <w:type w:val="continuous"/>
        </w:sectPr>
      </w:pPr>
    </w:p>
    <w:p>
      <w:pPr>
        <w:spacing w:after="0" w:line="156"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6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11-3233647</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5"/>
          <w:szCs w:val="15"/>
          <w:color w:val="auto"/>
        </w:rPr>
        <w:t>Identification No.)</w:t>
      </w:r>
    </w:p>
    <w:p>
      <w:pPr>
        <w:spacing w:after="0" w:line="45" w:lineRule="exact"/>
        <w:rPr>
          <w:sz w:val="24"/>
          <w:szCs w:val="24"/>
          <w:color w:val="auto"/>
        </w:rPr>
      </w:pPr>
    </w:p>
    <w:p>
      <w:pPr>
        <w:sectPr>
          <w:pgSz w:w="11900" w:h="16838" w:orient="portrait"/>
          <w:cols w:equalWidth="0" w:num="2">
            <w:col w:w="7240" w:space="720"/>
            <w:col w:w="3360"/>
          </w:cols>
          <w:pgMar w:left="240" w:top="522" w:right="33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420 Lexington Avenue, New York, NY 10170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offices—Zip Code)</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594-2700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2"/>
          <w:szCs w:val="12"/>
          <w:color w:val="auto"/>
        </w:rPr>
        <w:t>______________________________________________________________________</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12(B) OF THE ACT: </w:t>
      </w:r>
      <w:r>
        <w:rPr>
          <w:rFonts w:ascii="Arial" w:cs="Arial" w:eastAsia="Arial" w:hAnsi="Arial"/>
          <w:sz w:val="14"/>
          <w:szCs w:val="14"/>
          <w:b w:val="1"/>
          <w:bCs w:val="1"/>
          <w:color w:val="auto"/>
        </w:rPr>
        <w:t>None</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ectPr>
          <w:pgSz w:w="11900" w:h="16838" w:orient="portrait"/>
          <w:cols w:equalWidth="0" w:num="1">
            <w:col w:w="11320"/>
          </w:cols>
          <w:pgMar w:left="240" w:top="522" w:right="339" w:bottom="144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27" w:lineRule="exact"/>
        <w:rPr>
          <w:sz w:val="24"/>
          <w:szCs w:val="24"/>
          <w:color w:val="auto"/>
        </w:rPr>
      </w:pPr>
    </w:p>
    <w:p>
      <w:pPr>
        <w:sectPr>
          <w:pgSz w:w="11900" w:h="16838" w:orient="portrait"/>
          <w:cols w:equalWidth="0" w:num="2">
            <w:col w:w="7120" w:space="140"/>
            <w:col w:w="4060"/>
          </w:cols>
          <w:pgMar w:left="240" w:top="522" w:right="3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27" w:lineRule="exact"/>
        <w:rPr>
          <w:sz w:val="24"/>
          <w:szCs w:val="24"/>
          <w:color w:val="auto"/>
        </w:rPr>
      </w:pPr>
    </w:p>
    <w:p>
      <w:pPr>
        <w:sectPr>
          <w:pgSz w:w="11900" w:h="16838" w:orient="portrait"/>
          <w:cols w:equalWidth="0" w:num="2">
            <w:col w:w="7240" w:space="140"/>
            <w:col w:w="3940"/>
          </w:cols>
          <w:pgMar w:left="240" w:top="522" w:right="339" w:bottom="1440" w:gutter="0" w:footer="0" w:header="0"/>
          <w:type w:val="continuous"/>
        </w:sectPr>
      </w:pPr>
    </w:p>
    <w:p>
      <w:pPr>
        <w:spacing w:after="0" w:line="2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81"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81"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5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w:t>
      </w:r>
    </w:p>
    <w:tbl>
      <w:tblPr>
        <w:tblLayout w:type="fixed"/>
        <w:tblInd w:w="0" w:type="dxa"/>
        <w:tblCellMar>
          <w:top w:w="0" w:type="dxa"/>
          <w:left w:w="0" w:type="dxa"/>
          <w:bottom w:w="0" w:type="dxa"/>
          <w:right w:w="0" w:type="dxa"/>
        </w:tblCellMar>
      </w:tblPr>
      <w:tr>
        <w:trPr>
          <w:trHeight w:val="182"/>
        </w:trPr>
        <w:tc>
          <w:tcPr>
            <w:tcW w:w="10260" w:type="dxa"/>
            <w:vAlign w:val="bottom"/>
            <w:gridSpan w:val="3"/>
          </w:tcPr>
          <w:p>
            <w:pPr>
              <w:spacing w:after="0"/>
              <w:rPr>
                <w:sz w:val="20"/>
                <w:szCs w:val="20"/>
                <w:color w:val="auto"/>
              </w:rPr>
            </w:pPr>
            <w:r>
              <w:rPr>
                <w:rFonts w:ascii="Arial" w:cs="Arial" w:eastAsia="Arial" w:hAnsi="Arial"/>
                <w:sz w:val="14"/>
                <w:szCs w:val="14"/>
                <w:color w:val="auto"/>
              </w:rPr>
              <w:t>the definitions of “large accelerated filer,” “accelerated filer,” “smaller reporting company,” and "emerging growth company" in Rule 12b-2 of the Exchange Act.</w:t>
            </w:r>
          </w:p>
        </w:tc>
        <w:tc>
          <w:tcPr>
            <w:tcW w:w="1020" w:type="dxa"/>
            <w:vAlign w:val="bottom"/>
          </w:tcPr>
          <w:p>
            <w:pPr>
              <w:spacing w:after="0"/>
              <w:rPr>
                <w:sz w:val="15"/>
                <w:szCs w:val="15"/>
                <w:color w:val="auto"/>
              </w:rPr>
            </w:pPr>
          </w:p>
        </w:tc>
      </w:tr>
      <w:tr>
        <w:trPr>
          <w:trHeight w:val="366"/>
        </w:trPr>
        <w:tc>
          <w:tcPr>
            <w:tcW w:w="28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2920" w:type="dxa"/>
            <w:vAlign w:val="bottom"/>
          </w:tcPr>
          <w:p>
            <w:pPr>
              <w:ind w:left="1180"/>
              <w:spacing w:after="0"/>
              <w:rPr>
                <w:sz w:val="20"/>
                <w:szCs w:val="20"/>
                <w:color w:val="auto"/>
              </w:rPr>
            </w:pPr>
            <w:r>
              <w:rPr>
                <w:rFonts w:ascii="Arial" w:cs="Arial" w:eastAsia="Arial" w:hAnsi="Arial"/>
                <w:sz w:val="14"/>
                <w:szCs w:val="14"/>
                <w:color w:val="auto"/>
              </w:rPr>
              <w:t>o</w:t>
            </w:r>
          </w:p>
        </w:tc>
        <w:tc>
          <w:tcPr>
            <w:tcW w:w="4480" w:type="dxa"/>
            <w:vAlign w:val="bottom"/>
          </w:tcPr>
          <w:p>
            <w:pPr>
              <w:ind w:left="1680"/>
              <w:spacing w:after="0"/>
              <w:rPr>
                <w:sz w:val="20"/>
                <w:szCs w:val="20"/>
                <w:color w:val="auto"/>
              </w:rPr>
            </w:pPr>
            <w:r>
              <w:rPr>
                <w:rFonts w:ascii="Arial" w:cs="Arial" w:eastAsia="Arial" w:hAnsi="Arial"/>
                <w:sz w:val="14"/>
                <w:szCs w:val="14"/>
                <w:color w:val="auto"/>
              </w:rPr>
              <w:t>Accelerated filer</w:t>
            </w:r>
          </w:p>
        </w:tc>
        <w:tc>
          <w:tcPr>
            <w:tcW w:w="1020" w:type="dxa"/>
            <w:vAlign w:val="bottom"/>
          </w:tcPr>
          <w:p>
            <w:pPr>
              <w:ind w:left="960"/>
              <w:spacing w:after="0"/>
              <w:rPr>
                <w:sz w:val="20"/>
                <w:szCs w:val="20"/>
                <w:color w:val="auto"/>
              </w:rPr>
            </w:pPr>
            <w:r>
              <w:rPr>
                <w:rFonts w:ascii="Arial" w:cs="Arial" w:eastAsia="Arial" w:hAnsi="Arial"/>
                <w:sz w:val="10"/>
                <w:szCs w:val="10"/>
                <w:color w:val="auto"/>
                <w:w w:val="71"/>
              </w:rPr>
              <w:t>o</w:t>
            </w:r>
          </w:p>
        </w:tc>
      </w:tr>
      <w:tr>
        <w:trPr>
          <w:trHeight w:val="270"/>
        </w:trPr>
        <w:tc>
          <w:tcPr>
            <w:tcW w:w="28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2920" w:type="dxa"/>
            <w:vAlign w:val="bottom"/>
          </w:tcPr>
          <w:p>
            <w:pPr>
              <w:ind w:left="1180"/>
              <w:spacing w:after="0"/>
              <w:rPr>
                <w:sz w:val="20"/>
                <w:szCs w:val="20"/>
                <w:color w:val="auto"/>
              </w:rPr>
            </w:pPr>
            <w:r>
              <w:rPr>
                <w:rFonts w:ascii="Arial" w:cs="Arial" w:eastAsia="Arial" w:hAnsi="Arial"/>
                <w:sz w:val="14"/>
                <w:szCs w:val="14"/>
                <w:color w:val="auto"/>
              </w:rPr>
              <w:t>x</w:t>
            </w:r>
          </w:p>
        </w:tc>
        <w:tc>
          <w:tcPr>
            <w:tcW w:w="44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4"/>
                <w:szCs w:val="14"/>
                <w:color w:val="auto"/>
              </w:rPr>
              <w:t>Smaller Reporting Company</w:t>
            </w:r>
          </w:p>
        </w:tc>
        <w:tc>
          <w:tcPr>
            <w:tcW w:w="2920" w:type="dxa"/>
            <w:vAlign w:val="bottom"/>
          </w:tcPr>
          <w:p>
            <w:pPr>
              <w:ind w:left="1180"/>
              <w:spacing w:after="0"/>
              <w:rPr>
                <w:sz w:val="20"/>
                <w:szCs w:val="20"/>
                <w:color w:val="auto"/>
              </w:rPr>
            </w:pPr>
            <w:r>
              <w:rPr>
                <w:rFonts w:ascii="Arial" w:cs="Arial" w:eastAsia="Arial" w:hAnsi="Arial"/>
                <w:sz w:val="14"/>
                <w:szCs w:val="14"/>
                <w:color w:val="auto"/>
              </w:rPr>
              <w:t>o</w:t>
            </w:r>
          </w:p>
        </w:tc>
        <w:tc>
          <w:tcPr>
            <w:tcW w:w="4480" w:type="dxa"/>
            <w:vAlign w:val="bottom"/>
          </w:tcPr>
          <w:p>
            <w:pPr>
              <w:ind w:left="1680"/>
              <w:spacing w:after="0"/>
              <w:rPr>
                <w:sz w:val="20"/>
                <w:szCs w:val="20"/>
                <w:color w:val="auto"/>
              </w:rPr>
            </w:pPr>
            <w:r>
              <w:rPr>
                <w:rFonts w:ascii="Arial" w:cs="Arial" w:eastAsia="Arial" w:hAnsi="Arial"/>
                <w:sz w:val="14"/>
                <w:szCs w:val="14"/>
                <w:color w:val="auto"/>
              </w:rPr>
              <w:t>Emerging Growth Company</w:t>
            </w:r>
          </w:p>
        </w:tc>
        <w:tc>
          <w:tcPr>
            <w:tcW w:w="1020" w:type="dxa"/>
            <w:vAlign w:val="bottom"/>
          </w:tcPr>
          <w:p>
            <w:pPr>
              <w:ind w:left="960"/>
              <w:spacing w:after="0"/>
              <w:rPr>
                <w:sz w:val="20"/>
                <w:szCs w:val="20"/>
                <w:color w:val="auto"/>
              </w:rPr>
            </w:pPr>
            <w:r>
              <w:rPr>
                <w:rFonts w:ascii="Arial" w:cs="Arial" w:eastAsia="Arial" w:hAnsi="Arial"/>
                <w:sz w:val="10"/>
                <w:szCs w:val="10"/>
                <w:color w:val="auto"/>
                <w:w w:val="71"/>
              </w:rPr>
              <w:t>o</w:t>
            </w:r>
          </w:p>
        </w:tc>
      </w:tr>
    </w:tbl>
    <w:p>
      <w:pPr>
        <w:spacing w:after="0" w:line="20" w:lineRule="exact"/>
        <w:rPr>
          <w:sz w:val="24"/>
          <w:szCs w:val="24"/>
          <w:color w:val="auto"/>
        </w:rPr>
      </w:pPr>
    </w:p>
    <w:p>
      <w:pPr>
        <w:ind w:left="40" w:righ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o standards provided pursuant to Section 13(a) of the Exchange Act.</w:t>
      </w:r>
    </w:p>
    <w:p>
      <w:pPr>
        <w:spacing w:after="0" w:line="200" w:lineRule="exact"/>
        <w:rPr>
          <w:sz w:val="24"/>
          <w:szCs w:val="24"/>
          <w:color w:val="auto"/>
        </w:rPr>
      </w:pPr>
    </w:p>
    <w:p>
      <w:pPr>
        <w:spacing w:after="0" w:line="161" w:lineRule="exact"/>
        <w:tabs>
          <w:tab w:leader="none" w:pos="64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As of March 27, 2019, no common units of limited partnership of the Registrant were held by non-affiliates of the Registrant. There is no established trading market for such units.</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2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Definitive Proxy Statement of SL Green Realty Corp., the indirect parent of the Registrant, for its 2019 Annual Stockholders' Meeting to be filed within 120 days after the end of the Registrant's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123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ectPr>
          <w:pgSz w:w="11900" w:h="16838" w:orient="portrait"/>
          <w:cols w:equalWidth="0" w:num="1">
            <w:col w:w="11320"/>
          </w:cols>
          <w:pgMar w:left="240" w:top="52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00" w:type="dxa"/>
            <w:vAlign w:val="bottom"/>
            <w:gridSpan w:val="10"/>
          </w:tcPr>
          <w:p>
            <w:pPr>
              <w:jc w:val="center"/>
              <w:ind w:right="2920"/>
              <w:spacing w:after="0"/>
              <w:rPr>
                <w:sz w:val="20"/>
                <w:szCs w:val="20"/>
                <w:color w:val="auto"/>
              </w:rPr>
            </w:pPr>
            <w:r>
              <w:rPr>
                <w:rFonts w:ascii="Arial" w:cs="Arial" w:eastAsia="Arial" w:hAnsi="Arial"/>
                <w:sz w:val="18"/>
                <w:szCs w:val="18"/>
                <w:b w:val="1"/>
                <w:bCs w:val="1"/>
                <w:color w:val="auto"/>
                <w:w w:val="97"/>
              </w:rPr>
              <w:t>RECKSON OPERATING PARTNERSHIP, L.P.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20" w:type="dxa"/>
            <w:vAlign w:val="bottom"/>
            <w:gridSpan w:val="8"/>
          </w:tcPr>
          <w:p>
            <w:pPr>
              <w:jc w:val="center"/>
              <w:ind w:right="41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Item 1.</w:t>
            </w:r>
          </w:p>
        </w:tc>
        <w:tc>
          <w:tcPr>
            <w:tcW w:w="540" w:type="dxa"/>
            <w:vAlign w:val="bottom"/>
            <w:gridSpan w:val="4"/>
          </w:tcPr>
          <w:p>
            <w:pPr>
              <w:spacing w:after="0"/>
              <w:rPr>
                <w:sz w:val="19"/>
                <w:szCs w:val="19"/>
                <w:color w:val="auto"/>
              </w:rPr>
            </w:pPr>
          </w:p>
        </w:tc>
        <w:tc>
          <w:tcPr>
            <w:tcW w:w="640" w:type="dxa"/>
            <w:vAlign w:val="bottom"/>
            <w:tcBorders>
              <w:bottom w:val="single" w:sz="8" w:color="auto"/>
            </w:tcBorders>
          </w:tcPr>
          <w:p>
            <w:pPr>
              <w:spacing w:after="0"/>
              <w:rPr>
                <w:rFonts w:ascii="Arial" w:cs="Arial" w:eastAsia="Arial" w:hAnsi="Arial"/>
                <w:sz w:val="18"/>
                <w:szCs w:val="18"/>
                <w:color w:val="auto"/>
                <w:w w:val="84"/>
              </w:rPr>
            </w:pPr>
            <w:hyperlink w:anchor="page3">
              <w:r>
                <w:rPr>
                  <w:rFonts w:ascii="Arial" w:cs="Arial" w:eastAsia="Arial" w:hAnsi="Arial"/>
                  <w:sz w:val="18"/>
                  <w:szCs w:val="18"/>
                  <w:color w:val="auto"/>
                  <w:w w:val="84"/>
                </w:rPr>
                <w:t>Business</w:t>
              </w:r>
            </w:hyperlink>
          </w:p>
        </w:tc>
        <w:tc>
          <w:tcPr>
            <w:tcW w:w="9500" w:type="dxa"/>
            <w:vAlign w:val="bottom"/>
            <w:gridSpan w:val="17"/>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1A.</w:t>
            </w:r>
          </w:p>
        </w:tc>
        <w:tc>
          <w:tcPr>
            <w:tcW w:w="400" w:type="dxa"/>
            <w:vAlign w:val="bottom"/>
          </w:tcPr>
          <w:p>
            <w:pPr>
              <w:spacing w:after="0"/>
              <w:rPr>
                <w:sz w:val="21"/>
                <w:szCs w:val="21"/>
                <w:color w:val="auto"/>
              </w:rPr>
            </w:pPr>
          </w:p>
        </w:tc>
        <w:tc>
          <w:tcPr>
            <w:tcW w:w="900" w:type="dxa"/>
            <w:vAlign w:val="bottom"/>
            <w:tcBorders>
              <w:bottom w:val="single" w:sz="8" w:color="auto"/>
            </w:tcBorders>
            <w:gridSpan w:val="3"/>
          </w:tcPr>
          <w:p>
            <w:pPr>
              <w:spacing w:after="0"/>
              <w:rPr>
                <w:rFonts w:ascii="Arial" w:cs="Arial" w:eastAsia="Arial" w:hAnsi="Arial"/>
                <w:sz w:val="18"/>
                <w:szCs w:val="18"/>
                <w:color w:val="auto"/>
                <w:w w:val="87"/>
              </w:rPr>
            </w:pPr>
            <w:hyperlink w:anchor="page5">
              <w:r>
                <w:rPr>
                  <w:rFonts w:ascii="Arial" w:cs="Arial" w:eastAsia="Arial" w:hAnsi="Arial"/>
                  <w:sz w:val="18"/>
                  <w:szCs w:val="18"/>
                  <w:color w:val="auto"/>
                  <w:w w:val="87"/>
                </w:rPr>
                <w:t>Risk Factors</w:t>
              </w:r>
            </w:hyperlink>
          </w:p>
        </w:tc>
        <w:tc>
          <w:tcPr>
            <w:tcW w:w="9240" w:type="dxa"/>
            <w:vAlign w:val="bottom"/>
            <w:gridSpan w:val="1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10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10140" w:type="dxa"/>
            <w:vAlign w:val="bottom"/>
            <w:gridSpan w:val="18"/>
          </w:tcPr>
          <w:p>
            <w:pPr>
              <w:spacing w:after="0"/>
              <w:rPr>
                <w:rFonts w:ascii="Arial" w:cs="Arial" w:eastAsia="Arial" w:hAnsi="Arial"/>
                <w:sz w:val="18"/>
                <w:szCs w:val="18"/>
                <w:color w:val="auto"/>
              </w:rPr>
            </w:pPr>
            <w:hyperlink w:anchor="page12">
              <w:r>
                <w:rPr>
                  <w:rFonts w:ascii="Arial" w:cs="Arial" w:eastAsia="Arial" w:hAnsi="Arial"/>
                  <w:sz w:val="18"/>
                  <w:szCs w:val="18"/>
                  <w:color w:val="auto"/>
                </w:rPr>
                <w:t>Unresolved Staff Comments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25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3"/>
              </w:rPr>
              <w:t>Item 2.</w:t>
            </w:r>
          </w:p>
        </w:tc>
        <w:tc>
          <w:tcPr>
            <w:tcW w:w="100" w:type="dxa"/>
            <w:vAlign w:val="bottom"/>
            <w:tcBorders>
              <w:top w:val="single" w:sz="8" w:color="auto"/>
            </w:tcBorders>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2040" w:type="dxa"/>
            <w:vAlign w:val="bottom"/>
            <w:tcBorders>
              <w:top w:val="single" w:sz="8" w:color="auto"/>
            </w:tcBorders>
            <w:gridSpan w:val="8"/>
          </w:tcPr>
          <w:p>
            <w:pPr>
              <w:spacing w:after="0"/>
              <w:rPr>
                <w:rFonts w:ascii="Arial" w:cs="Arial" w:eastAsia="Arial" w:hAnsi="Arial"/>
                <w:sz w:val="18"/>
                <w:szCs w:val="18"/>
                <w:color w:val="auto"/>
              </w:rPr>
            </w:pPr>
            <w:hyperlink w:anchor="page13">
              <w:r>
                <w:rPr>
                  <w:rFonts w:ascii="Arial" w:cs="Arial" w:eastAsia="Arial" w:hAnsi="Arial"/>
                  <w:sz w:val="18"/>
                  <w:szCs w:val="18"/>
                  <w:color w:val="auto"/>
                </w:rPr>
                <w:t>Properties</w:t>
              </w:r>
            </w:hyperlink>
          </w:p>
        </w:tc>
        <w:tc>
          <w:tcPr>
            <w:tcW w:w="810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3"/>
              </w:rPr>
              <w:t>Item 3.</w:t>
            </w:r>
          </w:p>
        </w:tc>
        <w:tc>
          <w:tcPr>
            <w:tcW w:w="540" w:type="dxa"/>
            <w:vAlign w:val="bottom"/>
            <w:gridSpan w:val="4"/>
          </w:tcPr>
          <w:p>
            <w:pPr>
              <w:spacing w:after="0"/>
              <w:rPr>
                <w:sz w:val="21"/>
                <w:szCs w:val="21"/>
                <w:color w:val="auto"/>
              </w:rPr>
            </w:pPr>
          </w:p>
        </w:tc>
        <w:tc>
          <w:tcPr>
            <w:tcW w:w="10140" w:type="dxa"/>
            <w:vAlign w:val="bottom"/>
            <w:gridSpan w:val="18"/>
          </w:tcPr>
          <w:p>
            <w:pPr>
              <w:spacing w:after="0"/>
              <w:rPr>
                <w:rFonts w:ascii="Arial" w:cs="Arial" w:eastAsia="Arial" w:hAnsi="Arial"/>
                <w:sz w:val="18"/>
                <w:szCs w:val="18"/>
                <w:color w:val="auto"/>
              </w:rPr>
            </w:pPr>
            <w:hyperlink w:anchor="page18">
              <w:r>
                <w:rPr>
                  <w:rFonts w:ascii="Arial" w:cs="Arial" w:eastAsia="Arial" w:hAnsi="Arial"/>
                  <w:sz w:val="18"/>
                  <w:szCs w:val="18"/>
                  <w:color w:val="auto"/>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3"/>
              </w:rPr>
              <w:t>Item 4.</w:t>
            </w:r>
          </w:p>
        </w:tc>
        <w:tc>
          <w:tcPr>
            <w:tcW w:w="540" w:type="dxa"/>
            <w:vAlign w:val="bottom"/>
            <w:gridSpan w:val="4"/>
          </w:tcPr>
          <w:p>
            <w:pPr>
              <w:spacing w:after="0"/>
              <w:rPr>
                <w:sz w:val="21"/>
                <w:szCs w:val="21"/>
                <w:color w:val="auto"/>
              </w:rPr>
            </w:pPr>
          </w:p>
        </w:tc>
        <w:tc>
          <w:tcPr>
            <w:tcW w:w="10140" w:type="dxa"/>
            <w:vAlign w:val="bottom"/>
            <w:gridSpan w:val="18"/>
          </w:tcPr>
          <w:p>
            <w:pPr>
              <w:spacing w:after="0"/>
              <w:rPr>
                <w:rFonts w:ascii="Arial" w:cs="Arial" w:eastAsia="Arial" w:hAnsi="Arial"/>
                <w:sz w:val="18"/>
                <w:szCs w:val="18"/>
                <w:color w:val="auto"/>
              </w:rPr>
            </w:pPr>
            <w:hyperlink w:anchor="page18">
              <w:r>
                <w:rPr>
                  <w:rFonts w:ascii="Arial" w:cs="Arial" w:eastAsia="Arial" w:hAnsi="Arial"/>
                  <w:sz w:val="18"/>
                  <w:szCs w:val="18"/>
                  <w:color w:val="auto"/>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1"/>
        </w:trPr>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Item 5.</w:t>
            </w:r>
          </w:p>
        </w:tc>
        <w:tc>
          <w:tcPr>
            <w:tcW w:w="540" w:type="dxa"/>
            <w:vAlign w:val="bottom"/>
            <w:gridSpan w:val="4"/>
          </w:tcPr>
          <w:p>
            <w:pPr>
              <w:spacing w:after="0"/>
              <w:rPr>
                <w:sz w:val="19"/>
                <w:szCs w:val="19"/>
                <w:color w:val="auto"/>
              </w:rPr>
            </w:pPr>
          </w:p>
        </w:tc>
        <w:tc>
          <w:tcPr>
            <w:tcW w:w="8060" w:type="dxa"/>
            <w:vAlign w:val="bottom"/>
            <w:tcBorders>
              <w:bottom w:val="single" w:sz="8" w:color="auto"/>
            </w:tcBorders>
            <w:gridSpan w:val="17"/>
          </w:tcPr>
          <w:p>
            <w:pPr>
              <w:spacing w:after="0"/>
              <w:rPr>
                <w:rFonts w:ascii="Arial" w:cs="Arial" w:eastAsia="Arial" w:hAnsi="Arial"/>
                <w:sz w:val="18"/>
                <w:szCs w:val="18"/>
                <w:color w:val="auto"/>
                <w:w w:val="90"/>
              </w:rPr>
            </w:pPr>
            <w:hyperlink w:anchor="page19">
              <w:r>
                <w:rPr>
                  <w:rFonts w:ascii="Arial" w:cs="Arial" w:eastAsia="Arial" w:hAnsi="Arial"/>
                  <w:sz w:val="18"/>
                  <w:szCs w:val="18"/>
                  <w:color w:val="auto"/>
                  <w:w w:val="90"/>
                </w:rPr>
                <w:t>Market for Registrant's Common Equity, Related Stockholder Matters and Issuer Purchases of Equity Securities</w:t>
              </w:r>
            </w:hyperlink>
          </w:p>
        </w:tc>
        <w:tc>
          <w:tcPr>
            <w:tcW w:w="208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3"/>
              </w:rPr>
              <w:t>Item 6.</w:t>
            </w:r>
          </w:p>
        </w:tc>
        <w:tc>
          <w:tcPr>
            <w:tcW w:w="540" w:type="dxa"/>
            <w:vAlign w:val="bottom"/>
            <w:gridSpan w:val="4"/>
          </w:tcPr>
          <w:p>
            <w:pPr>
              <w:spacing w:after="0"/>
              <w:rPr>
                <w:sz w:val="21"/>
                <w:szCs w:val="21"/>
                <w:color w:val="auto"/>
              </w:rPr>
            </w:pPr>
          </w:p>
        </w:tc>
        <w:tc>
          <w:tcPr>
            <w:tcW w:w="10140" w:type="dxa"/>
            <w:vAlign w:val="bottom"/>
            <w:gridSpan w:val="18"/>
          </w:tcPr>
          <w:p>
            <w:pPr>
              <w:spacing w:after="0"/>
              <w:rPr>
                <w:rFonts w:ascii="Arial" w:cs="Arial" w:eastAsia="Arial" w:hAnsi="Arial"/>
                <w:sz w:val="18"/>
                <w:szCs w:val="18"/>
                <w:color w:val="auto"/>
              </w:rPr>
            </w:pPr>
            <w:hyperlink w:anchor="page20">
              <w:r>
                <w:rPr>
                  <w:rFonts w:ascii="Arial" w:cs="Arial" w:eastAsia="Arial" w:hAnsi="Arial"/>
                  <w:sz w:val="18"/>
                  <w:szCs w:val="18"/>
                  <w:color w:val="auto"/>
                </w:rPr>
                <w:t>Selected Financial Data</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Item 7.</w:t>
            </w:r>
          </w:p>
        </w:tc>
        <w:tc>
          <w:tcPr>
            <w:tcW w:w="540" w:type="dxa"/>
            <w:vAlign w:val="bottom"/>
            <w:gridSpan w:val="4"/>
          </w:tcPr>
          <w:p>
            <w:pPr>
              <w:spacing w:after="0"/>
              <w:rPr>
                <w:sz w:val="21"/>
                <w:szCs w:val="21"/>
                <w:color w:val="auto"/>
              </w:rPr>
            </w:pPr>
          </w:p>
        </w:tc>
        <w:tc>
          <w:tcPr>
            <w:tcW w:w="6440" w:type="dxa"/>
            <w:vAlign w:val="bottom"/>
            <w:tcBorders>
              <w:bottom w:val="single" w:sz="8" w:color="auto"/>
            </w:tcBorders>
            <w:gridSpan w:val="14"/>
          </w:tcPr>
          <w:p>
            <w:pPr>
              <w:spacing w:after="0"/>
              <w:rPr>
                <w:rFonts w:ascii="Arial" w:cs="Arial" w:eastAsia="Arial" w:hAnsi="Arial"/>
                <w:sz w:val="18"/>
                <w:szCs w:val="18"/>
                <w:color w:val="auto"/>
                <w:w w:val="90"/>
              </w:rPr>
            </w:pPr>
            <w:hyperlink w:anchor="page21">
              <w:r>
                <w:rPr>
                  <w:rFonts w:ascii="Arial" w:cs="Arial" w:eastAsia="Arial" w:hAnsi="Arial"/>
                  <w:sz w:val="18"/>
                  <w:szCs w:val="18"/>
                  <w:color w:val="auto"/>
                  <w:w w:val="90"/>
                </w:rPr>
                <w:t>Management's Discussion and Analysis of Financial Condition and Results of Operations</w:t>
              </w:r>
            </w:hyperlink>
          </w:p>
        </w:tc>
        <w:tc>
          <w:tcPr>
            <w:tcW w:w="3700" w:type="dxa"/>
            <w:vAlign w:val="bottom"/>
            <w:gridSpan w:val="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r>
      <w:tr>
        <w:trPr>
          <w:trHeight w:val="250"/>
        </w:trPr>
        <w:tc>
          <w:tcPr>
            <w:tcW w:w="640" w:type="dxa"/>
            <w:vAlign w:val="bottom"/>
            <w:gridSpan w:val="4"/>
          </w:tcPr>
          <w:p>
            <w:pPr>
              <w:spacing w:after="0"/>
              <w:rPr>
                <w:sz w:val="20"/>
                <w:szCs w:val="20"/>
                <w:color w:val="auto"/>
              </w:rPr>
            </w:pPr>
            <w:r>
              <w:rPr>
                <w:rFonts w:ascii="Arial" w:cs="Arial" w:eastAsia="Arial" w:hAnsi="Arial"/>
                <w:sz w:val="18"/>
                <w:szCs w:val="18"/>
                <w:color w:val="auto"/>
                <w:w w:val="92"/>
              </w:rPr>
              <w:t>Item 7A.</w:t>
            </w:r>
          </w:p>
        </w:tc>
        <w:tc>
          <w:tcPr>
            <w:tcW w:w="400" w:type="dxa"/>
            <w:vAlign w:val="bottom"/>
          </w:tcPr>
          <w:p>
            <w:pPr>
              <w:spacing w:after="0"/>
              <w:rPr>
                <w:sz w:val="21"/>
                <w:szCs w:val="21"/>
                <w:color w:val="auto"/>
              </w:rPr>
            </w:pPr>
          </w:p>
        </w:tc>
        <w:tc>
          <w:tcPr>
            <w:tcW w:w="10140" w:type="dxa"/>
            <w:vAlign w:val="bottom"/>
            <w:gridSpan w:val="18"/>
          </w:tcPr>
          <w:p>
            <w:pPr>
              <w:spacing w:after="0"/>
              <w:rPr>
                <w:rFonts w:ascii="Arial" w:cs="Arial" w:eastAsia="Arial" w:hAnsi="Arial"/>
                <w:sz w:val="18"/>
                <w:szCs w:val="18"/>
                <w:color w:val="auto"/>
              </w:rPr>
            </w:pPr>
            <w:hyperlink w:anchor="page35">
              <w:r>
                <w:rPr>
                  <w:rFonts w:ascii="Arial" w:cs="Arial" w:eastAsia="Arial" w:hAnsi="Arial"/>
                  <w:sz w:val="18"/>
                  <w:szCs w:val="18"/>
                  <w:color w:val="auto"/>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25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3"/>
              </w:rPr>
              <w:t>Item 8.</w:t>
            </w:r>
          </w:p>
        </w:tc>
        <w:tc>
          <w:tcPr>
            <w:tcW w:w="140" w:type="dxa"/>
            <w:vAlign w:val="bottom"/>
            <w:tcBorders>
              <w:top w:val="single" w:sz="8" w:color="auto"/>
            </w:tcBorders>
            <w:gridSpan w:val="3"/>
          </w:tcPr>
          <w:p>
            <w:pPr>
              <w:spacing w:after="0"/>
              <w:rPr>
                <w:sz w:val="21"/>
                <w:szCs w:val="21"/>
                <w:color w:val="auto"/>
              </w:rPr>
            </w:pPr>
          </w:p>
        </w:tc>
        <w:tc>
          <w:tcPr>
            <w:tcW w:w="400" w:type="dxa"/>
            <w:vAlign w:val="bottom"/>
          </w:tcPr>
          <w:p>
            <w:pPr>
              <w:spacing w:after="0"/>
              <w:rPr>
                <w:sz w:val="21"/>
                <w:szCs w:val="21"/>
                <w:color w:val="auto"/>
              </w:rPr>
            </w:pPr>
          </w:p>
        </w:tc>
        <w:tc>
          <w:tcPr>
            <w:tcW w:w="4300" w:type="dxa"/>
            <w:vAlign w:val="bottom"/>
            <w:tcBorders>
              <w:top w:val="single" w:sz="8" w:color="auto"/>
            </w:tcBorders>
            <w:gridSpan w:val="1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Financial Statements and Supplementary Data</w:t>
              </w:r>
            </w:hyperlink>
          </w:p>
        </w:tc>
        <w:tc>
          <w:tcPr>
            <w:tcW w:w="584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Item 9.</w:t>
            </w:r>
          </w:p>
        </w:tc>
        <w:tc>
          <w:tcPr>
            <w:tcW w:w="540" w:type="dxa"/>
            <w:vAlign w:val="bottom"/>
            <w:gridSpan w:val="4"/>
          </w:tcPr>
          <w:p>
            <w:pPr>
              <w:spacing w:after="0"/>
              <w:rPr>
                <w:sz w:val="21"/>
                <w:szCs w:val="21"/>
                <w:color w:val="auto"/>
              </w:rPr>
            </w:pPr>
          </w:p>
        </w:tc>
        <w:tc>
          <w:tcPr>
            <w:tcW w:w="6480" w:type="dxa"/>
            <w:vAlign w:val="bottom"/>
            <w:tcBorders>
              <w:bottom w:val="single" w:sz="8" w:color="auto"/>
            </w:tcBorders>
            <w:gridSpan w:val="15"/>
          </w:tcPr>
          <w:p>
            <w:pPr>
              <w:spacing w:after="0"/>
              <w:rPr>
                <w:rFonts w:ascii="Arial" w:cs="Arial" w:eastAsia="Arial" w:hAnsi="Arial"/>
                <w:sz w:val="18"/>
                <w:szCs w:val="18"/>
                <w:color w:val="auto"/>
                <w:w w:val="90"/>
              </w:rPr>
            </w:pPr>
            <w:hyperlink w:anchor="page73">
              <w:r>
                <w:rPr>
                  <w:rFonts w:ascii="Arial" w:cs="Arial" w:eastAsia="Arial" w:hAnsi="Arial"/>
                  <w:sz w:val="18"/>
                  <w:szCs w:val="18"/>
                  <w:color w:val="auto"/>
                  <w:w w:val="90"/>
                </w:rPr>
                <w:t>Changes in and Disagreements with Accountants on Accounting and Financial Disclosure</w:t>
              </w:r>
            </w:hyperlink>
          </w:p>
        </w:tc>
        <w:tc>
          <w:tcPr>
            <w:tcW w:w="366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250"/>
        </w:trPr>
        <w:tc>
          <w:tcPr>
            <w:tcW w:w="640" w:type="dxa"/>
            <w:vAlign w:val="bottom"/>
            <w:gridSpan w:val="4"/>
          </w:tcPr>
          <w:p>
            <w:pPr>
              <w:spacing w:after="0"/>
              <w:rPr>
                <w:sz w:val="20"/>
                <w:szCs w:val="20"/>
                <w:color w:val="auto"/>
              </w:rPr>
            </w:pPr>
            <w:r>
              <w:rPr>
                <w:rFonts w:ascii="Arial" w:cs="Arial" w:eastAsia="Arial" w:hAnsi="Arial"/>
                <w:sz w:val="18"/>
                <w:szCs w:val="18"/>
                <w:color w:val="auto"/>
                <w:w w:val="92"/>
              </w:rPr>
              <w:t>Item 9A.</w:t>
            </w:r>
          </w:p>
        </w:tc>
        <w:tc>
          <w:tcPr>
            <w:tcW w:w="400" w:type="dxa"/>
            <w:vAlign w:val="bottom"/>
          </w:tcPr>
          <w:p>
            <w:pPr>
              <w:spacing w:after="0"/>
              <w:rPr>
                <w:sz w:val="21"/>
                <w:szCs w:val="21"/>
                <w:color w:val="auto"/>
              </w:rPr>
            </w:pPr>
          </w:p>
        </w:tc>
        <w:tc>
          <w:tcPr>
            <w:tcW w:w="10140" w:type="dxa"/>
            <w:vAlign w:val="bottom"/>
            <w:gridSpan w:val="18"/>
          </w:tcPr>
          <w:p>
            <w:pPr>
              <w:spacing w:after="0"/>
              <w:rPr>
                <w:rFonts w:ascii="Arial" w:cs="Arial" w:eastAsia="Arial" w:hAnsi="Arial"/>
                <w:sz w:val="18"/>
                <w:szCs w:val="18"/>
                <w:color w:val="auto"/>
              </w:rPr>
            </w:pPr>
            <w:hyperlink w:anchor="page73">
              <w:r>
                <w:rPr>
                  <w:rFonts w:ascii="Arial" w:cs="Arial" w:eastAsia="Arial" w:hAnsi="Arial"/>
                  <w:sz w:val="18"/>
                  <w:szCs w:val="18"/>
                  <w:color w:val="auto"/>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250"/>
        </w:trPr>
        <w:tc>
          <w:tcPr>
            <w:tcW w:w="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2"/>
              </w:rPr>
              <w:t>Item 9B.</w:t>
            </w:r>
          </w:p>
        </w:tc>
        <w:tc>
          <w:tcPr>
            <w:tcW w:w="400" w:type="dxa"/>
            <w:vAlign w:val="bottom"/>
          </w:tcPr>
          <w:p>
            <w:pPr>
              <w:spacing w:after="0"/>
              <w:rPr>
                <w:sz w:val="21"/>
                <w:szCs w:val="21"/>
                <w:color w:val="auto"/>
              </w:rPr>
            </w:pPr>
          </w:p>
        </w:tc>
        <w:tc>
          <w:tcPr>
            <w:tcW w:w="1700" w:type="dxa"/>
            <w:vAlign w:val="bottom"/>
            <w:tcBorders>
              <w:top w:val="single" w:sz="8" w:color="auto"/>
            </w:tcBorders>
            <w:gridSpan w:val="6"/>
          </w:tcPr>
          <w:p>
            <w:pPr>
              <w:spacing w:after="0"/>
              <w:rPr>
                <w:rFonts w:ascii="Arial" w:cs="Arial" w:eastAsia="Arial" w:hAnsi="Arial"/>
                <w:sz w:val="18"/>
                <w:szCs w:val="18"/>
                <w:color w:val="auto"/>
              </w:rPr>
            </w:pPr>
            <w:hyperlink w:anchor="page73">
              <w:r>
                <w:rPr>
                  <w:rFonts w:ascii="Arial" w:cs="Arial" w:eastAsia="Arial" w:hAnsi="Arial"/>
                  <w:sz w:val="18"/>
                  <w:szCs w:val="18"/>
                  <w:color w:val="auto"/>
                </w:rPr>
                <w:t>Other Information</w:t>
              </w:r>
            </w:hyperlink>
          </w:p>
        </w:tc>
        <w:tc>
          <w:tcPr>
            <w:tcW w:w="8440" w:type="dxa"/>
            <w:vAlign w:val="bottom"/>
            <w:gridSpan w:val="1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72</w:t>
              </w:r>
            </w:hyperlink>
          </w:p>
        </w:tc>
      </w:tr>
      <w:tr>
        <w:trPr>
          <w:trHeight w:val="20"/>
        </w:trPr>
        <w:tc>
          <w:tcPr>
            <w:tcW w:w="5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1"/>
        </w:trPr>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00" w:type="dxa"/>
            <w:vAlign w:val="bottom"/>
            <w:gridSpan w:val="3"/>
          </w:tcPr>
          <w:p>
            <w:pPr>
              <w:spacing w:after="0"/>
              <w:rPr>
                <w:sz w:val="20"/>
                <w:szCs w:val="20"/>
                <w:color w:val="auto"/>
              </w:rPr>
            </w:pPr>
            <w:r>
              <w:rPr>
                <w:rFonts w:ascii="Arial" w:cs="Arial" w:eastAsia="Arial" w:hAnsi="Arial"/>
                <w:sz w:val="18"/>
                <w:szCs w:val="18"/>
                <w:color w:val="auto"/>
                <w:w w:val="86"/>
              </w:rPr>
              <w:t>Item 10.</w:t>
            </w:r>
          </w:p>
        </w:tc>
        <w:tc>
          <w:tcPr>
            <w:tcW w:w="440" w:type="dxa"/>
            <w:vAlign w:val="bottom"/>
            <w:gridSpan w:val="2"/>
          </w:tcPr>
          <w:p>
            <w:pPr>
              <w:spacing w:after="0"/>
              <w:rPr>
                <w:sz w:val="19"/>
                <w:szCs w:val="19"/>
                <w:color w:val="auto"/>
              </w:rPr>
            </w:pPr>
          </w:p>
        </w:tc>
        <w:tc>
          <w:tcPr>
            <w:tcW w:w="10140" w:type="dxa"/>
            <w:vAlign w:val="bottom"/>
            <w:gridSpan w:val="18"/>
          </w:tcPr>
          <w:p>
            <w:pPr>
              <w:spacing w:after="0"/>
              <w:rPr>
                <w:rFonts w:ascii="Arial" w:cs="Arial" w:eastAsia="Arial" w:hAnsi="Arial"/>
                <w:sz w:val="18"/>
                <w:szCs w:val="18"/>
                <w:color w:val="auto"/>
              </w:rPr>
            </w:pPr>
            <w:hyperlink w:anchor="page74">
              <w:r>
                <w:rPr>
                  <w:rFonts w:ascii="Arial" w:cs="Arial" w:eastAsia="Arial" w:hAnsi="Arial"/>
                  <w:sz w:val="18"/>
                  <w:szCs w:val="18"/>
                  <w:color w:val="auto"/>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250"/>
        </w:trPr>
        <w:tc>
          <w:tcPr>
            <w:tcW w:w="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6"/>
              </w:rPr>
              <w:t>Item 11.</w:t>
            </w:r>
          </w:p>
        </w:tc>
        <w:tc>
          <w:tcPr>
            <w:tcW w:w="440" w:type="dxa"/>
            <w:vAlign w:val="bottom"/>
            <w:gridSpan w:val="2"/>
          </w:tcPr>
          <w:p>
            <w:pPr>
              <w:spacing w:after="0"/>
              <w:rPr>
                <w:sz w:val="21"/>
                <w:szCs w:val="21"/>
                <w:color w:val="auto"/>
              </w:rPr>
            </w:pPr>
          </w:p>
        </w:tc>
        <w:tc>
          <w:tcPr>
            <w:tcW w:w="4080" w:type="dxa"/>
            <w:vAlign w:val="bottom"/>
            <w:tcBorders>
              <w:top w:val="single" w:sz="8" w:color="auto"/>
            </w:tcBorders>
            <w:gridSpan w:val="11"/>
          </w:tcPr>
          <w:p>
            <w:pPr>
              <w:spacing w:after="0"/>
              <w:rPr>
                <w:rFonts w:ascii="Arial" w:cs="Arial" w:eastAsia="Arial" w:hAnsi="Arial"/>
                <w:sz w:val="18"/>
                <w:szCs w:val="18"/>
                <w:color w:val="auto"/>
              </w:rPr>
            </w:pPr>
            <w:hyperlink w:anchor="page74">
              <w:r>
                <w:rPr>
                  <w:rFonts w:ascii="Arial" w:cs="Arial" w:eastAsia="Arial" w:hAnsi="Arial"/>
                  <w:sz w:val="18"/>
                  <w:szCs w:val="18"/>
                  <w:color w:val="auto"/>
                </w:rPr>
                <w:t>Executive Compensation</w:t>
              </w:r>
            </w:hyperlink>
          </w:p>
        </w:tc>
        <w:tc>
          <w:tcPr>
            <w:tcW w:w="6060" w:type="dxa"/>
            <w:vAlign w:val="bottom"/>
            <w:gridSpan w:val="7"/>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20"/>
        </w:trPr>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0" w:type="dxa"/>
            <w:vAlign w:val="bottom"/>
            <w:gridSpan w:val="3"/>
          </w:tcPr>
          <w:p>
            <w:pPr>
              <w:spacing w:after="0"/>
              <w:rPr>
                <w:sz w:val="20"/>
                <w:szCs w:val="20"/>
                <w:color w:val="auto"/>
              </w:rPr>
            </w:pPr>
            <w:r>
              <w:rPr>
                <w:rFonts w:ascii="Arial" w:cs="Arial" w:eastAsia="Arial" w:hAnsi="Arial"/>
                <w:sz w:val="18"/>
                <w:szCs w:val="18"/>
                <w:color w:val="auto"/>
                <w:w w:val="86"/>
              </w:rPr>
              <w:t>Item 12.</w:t>
            </w:r>
          </w:p>
        </w:tc>
        <w:tc>
          <w:tcPr>
            <w:tcW w:w="440" w:type="dxa"/>
            <w:vAlign w:val="bottom"/>
            <w:gridSpan w:val="2"/>
          </w:tcPr>
          <w:p>
            <w:pPr>
              <w:spacing w:after="0"/>
              <w:rPr>
                <w:sz w:val="21"/>
                <w:szCs w:val="21"/>
                <w:color w:val="auto"/>
              </w:rPr>
            </w:pPr>
          </w:p>
        </w:tc>
        <w:tc>
          <w:tcPr>
            <w:tcW w:w="10140" w:type="dxa"/>
            <w:vAlign w:val="bottom"/>
            <w:gridSpan w:val="18"/>
          </w:tcPr>
          <w:p>
            <w:pPr>
              <w:spacing w:after="0"/>
              <w:rPr>
                <w:rFonts w:ascii="Arial" w:cs="Arial" w:eastAsia="Arial" w:hAnsi="Arial"/>
                <w:sz w:val="18"/>
                <w:szCs w:val="18"/>
                <w:color w:val="auto"/>
              </w:rPr>
            </w:pPr>
            <w:hyperlink w:anchor="page74">
              <w:r>
                <w:rPr>
                  <w:rFonts w:ascii="Arial" w:cs="Arial" w:eastAsia="Arial" w:hAnsi="Arial"/>
                  <w:sz w:val="18"/>
                  <w:szCs w:val="18"/>
                  <w:color w:val="auto"/>
                </w:rPr>
                <w:t>Security Ownership of Certain Beneficial Owners and Management and Related Stockholder Matters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250"/>
        </w:trPr>
        <w:tc>
          <w:tcPr>
            <w:tcW w:w="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6"/>
              </w:rPr>
              <w:t>Item 13.</w:t>
            </w:r>
          </w:p>
        </w:tc>
        <w:tc>
          <w:tcPr>
            <w:tcW w:w="440" w:type="dxa"/>
            <w:vAlign w:val="bottom"/>
            <w:gridSpan w:val="2"/>
          </w:tcPr>
          <w:p>
            <w:pPr>
              <w:spacing w:after="0"/>
              <w:rPr>
                <w:sz w:val="21"/>
                <w:szCs w:val="21"/>
                <w:color w:val="auto"/>
              </w:rPr>
            </w:pPr>
          </w:p>
        </w:tc>
        <w:tc>
          <w:tcPr>
            <w:tcW w:w="7280" w:type="dxa"/>
            <w:vAlign w:val="bottom"/>
            <w:tcBorders>
              <w:top w:val="single" w:sz="8" w:color="auto"/>
            </w:tcBorders>
            <w:gridSpan w:val="16"/>
          </w:tcPr>
          <w:p>
            <w:pPr>
              <w:spacing w:after="0"/>
              <w:rPr>
                <w:rFonts w:ascii="Arial" w:cs="Arial" w:eastAsia="Arial" w:hAnsi="Arial"/>
                <w:sz w:val="18"/>
                <w:szCs w:val="18"/>
                <w:color w:val="auto"/>
              </w:rPr>
            </w:pPr>
            <w:hyperlink w:anchor="page74">
              <w:r>
                <w:rPr>
                  <w:rFonts w:ascii="Arial" w:cs="Arial" w:eastAsia="Arial" w:hAnsi="Arial"/>
                  <w:sz w:val="18"/>
                  <w:szCs w:val="18"/>
                  <w:color w:val="auto"/>
                </w:rPr>
                <w:t>Certain Relationships and Related Transactions, and Director Independence</w:t>
              </w:r>
            </w:hyperlink>
          </w:p>
        </w:tc>
        <w:tc>
          <w:tcPr>
            <w:tcW w:w="28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250"/>
        </w:trPr>
        <w:tc>
          <w:tcPr>
            <w:tcW w:w="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6"/>
              </w:rPr>
              <w:t>Item 14.</w:t>
            </w:r>
          </w:p>
        </w:tc>
        <w:tc>
          <w:tcPr>
            <w:tcW w:w="440" w:type="dxa"/>
            <w:vAlign w:val="bottom"/>
            <w:gridSpan w:val="2"/>
          </w:tcPr>
          <w:p>
            <w:pPr>
              <w:spacing w:after="0"/>
              <w:rPr>
                <w:sz w:val="21"/>
                <w:szCs w:val="21"/>
                <w:color w:val="auto"/>
              </w:rPr>
            </w:pPr>
          </w:p>
        </w:tc>
        <w:tc>
          <w:tcPr>
            <w:tcW w:w="5440" w:type="dxa"/>
            <w:vAlign w:val="bottom"/>
            <w:tcBorders>
              <w:top w:val="single" w:sz="8" w:color="auto"/>
            </w:tcBorders>
            <w:gridSpan w:val="13"/>
          </w:tcPr>
          <w:p>
            <w:pPr>
              <w:spacing w:after="0"/>
              <w:rPr>
                <w:rFonts w:ascii="Arial" w:cs="Arial" w:eastAsia="Arial" w:hAnsi="Arial"/>
                <w:sz w:val="18"/>
                <w:szCs w:val="18"/>
                <w:color w:val="auto"/>
              </w:rPr>
            </w:pPr>
            <w:hyperlink w:anchor="page74">
              <w:r>
                <w:rPr>
                  <w:rFonts w:ascii="Arial" w:cs="Arial" w:eastAsia="Arial" w:hAnsi="Arial"/>
                  <w:sz w:val="18"/>
                  <w:szCs w:val="18"/>
                  <w:color w:val="auto"/>
                </w:rPr>
                <w:t>Principal Accounting Fees and Services</w:t>
              </w:r>
            </w:hyperlink>
          </w:p>
        </w:tc>
        <w:tc>
          <w:tcPr>
            <w:tcW w:w="4700" w:type="dxa"/>
            <w:vAlign w:val="bottom"/>
            <w:gridSpan w:val="5"/>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20"/>
        </w:trPr>
        <w:tc>
          <w:tcPr>
            <w:tcW w:w="600" w:type="dxa"/>
            <w:vAlign w:val="bottom"/>
            <w:gridSpan w:val="3"/>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91"/>
        </w:trPr>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00" w:type="dxa"/>
            <w:vAlign w:val="bottom"/>
            <w:gridSpan w:val="3"/>
          </w:tcPr>
          <w:p>
            <w:pPr>
              <w:spacing w:after="0"/>
              <w:rPr>
                <w:sz w:val="20"/>
                <w:szCs w:val="20"/>
                <w:color w:val="auto"/>
              </w:rPr>
            </w:pPr>
            <w:r>
              <w:rPr>
                <w:rFonts w:ascii="Arial" w:cs="Arial" w:eastAsia="Arial" w:hAnsi="Arial"/>
                <w:sz w:val="18"/>
                <w:szCs w:val="18"/>
                <w:color w:val="auto"/>
                <w:w w:val="86"/>
              </w:rPr>
              <w:t>Item 15.</w:t>
            </w:r>
          </w:p>
        </w:tc>
        <w:tc>
          <w:tcPr>
            <w:tcW w:w="440" w:type="dxa"/>
            <w:vAlign w:val="bottom"/>
            <w:gridSpan w:val="2"/>
          </w:tcPr>
          <w:p>
            <w:pPr>
              <w:spacing w:after="0"/>
              <w:rPr>
                <w:sz w:val="19"/>
                <w:szCs w:val="19"/>
                <w:color w:val="auto"/>
              </w:rPr>
            </w:pPr>
          </w:p>
        </w:tc>
        <w:tc>
          <w:tcPr>
            <w:tcW w:w="10140" w:type="dxa"/>
            <w:vAlign w:val="bottom"/>
            <w:gridSpan w:val="18"/>
          </w:tcPr>
          <w:p>
            <w:pPr>
              <w:spacing w:after="0"/>
              <w:rPr>
                <w:rFonts w:ascii="Arial" w:cs="Arial" w:eastAsia="Arial" w:hAnsi="Arial"/>
                <w:sz w:val="18"/>
                <w:szCs w:val="18"/>
                <w:color w:val="auto"/>
              </w:rPr>
            </w:pPr>
            <w:hyperlink w:anchor="page75">
              <w:r>
                <w:rPr>
                  <w:rFonts w:ascii="Arial" w:cs="Arial" w:eastAsia="Arial" w:hAnsi="Arial"/>
                  <w:sz w:val="18"/>
                  <w:szCs w:val="18"/>
                  <w:color w:val="auto"/>
                </w:rPr>
                <w:t>Exhibits, Financial Statements and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74</w:t>
              </w:r>
            </w:hyperlink>
          </w:p>
        </w:tc>
      </w:tr>
      <w:tr>
        <w:trPr>
          <w:trHeight w:val="250"/>
        </w:trPr>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92"/>
              </w:rPr>
              <w:t>SIGNATURES</w:t>
            </w:r>
          </w:p>
        </w:tc>
        <w:tc>
          <w:tcPr>
            <w:tcW w:w="2220" w:type="dxa"/>
            <w:vAlign w:val="bottom"/>
            <w:tcBorders>
              <w:top w:val="single" w:sz="8" w:color="auto"/>
            </w:tcBorders>
            <w:gridSpan w:val="6"/>
          </w:tcPr>
          <w:p>
            <w:pPr>
              <w:spacing w:after="0"/>
              <w:rPr>
                <w:sz w:val="21"/>
                <w:szCs w:val="21"/>
                <w:color w:val="auto"/>
              </w:rPr>
            </w:pPr>
          </w:p>
        </w:tc>
        <w:tc>
          <w:tcPr>
            <w:tcW w:w="6820" w:type="dxa"/>
            <w:vAlign w:val="bottom"/>
            <w:gridSpan w:val="8"/>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77</w:t>
              </w:r>
            </w:hyperlink>
          </w:p>
        </w:tc>
      </w:tr>
    </w:tbl>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Reckson Operating Partnership, L.P., or ROP, commenced operations on June 2, 1995. The sole general partner of ROP is Wyoming Acquisition GP LLC., or WAGP, a wholly-owned subsidiary of SL Green Operating Partnership, L.P., or the Operating Partnership. The sole limited partner of ROP is the Operating Partnership. The Operating Partnership is 95.30% owned by SL Green Realty Corp., or SL Green, as of December 31, 2018. SL Green is a self-administered and self-managed real estate investment trust, and is the sole managing general partner of the Operating Partnership. Unless the context requires otherwise, all references to "we," "our," "us" and the "Company" means ROP and all entities owned or controlled by ROP.</w:t>
      </w:r>
    </w:p>
    <w:p>
      <w:pPr>
        <w:spacing w:after="0" w:line="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engaged in the acquisition, ownership, management and operation of commercial and residential real estate properties, principally office properties, and also own land for future development in the New York metropolitan area.</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SL Green and the Operating Partnership were formed in June 1997. SL Green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January 25, 2007, SL Green completed the acquisition of all of the outstanding shares of common stock of Reckson Associates Realty Corp., or RARC, our prior general partner. This transaction is referred to herein as the Merger.</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we owned the following interests in properties in the New York metropolitan area, primarily in midtown Manhattan. Our investments located outside of Manhattan are referred to as the Suburban properties: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460"/>
              <w:spacing w:after="0"/>
              <w:rPr>
                <w:sz w:val="20"/>
                <w:szCs w:val="20"/>
                <w:color w:val="auto"/>
              </w:rPr>
            </w:pPr>
            <w:r>
              <w:rPr>
                <w:rFonts w:ascii="Arial" w:cs="Arial" w:eastAsia="Arial" w:hAnsi="Arial"/>
                <w:sz w:val="16"/>
                <w:szCs w:val="16"/>
                <w:b w:val="1"/>
                <w:bCs w:val="1"/>
                <w:color w:val="auto"/>
              </w:rPr>
              <w:t>Number of</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Approximate Square</w:t>
            </w:r>
          </w:p>
        </w:tc>
        <w:tc>
          <w:tcPr>
            <w:tcW w:w="120" w:type="dxa"/>
            <w:vAlign w:val="bottom"/>
          </w:tcPr>
          <w:p>
            <w:pPr>
              <w:spacing w:after="0"/>
              <w:rPr>
                <w:sz w:val="17"/>
                <w:szCs w:val="17"/>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Weighted Average</w:t>
            </w:r>
          </w:p>
        </w:tc>
      </w:tr>
      <w:tr>
        <w:trPr>
          <w:trHeight w:val="243"/>
        </w:trPr>
        <w:tc>
          <w:tcPr>
            <w:tcW w:w="284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Properties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Feet (unaudited)</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Occupancy</w:t>
            </w:r>
            <w:r>
              <w:rPr>
                <w:rFonts w:ascii="Arial" w:cs="Arial" w:eastAsia="Arial" w:hAnsi="Arial"/>
                <w:sz w:val="21"/>
                <w:szCs w:val="21"/>
                <w:b w:val="1"/>
                <w:bCs w:val="1"/>
                <w:color w:val="auto"/>
                <w:w w:val="91"/>
                <w:vertAlign w:val="superscript"/>
              </w:rPr>
              <w:t>(1)</w:t>
            </w:r>
            <w:r>
              <w:rPr>
                <w:rFonts w:ascii="Arial" w:cs="Arial" w:eastAsia="Arial" w:hAnsi="Arial"/>
                <w:sz w:val="16"/>
                <w:szCs w:val="16"/>
                <w:b w:val="1"/>
                <w:bCs w:val="1"/>
                <w:color w:val="auto"/>
                <w:w w:val="91"/>
              </w:rPr>
              <w:t>(unaudited)</w:t>
            </w:r>
          </w:p>
        </w:tc>
      </w:tr>
      <w:tr>
        <w:trPr>
          <w:trHeight w:val="244"/>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Commercial:</w:t>
            </w: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2940" w:type="dxa"/>
            <w:vAlign w:val="bottom"/>
            <w:gridSpan w:val="2"/>
          </w:tcPr>
          <w:p>
            <w:pPr>
              <w:ind w:left="180"/>
              <w:spacing w:after="0"/>
              <w:rPr>
                <w:sz w:val="20"/>
                <w:szCs w:val="20"/>
                <w:color w:val="auto"/>
              </w:rPr>
            </w:pPr>
            <w:r>
              <w:rPr>
                <w:rFonts w:ascii="Arial" w:cs="Arial" w:eastAsia="Arial" w:hAnsi="Arial"/>
                <w:sz w:val="16"/>
                <w:szCs w:val="16"/>
                <w:color w:val="auto"/>
              </w:rPr>
              <w:t>Manhattan</w:t>
            </w: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Office</w:t>
            </w:r>
            <w:r>
              <w:rPr>
                <w:rFonts w:ascii="Arial" w:cs="Arial" w:eastAsia="Arial" w:hAnsi="Arial"/>
                <w:sz w:val="21"/>
                <w:szCs w:val="21"/>
                <w:color w:val="auto"/>
                <w:w w:val="91"/>
                <w:vertAlign w:val="superscript"/>
              </w:rPr>
              <w:t>(2)</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8,303,245</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94.9%</w:t>
            </w:r>
          </w:p>
        </w:tc>
      </w:tr>
      <w:tr>
        <w:trPr>
          <w:trHeight w:val="270"/>
        </w:trPr>
        <w:tc>
          <w:tcPr>
            <w:tcW w:w="2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60" w:type="dxa"/>
            <w:vAlign w:val="bottom"/>
            <w:gridSpan w:val="2"/>
            <w:shd w:val="clear" w:color="auto" w:fill="CCEEFF"/>
          </w:tcPr>
          <w:p>
            <w:pPr>
              <w:jc w:val="center"/>
              <w:ind w:right="100"/>
              <w:spacing w:after="0" w:line="269" w:lineRule="exact"/>
              <w:rPr>
                <w:sz w:val="20"/>
                <w:szCs w:val="20"/>
                <w:color w:val="auto"/>
              </w:rPr>
            </w:pPr>
            <w:r>
              <w:rPr>
                <w:rFonts w:ascii="Arial" w:cs="Arial" w:eastAsia="Arial" w:hAnsi="Arial"/>
                <w:sz w:val="31"/>
                <w:szCs w:val="31"/>
                <w:color w:val="auto"/>
                <w:w w:val="80"/>
                <w:vertAlign w:val="subscript"/>
              </w:rPr>
              <w:t>Retail</w:t>
            </w:r>
            <w:r>
              <w:rPr>
                <w:rFonts w:ascii="Arial" w:cs="Arial" w:eastAsia="Arial" w:hAnsi="Arial"/>
                <w:sz w:val="11"/>
                <w:szCs w:val="11"/>
                <w:color w:val="auto"/>
                <w:w w:val="80"/>
              </w:rPr>
              <w:t>(3)(4)</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364,816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99.4%</w:t>
            </w:r>
          </w:p>
        </w:tc>
      </w:tr>
      <w:tr>
        <w:trPr>
          <w:trHeight w:val="237"/>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Development/Redevelopment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160,000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96.0%</w:t>
            </w:r>
          </w:p>
        </w:tc>
      </w:tr>
      <w:tr>
        <w:trPr>
          <w:trHeight w:val="3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2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Fee Interest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8,828,061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95.1%</w:t>
            </w:r>
          </w:p>
        </w:tc>
      </w:tr>
      <w:tr>
        <w:trPr>
          <w:trHeight w:val="33"/>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30"/>
        </w:trPr>
        <w:tc>
          <w:tcPr>
            <w:tcW w:w="2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Suburban</w:t>
            </w: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Office</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1,432,400</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94.3%</w:t>
            </w:r>
          </w:p>
        </w:tc>
      </w:tr>
      <w:tr>
        <w:trPr>
          <w:trHeight w:val="237"/>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Retail</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52,000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1,484,400</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94.5%</w:t>
            </w:r>
          </w:p>
        </w:tc>
      </w:tr>
      <w:tr>
        <w:trPr>
          <w:trHeight w:val="217"/>
        </w:trPr>
        <w:tc>
          <w:tcPr>
            <w:tcW w:w="2940" w:type="dxa"/>
            <w:vAlign w:val="bottom"/>
            <w:gridSpan w:val="2"/>
          </w:tcPr>
          <w:p>
            <w:pPr>
              <w:ind w:left="280"/>
              <w:spacing w:after="0"/>
              <w:rPr>
                <w:sz w:val="20"/>
                <w:szCs w:val="20"/>
                <w:color w:val="auto"/>
              </w:rPr>
            </w:pPr>
            <w:r>
              <w:rPr>
                <w:rFonts w:ascii="Arial" w:cs="Arial" w:eastAsia="Arial" w:hAnsi="Arial"/>
                <w:sz w:val="16"/>
                <w:szCs w:val="16"/>
                <w:color w:val="auto"/>
              </w:rPr>
              <w:t>Total commercial properties</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10,312,461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95.0%</w:t>
            </w:r>
          </w:p>
        </w:tc>
      </w:tr>
      <w:tr>
        <w:trPr>
          <w:trHeight w:val="33"/>
        </w:trPr>
        <w:tc>
          <w:tcPr>
            <w:tcW w:w="2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Residential:</w:t>
            </w: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2940" w:type="dxa"/>
            <w:vAlign w:val="bottom"/>
            <w:gridSpan w:val="2"/>
          </w:tcPr>
          <w:p>
            <w:pPr>
              <w:ind w:left="180"/>
              <w:spacing w:after="0"/>
              <w:rPr>
                <w:sz w:val="20"/>
                <w:szCs w:val="20"/>
                <w:color w:val="auto"/>
              </w:rPr>
            </w:pPr>
            <w:r>
              <w:rPr>
                <w:rFonts w:ascii="Arial" w:cs="Arial" w:eastAsia="Arial" w:hAnsi="Arial"/>
                <w:sz w:val="16"/>
                <w:szCs w:val="16"/>
                <w:color w:val="auto"/>
              </w:rPr>
              <w:t>Manhattan</w:t>
            </w: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Residential</w:t>
            </w:r>
            <w:r>
              <w:rPr>
                <w:rFonts w:ascii="Arial" w:cs="Arial" w:eastAsia="Arial" w:hAnsi="Arial"/>
                <w:sz w:val="21"/>
                <w:szCs w:val="21"/>
                <w:color w:val="auto"/>
                <w:w w:val="89"/>
                <w:vertAlign w:val="superscript"/>
              </w:rPr>
              <w:t>(3)</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222,855</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96.1%</w:t>
            </w:r>
          </w:p>
        </w:tc>
      </w:tr>
      <w:tr>
        <w:trPr>
          <w:trHeight w:val="244"/>
        </w:trPr>
        <w:tc>
          <w:tcPr>
            <w:tcW w:w="29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portfolio</w:t>
            </w:r>
          </w:p>
        </w:tc>
        <w:tc>
          <w:tcPr>
            <w:tcW w:w="2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10,535,316</w:t>
            </w:r>
          </w:p>
        </w:tc>
        <w:tc>
          <w:tcPr>
            <w:tcW w:w="1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95.0%</w:t>
            </w: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w:t>
      </w:r>
    </w:p>
    <w:p>
      <w:pPr>
        <w:spacing w:after="0" w:line="28" w:lineRule="exact"/>
        <w:rPr>
          <w:sz w:val="20"/>
          <w:szCs w:val="20"/>
          <w:color w:val="auto"/>
        </w:rPr>
      </w:pPr>
    </w:p>
    <w:p>
      <w:pPr>
        <w:ind w:left="420" w:right="20" w:hanging="412"/>
        <w:spacing w:after="0" w:line="250" w:lineRule="auto"/>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one unconsolidated joint venture property at 919 Third Avenue comprised of approximately 1,454,000 square feet.</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of December 31, 2018, we owned a building at 315 West 33rd Street, also known as The Olivia, that was comprised of approximately 270,132 square feet of retail space and approximately 222,855 square feet of residential space. For the purpose of this report, we have included the building in the number of retail properties we own. However, we have included only the retail square footage in the retail approximate square footage, and have listed the balance of the square footage as residential square footage.</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two unconsolidated joint venture retail properties at 131-137 Spring Street comprised of approximately 68,342 square feet.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we also held debt, preferred equity and other investments with a book value of $2.0 billion.</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Our corporate offices are located in midtown Manhattan at 420 Lexington Avenue, New York, New York 10170. As of December 31, 2018, SL Green employed 1,058 employees, 310 of whom were employed in SL Green's corporate offices. We can be contacted at (212) 594-2700. Our indirect parent entity, SL Green, maintains a website at </w:t>
      </w:r>
      <w:r>
        <w:rPr>
          <w:rFonts w:ascii="Arial" w:cs="Arial" w:eastAsia="Arial" w:hAnsi="Arial"/>
          <w:sz w:val="17"/>
          <w:szCs w:val="17"/>
          <w:i w:val="1"/>
          <w:iCs w:val="1"/>
          <w:color w:val="auto"/>
        </w:rPr>
        <w:t>www.slgreen.com</w:t>
      </w:r>
      <w:r>
        <w:rPr>
          <w:rFonts w:ascii="Arial" w:cs="Arial" w:eastAsia="Arial" w:hAnsi="Arial"/>
          <w:sz w:val="17"/>
          <w:szCs w:val="17"/>
          <w:color w:val="auto"/>
        </w:rPr>
        <w:t>. On this website, you can obtain, free of charge, a copy of our annual reports on Form 10-K, quarterly reports on Form 10-Q, current reports on Form 8-K and amendments to those reports filed or furnished pursuant to Section 13(a) or 15(d) of the Securities Exchange Act of 1934, as amended, as soon as reasonably practicable after we file such material electronically with, or furnish it to, the Securities and Exchange Commission, or the SEC. SL Green has also made available on its website its audit committee charter, compensation committee charter, nominating and corporate governance committee charter, code of business conduct and ethics and corporate</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governance principles. We do not intend for information contained on SL Green's website to be part of this annual report on Form 10-K. The SEC maintains a website (http://www.sec.gov) that contains reports, proxy and information statements, and other information regarding issuers that file electronically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Growth Strategies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Item 1 "Business—Business and Growth Strategies" in SL Green and the Operating Partnership's Annual Report on Form 10-K for the year ended December 31, 2018 for a complete description of SL Green's business and growth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Item 1 "Business—Competition" in SL Green and the Operating Partnership's Annual Report on Form 10-K for the year ended December 31, 2018 for a complete description of SL Green's competition.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Manhattan Office Market Overview</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Item 1 "Business—Manhattan Office Market Overview" in SL Green and the Operating Partnership's Annual Report on Form 10-K for the year ended December 31, 2018 for a complete description of SL Green's Manhattan office market overview.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Segments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See Item 1 "Business—Industry Segments" in SL Green and the Operating Partnership's Annual Report on Form 10-K for the year ended December 31, 2018 for a complete description of SL Green's industry segments.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Item 1 "Business—Employees" in SL Green and the Operating Partnership's Annual Report on Form 10-K for the year ended December 31, 2018 for a complete description of SL Green's employees.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encourage you to read "Item 1A—Risk Factors" in SL Green and the Operating Partnership's Annual Report on Form 10-K for the year ended December 31, 2018.</w:t>
      </w:r>
    </w:p>
    <w:p>
      <w:pPr>
        <w:spacing w:after="0" w:line="5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Declines in the demand for office space in the New York metropolitan area, and in particular midtown Manhattan, could adversely affect the value of our real estate portfolio and our results of operations and, consequently, our ability to service current debt and make distributions to SL Green.</w:t>
      </w:r>
    </w:p>
    <w:p>
      <w:pPr>
        <w:spacing w:after="0" w:line="1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majority of our property holdings are comprised of commercial office properties located in midtown Manhattan. Our property holdings also include a number of retail properties and multifamily residential properties. As a result of the concentration of our holdings, our business is dependent on the condition of the New York metropolitan area economy in general and the market for office space in midtown Manhattan in particular. Future weakness and uncertainty in the New York metropolitan area economy could materially reduce the value of our real estate portfolio and our rental revenues, and thus adversely affect our cash flow and our ability to service current debt and make distributions to SL Green.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renew leases or relet space as leases expire.</w:t>
      </w:r>
    </w:p>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If tenants decide not to renew their leases upon expiration, we may not be able to relet the space. Even if tenants do renew or we can relet the space, the terms of a renewal or new lease, taking into account among other things, the cost of improvements to the property and leasing commissions, may be less favorable than the terms in the expired leases. As of December 31, 2018, approximately 51.2% of the rentable square feet, is scheduled to expire by December 31, 2023 at our consolidated properties and as of December 31, 2018, these leases had annualized escalated rent totaling $320.4 million. In addition, changes in space utilization by tenants may impact our ability to renew or relet space without the need to incur substantial costs in renovating or redesigning the internal configuration of the relevant property. If we are unable to promptly renew the leases or relet the space at similar rates or if we incur substantial costs in renewing or reletting the space, our cash flow and ability to service debt obligations and make distributions to SL Green could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for tenants.</w:t>
      </w:r>
    </w:p>
    <w:p>
      <w:pPr>
        <w:spacing w:after="0" w:line="12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leasing of real estate is highly competitive. The principal competitive factors are rent, location, services provided and the nature and condition of the property to be leased. We directly compete with all owners, developers and operators of similar space in the areas in which our properties are located.</w:t>
      </w:r>
    </w:p>
    <w:p>
      <w:pPr>
        <w:spacing w:after="0" w:line="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commercial office properties are concentrated in highly developed areas of the New York metropolitan area. Manhattan is the largest office market in the United States. The number of competitive office properties in the New York metropolitan area, which may be newer or better located than our properties, could have a material adverse effect on our ability to lease office space at our properties, and on the effective rents we are able to charge.</w:t>
      </w:r>
    </w:p>
    <w:p>
      <w:pPr>
        <w:spacing w:after="0" w:line="3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expiration of long term leases or operating sublease interests where we do not own a fee interest in the land could adversely affect our results of operations.</w:t>
      </w:r>
    </w:p>
    <w:p>
      <w:pPr>
        <w:spacing w:after="0" w:line="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interests in 461 Fifth Avenue, 625 Madison Avenue, 1185 Avenue of the Americas, 919 Third Avenue, and 711 Third Avenue, all in Manhattan, and 1055 Washington Boulevard, Stamford, Connecticut, are entirely or partially comprised of either long-term leasehold or operating sublease interests in the land and the improvements, rather than by ownership of fee interest in the land.</w:t>
      </w:r>
    </w:p>
    <w:p>
      <w:pPr>
        <w:spacing w:after="0" w:line="7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have the ability to acquire the fee position at 461 Fifth Avenue for a fixed price on a specific date and own 50% of the fee position at 711 Third Avenue. The fee interest in the land at 919 Third Avenue is owned by SL Green. The average remaining term of these long-term leases as of December 31, 2018, including our unilateral extension rights on each of the properties, is 37 years. Pursuant to the leasehold arrangements, we, as tenant under the operating sublease, perform the functions traditionally performed by landlords with respect to our subtenants. We are responsible for not only collecting rent from our subtenants, but also maintaining the property and paying expenses relating to the property. Annualized cash rents, including our share of joint venture annualized cash rents, from properties held through long-term leases or operating sublease interests at December 31, 2018 totaled $304.0 million, or 43.8%, of our share of total Portfolio annualized cash rent. Unless we purchase a fee interest in the underlying land or extend the terms of these leases prior to expiration, we will lose our right to operate these properties upon expiration of the leases, which could adversely affect our financial condition and results of operations. Rent payments under leasehold or operating sublease interests are adjusted, within the parameters of the contractual arrangements, at certain intervals. Rent adjustments may result in higher rents that could adversely affect our financial condition and results of operation.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five large properties for a significant portion of our revenue.</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Five of our properties, 1185 Avenue of the Americas, 625 Madison Avenue, 919 Third Avenue, 750 Third Avenue, and 810 Seventh Avenue accounted for 51.3% of our share of office portfolio annualized cash rent, and 1185 Avenue of the Americas alone accounted for 14.9% of our share of total annualized cash rent for office properties as of December 31,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revenue and cash available to service debt obligations and make distributions to SL Green would be materially adversely affected if the ground lease for the 1185 Avenue of the Americas property were terminated for any reason or if any of these properties were materially damaged or destroyed. Additionally, our revenue and cash available to service debt obligations and make distributions to SL Green would be materially adversely affected if tenants at these properties fail to timely make rental payments due to adverse financial conditions or otherwise, default under their leases or file for bankruptcy or become insolvent.</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of operations rely on major tenants and insolvency or bankruptcy of these or other tenants could adversely affect our results of operations.</w:t>
      </w:r>
    </w:p>
    <w:p>
      <w:pPr>
        <w:spacing w:after="0" w:line="5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Giving effect to leases in effect as of December 31, 2018 for consolidated properties, as of that date, our five largest tenants, based on annualized cash rent, accounted for 16.2% of our share of portfolio annualized cash rent, with three tenants, Ralph Lauren Corporation, Debevoise &amp; Plimpton, LLP and News America Incorporated, accounting for 4.7%, 3.6% and 3.0% of our share of Portfolio annualized cash rent, respectively. Our business and results of operations would be adversely affected if any of our major tenants became insolvent, declared bankruptcy, or otherwise refused to pay rent in a timely fashion or at all. In addition, if business conditions in the industries in which our tenants are concentrated deteriorate, or economic volatility has a disproportionate impact on our clients, we may experience increases in past due accounts, defaults, lower occupancy and reduced effective rents across tenants in such industries, which could in turn have an adverse effect on our business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that affect the retail environment.</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Approximately 6.4% of our Portfolio annualized cash rent is generated by retail properties, principally in Manhattan. As a result, we are subject to risks that affect the retail environment generally, including the level of consumer spending and preferences, consumer confidence, electronic retail competition and levels of tourism in Manhattan. These factors could adversely affect the financial condition of our retail tenants and the willingness of retailers to lease space in our retail properties, which could in turn have an adverse effect on our business and results of operations.</w:t>
      </w:r>
    </w:p>
    <w:p>
      <w:pPr>
        <w:spacing w:after="0" w:line="5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Adverse economic and geopolitical conditions in general and the commercial office markets in particular could have a material adverse effect on our results of operations and financial condition and, consequently, our ability to service debt obligations and make distributions to SL Green.</w:t>
      </w:r>
    </w:p>
    <w:p>
      <w:pPr>
        <w:spacing w:after="0" w:line="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business may be affected by volatility in the financial and credit markets and other market, economic, or political challenges experienced by the U.S. economy or the real estate industry as a whole, including changes in law and policy and uncertainty in connection with any such changes. Future periods of economic weakness or volatility could result in reduced access to credit and/or wider credit spreads. Economic or political uncertainty, including concern about growth and the stability of the markets generally and changes in the federal interest rates, may lead many lenders and institutional investors to reduce, and in some cases, cease to provide funding to borrowers, which could adversely affect our liquidity and financial condition, and the liquidity and financial condition of our tenants. Specifically, our business may be affected by the following conditions:</w:t>
      </w:r>
    </w:p>
    <w:p>
      <w:pPr>
        <w:spacing w:after="0" w:line="70"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job losses or declining rates of job creation which may decrease demand for our office space, causing market rental rates and property values to be negatively impacted;</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borrow on terms and conditions that we find acceptable may be limited, which could reduce our ability to pursue acquisition and development opportunities and refinance existing debt, reducing our returns from both our existing operations and our acquisition and development activities and increasing our future interest expense; and</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values of our properties, which may limit our ability to dispose of assets at attractive prices or to obtain debt financing secured by our properties and may reduce the availability of unsecured loans.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Leasing office space to smaller and growth-oriented businesses could adversely affect our cash flow and results of operations.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Some of the tenants in our properties are smaller, growth-oriented businesses that may not have the financial strength of larger corporate tenants. Smaller companies generally experience a higher rate of failure than larger businesses. Growth-oriented firms may also seek other office space as they develop. Leasing office space to these companies could create a higher risk of tenant defaults, turnover and bankruptcies, which could adversely affect our cash flow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suffer adverse consequences if our revenues decline since our operating costs do not necessarily decline in proportion to our revenue.</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earn a significant portion of our income from renting our properties. Our operating costs, however, do not necessarily fluctuate in direct proportion to changes in our rental revenue. As a result, our costs will not necessarily decline even if our revenues do. In such event, we may be forced to borrow to cover our costs, we may incur losses or we may not have cash available to service our debt and make distributions to SL Green.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for acquisitions may reduce the number of acquisition opportunities available to us and increase the costs of those acquisitions.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acquire properties when we are presented with attractive opportunities. We may face competition for acquisition opportunities from other investors, particularly those investors who are willing to incur more leverage, and this competition may adversely affect us by subjecting us to the following risks:</w:t>
      </w:r>
    </w:p>
    <w:p>
      <w:pPr>
        <w:spacing w:after="0" w:line="73"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acquire a desired property because of competition from other well-capitalized real estate investors, including publicly traded and privately held REITs, private real estate funds, domestic and foreign financial institutions, life insurance companies, sovereign wealth funds, pension trusts, partnerships and individual investors;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the purchase price for such acquisition property.</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If we are unable to successfully acquire additional properties, our ability to grow our business could be adversely affected. In addition, increases in the cost of acquisition opportunities could adversely affect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property acquisitions.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acquisition activities may not be successful if we are unable to meet required closing conditions or unable to finance acquisitions and developments of properties on favorable terms or at all. Additionally, we have less visibility into the future performance of acquired properties than properties that we have owned for a period of time, and therefore, recently acquired properties may not be as profitable as our existing portfolio.</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Further, we may acquire properties subject to both known and unknown liabilities and without any recourse, or with only limited recourse to the seller. As a result, if a liability were asserted against us arising from our ownership of those properties, we might have to pay substantial sums to settle it, which could adversely affect our cash flow. Unknown liabilities with respect to properties acquired might include:</w:t>
      </w:r>
    </w:p>
    <w:p>
      <w:pPr>
        <w:spacing w:after="0" w:line="7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by tenants, vendors or other persons arising from dealing with the former owners of the properties;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for indemnification by general partners, directors, officers and others indemnified by the former owners of the properties;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liabilities for clean-up of undisclosed environmental contamination.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losses may not be covered by insurance.</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are insured through a program administered by SL Green. SL Green maintains “all-risk” property and rental value coverage (including coverage regarding the perils of flood, earthquake and terrorism, excluding nuclear, biological, chemical, and radiological terrorism ("NBCR")), within three property insurance programs and liability insurance. Separate property and liability coverage may be purchased on a stand-alone basis for certain assets. Additionally, SL Green's captive insurance company, Belmont Insurance Company, or Belmont, provides coverage for NBCR terrorist acts above a specified trigger. Belmont's retention is reinsured by SL Green's other captive insurance company, Ticonderoga Insurance Company ("Ticonderoga"). If Belmont or Ticonderoga are required to pay a claim under SL Green's insurance policies, SL Green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SL Green or its affiliates.</w:t>
      </w:r>
    </w:p>
    <w:p>
      <w:pPr>
        <w:spacing w:after="0" w:line="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occurrence of a terrorist attack may adversely affect the value of our properties and our ability to generate cash flow.</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operations are primarily concentrated in the New York metropolitan area. In the aftermath of a terrorist attack or other acts of terrorism or war, tenants in the New York metropolitan area may choose to relocate their business to less populated, lower-profile areas of the United States that those tenants believe are not as likely to be targets of future terrorist activity. In addition, economic activity could decline as a result of terrorist attacks or other acts of terrorism or war, or the perceived threat of such acts. Each of these impacts could in turn trigger a decrease in the demand for space in the New York metropolitan area, which could increase vacancies in our properties and force us to lease our properties on less favorable terms. While under the Terrorism Risk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Insurance Program Reauthorization Act of 2015, insurers must make terrorism insurance available under their property and casualty insurance policies, this legislation does not regulate the pricing of such insurance. The absence of affordable terrorism insurance coverage may adversely affect the general real estate lending market, lending volume and the market's overall liquidity and, in the event of an uninsured loss, we could lose all or a portion of our assets. Furthermore, we may also experience increased costs in relation to security equipment and personnel. As a result, the value of our properties and our results of operations could materially decline.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possible risks associated with natural disasters and the physical effects of climate change.</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are subject to risks associated with natural disasters and the physical effects of climate change, which can include storms, hurricanes and flooding, any of which could have a material adverse effect on our properties, operations and business. To the extent climate change causes changes in weather patterns, our markets could experience increases in storm intensity and rising sea-levels. Over time, these conditions could result in declining demand for office space in our buildings or the inability of us to operate the buildings at all. Climate change may also have indirect effects on our business by increasing the cost of (or making unavailable) property insurance on terms we find acceptable, increasing the cost of energy at our properties and requiring us to expend funds as we seek to repair and protect our properties against such risks. There can be no assurance that climate change will not have a material adverse effect on our properties, operations or business.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financing, financial covenants, degree of leverage, and increases in interest rates could adversely affect our economic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Scheduled debt payments could adversely affect our results of operations.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Cash flow could be insufficient to make distributions to SL Green and meet the payments of principal and interest required under our current mortgages and our indebtedness outstanding at our joint venture properties. The total principal amount of our outstanding consolidated indebtedness was $0.6 billion as of December 31, 2018, consisting of $615.6 million of non-recourse mortgages and loans payable on certain of our properties and debt and preferred equity investments. As of December 31, 2018, the total principal amount of non-recourse indebtedness outstanding at our unconsolidated joint venture properties was $641.0 million.</w:t>
      </w:r>
    </w:p>
    <w:p>
      <w:pPr>
        <w:spacing w:after="0" w:line="8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If a property is mortgaged to secure payment of indebtedness and we are unable to meet mortgage payments, the mortgagee could foreclose on the property, resulting in loss of income and asset value. Foreclosure on mortgaged properties could trigger defaults under the terms of our other financings, making such financings at risk of being declared immediately payable, and would have a negative impact on our financial condition and results of operations.</w:t>
      </w:r>
    </w:p>
    <w:p>
      <w:pPr>
        <w:spacing w:after="0" w:line="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may not be able to refinance existing indebtedness, which may require substantial principal payments at maturity. At the present time, we intend to repay, refinance, or exercise extension options on the debt associated with our properties on or prior to their respective maturity dates. At the time of refinancing, prevailing interest rates or other factors, such as the possible reluctance of lenders to make commercial real estate loans, may result in higher interest rates. Increased interest expense on the extended or refinanced debt would adversely affect cash flow and our ability to service debt obligations and make distributions to SL Green. If any principal payments due at maturity cannot be repaid, refinanced or extended, our cash flow will not be sufficient to repay maturing or accelerated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 could adversely affect our ability to conduct our business.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mortgages on our properties generally contain customary negative covenants that limit our ability to further mortgage the properties, to enter into material leases without lender consent or materially modify existing leases, among other things. These restrictions could adversely affect operations (including reducing our flexibility and our ability to incur additional debt), our ability to pay debt obligations and our ability to make distributions to SL Green.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interest rates could adversely affect our cash flow.</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Advances under our master repurchase agreements bear interest at a variable rate. Our consolidated variable rate borrowings totaled $365.6 million at December 31, 2018. In addition, we could increase the amount of our outstanding variable rate debt in the future. We may incur indebtedness in the future that also bears interest at a variable rate or may be required to refinance our debt at higher rates. At December 31, 2018, a hypothetical 100 basis point increase in interest rates across each of our consolidated variable interest rate instruments, including our variable rate debt and preferred equity investments which mitigate our exposure to interest rate changes, would decrease our net annual interest costs by $9.3 million. Our joint ventures may also incur variable rate debt and face similar risks. Accordingly, increases in interest rates could adversely affect our results of operations and financial conditions and our ability to continue to service debt and make distributions to SL Green.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potential phasing out of LIBOR after 2021 may affect our financial results.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chief executive of the United Kingdom Financial Conduct Authority ("FCA"), which regulates LIBOR, has announced that the FCA intends to stop compelling banks to submit rates for the calculation of LIBOR after 2021. It is not possible to predict the effect of these changes or the establishment of alternative reference rates.</w:t>
      </w:r>
    </w:p>
    <w:p>
      <w:pPr>
        <w:spacing w:after="0" w:line="7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Alternative Reference Rate Committee ("ARRC"), a committee convened by the Federal Reserve that includes major market participants, and on which the SEC staff and other regulators participate, has proposed an alternative rate to replace U.S. Dollar LIBOR, the Secured Overnight Financing Rate (“SOFR”). Any changes announced by the FCA, ARRC, other regulators or any other successor governance or oversight body, or future changes adopted by such body, in the method pursuant to which U.S. Dollar LIBOR, SOFR, or any other alternative rates are determined may result in a sudden or prolonged increase or decrease in the reported LIBOR rates. If that were to occur, the levels of interest payments we incur and interest payments we receive may change. In addition, although certain of our LIBOR based obligations and investments provide for alternative methods of calculating the interest rate if LIBOR is not reported, uncertainty as to the extent and manner of future changes may result in interest rates and/or payments that are higher than, lower than or that do not otherwise correlate over time with the interest rates and/or payments that would have been made on our obligations if LIBOR rate was available in its current form.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results of operations.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interest rate hedge instruments we use to manage some of our exposure to interest rate volatility involve risk and counterparties may fail to honor their obligations under these arrangements. In addition, these arrangements may not be effective in reducing our exposure to interest rate changes and when existing interest rate hedges terminate, we may incur increased costs in putting in place further interest rate hedges. Failure to hedge effectively against interest rate changes may adversely affect our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our leverage could adversely affect our cash flow.</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SL Green considers its business as a whole in determining the amount of leverage for itself and its subsidiaries, including us. SL Green also considers other factors in making decisions regarding the incurrence of indebtedness, such as the purchase price of properties to be acquired with debt financing, the estimated market value of our properties and the ability of particular properties and our business as a whole to generate cash flow to cover expected debt service. Our organizational documents do not contain any limitation on the amount of indebtedness we may incur. As a result, if we become more highly leveraged, an increase in debt service could adversely affect cash available for distributions to SL Green and could increase the risk of default on our indebtedness.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preferred equity investments could cause us to incur expenses, which could adversely affect our results of operations.</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held first mortgages, mezzanine loans, junior participations and preferred equity interests with an aggregate net book value of $2.0 billion at December 31, 2018. Some of these instruments may be recourse to their sponsors, while others are limited to the collateral securing the loan. In the event of a default under these obligations, we may have to take possession of the collateral securing these interests. Borrowers may contest enforcement of foreclosure or other remedies, seek bankruptcy protection against such enforcement and/or bring claims for lender liability in response to actions to enforce their obligations to us. Declines in the value of the property may prevent us from realizing an amount equal to our investment upon foreclosure or realization even if we make substantial improvements or repairs to the underlying real estate in order to maximize such property's investment potential. In addition, we may invest in mortgage-backed securities and other marketable securities.</w:t>
      </w:r>
    </w:p>
    <w:p>
      <w:pPr>
        <w:spacing w:after="0" w:line="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maintain and regularly evaluate the need for reserves to protect against potential future losses. Our reserves reflect management's judgment of the probability and severity of losses and the value of the underlying collateral. We cannot be certain that our judgment will prove to be correct and that our reserves will be adequate over time to protect against future losses because of unanticipated adverse changes in the economy or events adversely affecting specific properties, assets, tenants, borrowers, industries in which our tenants and borrowers operate or markets in which our tenants and borrowers or their properties are located. If our reserves for credit losses prove inadequate, we could suffer losses which would have a material adverse effect on our financial performance and our ability to service debt obligations and make distributions to SL Green.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investments could be adversely affected by our lack of sole decision-making authority and reliance upon a co-venturer's financial condition.</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co-invest with third parties through partnerships, joint ventures, co-tenancies or other structures, and by acquiring non-controlling interests in, or sharing responsibility for managing the affairs of, a property, partnership, joint venture, co-tenancy or other entity. Therefore, we may not be in a position to exercise sole decision-making authority regarding such property, partnership, joint venture or other entity. Investments in partnerships, joint ventures, or other entities may involve risks not present were a third party not involved, including the possibility that our partners, co-tenants or co-venturers might become bankrupt or otherwise fail to fund their share of required capital contributions. Additionally, our partners or co-venturers might at any time have economic or other business interests or goals which are competitive or inconsistent with our business interests or goals. These investments may also have the potential risk of impasses on decisions such as a sale, because neither we, nor the partner, co-tenant or co-venturer would have full control over the partnership or joint venture. In addition, we may in specific circumstances be liable for the actions of our third-party partners, co-tenants or co-venturers. As of December 31, 2018, we had an aggregate cost basis in these joint ventures totaling $339.3 million.</w:t>
      </w:r>
    </w:p>
    <w:p>
      <w:pPr>
        <w:spacing w:after="0" w:line="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of our joint venture agreements contain terms in favor of our partners that could have an adverse effect on the value of our investments in the joint ventures.</w:t>
      </w:r>
    </w:p>
    <w:p>
      <w:pPr>
        <w:spacing w:after="0" w:line="5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Each of our joint venture agreements has been individually negotiated with our partner in the joint venture and, in some cases, we have agreed to terms that are more favorable to our partner in the joint venture than to us. For example, our partner may be entitled to a specified portion of the profits of the joint venture before we are entitled to any portion of such profits. We may also enter into similar arrangements in the future. These rights may permit our partner in a particular joint venture to obtain a greater benefit from the value or profits of the joint venture than us, which could have an adverse effect on the value of our investment in the joint venture and on our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costs to comply with governmental laws and regulations.</w:t>
      </w:r>
    </w:p>
    <w:p>
      <w:pPr>
        <w:spacing w:after="0" w:line="12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are subject to various federal, state and local environmental and health and safety laws that can impose liability on current and former property owners or operators for the clean-up of certain hazardous substances released on a property or of contamination at any facility (e.g., a landfill) to which we have sent hazardous substances for treatment or disposal, without regard to fault or whether the release or disposal was in compliance with law. Being held responsible for such a clean-up could result in significant cost to us and have a material adverse effect on our financial condition and results of operations.</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properties may be subject to risks relating to current or future laws, including laws benefiting disabled persons, such as the Americans with Disabilities Act, or ADA, and state or local zoning, construction or other regulations. Compliance with such laws may require significant property modifications in the future, which could be costly and non-compliance could result in fines being levied against us in the future. Such costs could have an adverse impact on our cash flows and ability to make distributions to SL Green.</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Compliance with changing or new regulations applicable to corporate governance and public disclosure may result in additional expenses, or affect our operations.</w:t>
      </w:r>
    </w:p>
    <w:p>
      <w:pPr>
        <w:spacing w:after="0" w:line="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Changing or new laws, regulations and standards relating to corporate governance and public disclosure, including SEC regulations and NYSE rules, can create uncertainty for public companies. These changed or new laws, regulations and standards are subject to varying interpretations in many cases due to their lack of specificity.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are committed to maintaining high standards of corporate governance and public disclosure. If our efforts to comply with new or changed laws, regulations and standards differ from the activities intended by regulatory or governing bodies due to ambiguities related to practice, our reputation may be harmed.</w:t>
      </w:r>
    </w:p>
    <w:p>
      <w:pPr>
        <w:spacing w:after="0" w:line="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continued efforts to comply with Section 404 of the Sarbanes-Oxley Act of 2002 and the related regulations regarding our required assessment of our internal controls over financial reporting and our external auditors' audit of that assessment have required the commitment of significant financial and managerial resources. We expect these efforts to require the continued commitment of significant resources. Further, our directors, president and treasurer could face an increased risk of personal liability in connection with the performance of their duties. As a result, we may have difficulty attracting and retaining qualified directors and executive officers, which could harm our business.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external sources of capital.</w:t>
      </w:r>
    </w:p>
    <w:p>
      <w:pPr>
        <w:spacing w:after="0" w:line="12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need a substantial amount of capital to operate and grow our business. This need is exacerbated by the distribution requirements imposed on our parent company SL Green for it to qualify as a REIT. We therefore rely on third-party sources of capital, which may not be available on favorable terms or at all. Our access to third-party sources of capital depends on a number of things, including the market's perception of our growth potential and our current and potential future earnings. In addition, we anticipate raising money in the public debt markets with some regularity and our ability to do so will depend upon the general conditions prevailing in these markets. At any time, conditions may exist which effectively prevent us, or REITs in general, from accessing these markets. Moreover, additional debt financing may substantially increase our leverage.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property taxes could increase due to reassessment or property tax rate changes.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required to pay real property taxes in respect of our properties and such taxes may increase as our properties are reassessed by taxing authorities or as property tax rates change. An increase in the assessed value of our properties or our property tax rates could adversely impact our financial condition, results of operations and our ability to satisfy our debt service obligations and to make distributions to SL Green.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potential conflicts of interest.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Members of management may have a conflict of interest over whether to enforce terms of agreements with entities which Mr. Green, directly or indirectly, has an affiliation.</w:t>
      </w:r>
    </w:p>
    <w:p>
      <w:pPr>
        <w:spacing w:after="0" w:line="6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Alliance Building Services, or Alliance, and its affiliates are partially owned by Gary Green, a son of Stephen L. Green, who serves as a member and as the chairman emeritus of SL Green's board of directors, and provide services to certain properties owned by us.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SL Green and its tenants accounted for 24.89% of Alliance's 2018 estimated total revenue, based on information provided to us by Alliance. While we believe that the contracts pursuant to which these services are provided were the result of arm's length negotiations, there can be no assurance that the terms of such agreements, or dealings between the parties during the performance of such agreements, will be as favorable to us as those which could be obtained from unaffiliated third parties providing comparable services under similar circumstances.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Green's failure to qualify as a REIT would be costly and would have a significant effect on the value of our securities.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believe that SL Green has operated in a manner to qualify as a REIT for federal income tax purposes and SL Green intends to continue to so operate. Many of the REIT compliance requirements, however, are highly technical and complex. The determination that SL Green is a REIT requires an analysis of factual matters and circumstances. These matters, some of which are not totally within SL Green’s control, can affect SL Green's qualification as a REIT. For example, to qualify as a REIT, at least 95% of SL Green’s gross income must come from designated sources that are listed in the REIT tax laws. SL Green is also required to distribute to its stockholders at least 90% of its REIT taxable income excluding capital gains. The fact that SL Green holds its assets through the Operating Partnership and its subsidiaries further complicates the application of the REIT requirements. Even a technical or inadvertent mistake could jeopardize SL Green’s REIT status. Furthermore, Congress and the Internal Revenue Service, or the IRS, might make changes to the tax laws and regulations that make it more difficult, or impossible, for SL Green to remain qualified as a REIT.</w:t>
      </w:r>
    </w:p>
    <w:p>
      <w:pPr>
        <w:spacing w:after="0" w:line="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If SL Green fails to qualify as a REIT, the funds available for distribution to its stockholders would be substantially reduced as it would not be allowed a deduction for dividends paid to its stockholders in computing its taxable income and would be subject to federal income tax at regular corporate rates and possibly increased state and local taxes.</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Also, unless the IRS grants it relief under specific statutory provisions, SL Green would remain disqualified as a REIT for four years following the year in which it first failed to qualify. If SL Green failed to qualify as a REIT, SL Green would have to pay significant income taxes and we would therefore have less money available for investments or to service our debt obligations. This would have a significant adverse effect on the value of our securities. In addition, the REIT tax laws would no longer obligate SL Green to make any distributions to stockholders. As a result of all these factors, if SL Green fails to qualify as a REIT, this could impair our ability to expand our business and raise capital.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U.S. federal income tax laws could materially and adversely affect us and the value of our securities.</w:t>
      </w:r>
    </w:p>
    <w:p>
      <w:pPr>
        <w:spacing w:after="0" w:line="12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Tax Cuts and Jobs Act (the ‘‘Tax Act’’), signed into law on December 22, 2017, made substantial changes to the Code. Among those changes are a significant permanent reduction in the generally applicable corporate tax rate, changes in the taxation of individuals and other non-corporate taxpayers that generally but not universally reduce their taxes on a temporary basis subject to ‘‘sunset’’ provisions, the elimination or modification of various currently allowed deductions (including substantial limitations on the deductibility of interest and, in the case of individuals, the deduction for personal state and local taxes), and preferential rates of taxation on most ordinary REIT dividends and certain business income derived by non-corporate taxpayers in comparison to other ordinary income recognized by such taxpayers. The Tax Act also imposes certain additional limitations on the deduction of net operating losses, which may in the future cause SL Green to be required to make distributions that will be taxable to its stockholders to the extent its current or accumulated earnings and profits in order to comply with the annual REIT distribution requirements. The effect of these, and the many other, changes made in the Tax Act is highly uncertain, in terms of their effect on the value of our securities and the value of our assets or market conditions generally. Furthermore, many of the provisions of the Tax Act will require guidance through the issuance of Treasury regulations in order to assess their effect. There may be a substantial delay before such regulations are promulgated, increasing the uncertainty as to the ultimate effect of the statutory amendments on us. Technical corrections to the Tax Act were proposed in 2018, and additional corrections may be proposed in 2019, the effect of which cannot be predicted and may be adverse to us, our parent company or our parent company's stockholders.</w:t>
      </w:r>
    </w:p>
    <w:p>
      <w:pPr>
        <w:spacing w:after="0" w:line="8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Additionally, the rules dealing with U.S. federal income taxation are continually under review by Congress, the IRS, and the U.S. Department of the Treasury. Any such changes could have an adverse effect on the value of our securities or on the market value or the resale potential of our assets.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personnel could harm our operations and the value of our securities.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dependent on the efforts of Marc Holliday, the chairman and chief executive officer of SL Green and president of WAGP, and Andrew W. Mathias, the president of SL Green. These officers have employment agreements which expire in January 2022 and December 2021, respectively. A loss of the services of either of these individuals could adversely affect our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operations would suffer in the event of system failures or cyber security attacks.</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Despite system redundancy, the implementation of security measures and the existence of a disaster recovery plan for our internal information technology systems, our systems are vulnerable to a number of risks including energy blackouts, natural disasters, terrorism, war, telecommunication failures and cyber attacks and intrusions, such as computer viruses, malware, attachments to e-mails, intrusion and unauthorized access, including from persons inside our organization or from persons outside our organization with access to our systems. The risk of a security breach or disruption, particularly through cyber attacks and intrusions, including by computer hackers, foreign governments and cyber terrorists, has generally increased as the number, intensity and sophistication of attempted attacks and instructions from around the world have increased. Our systems are critical to the operation of our business and any system failure, accident or security breach that causes interruptions in our operations could result in a material disruption to our business. We may also incur additional costs to remedy damages caused by such disruptions. Although we make efforts to maintain the security and integrity of our systems and have implemented various measures to manage the risk of a security breach or disruption, there can be no assurance that our security efforts and measures will be effective or that attempted security breaches or disruptions would not be successful or damaging. Any compromise of our security could also result in a violation of applicable privacy and other laws, significant legal and financial exposure, damage to our reputation, loss or misuse of the information (which may be confidential, proprietary and/or commercially sensitive in nature) and a loss of confidence in our security measures, which could harm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may prove inaccurate.</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Operations—Forward-looking Information," for additional disclosure regarding forward-looking statements.</w:t>
      </w:r>
    </w:p>
    <w:p>
      <w:pPr>
        <w:spacing w:after="0" w:line="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we did not have any unresolved comments with the staff of the SEC.</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December 31, 2018, we owned or held interests in 15 commercial office buildings encompassing approximately 8.3 million rentable square feet, located primarily in midtown Manhattan. Many of these buildings include some amount of retail space on the lower floors, as well as basement/storage space. As of December 31, 2018, our portfolio also included ownership interests in 6 commercial office buildings encompassing approximately 1.4 million rentable square feet located in Brooklyn, Westchester County, and Connecticut. We refer to these buildings as our Suburban properties. Some of these buildings also include a small amount of retail space on the lower floors, as well as basement/storage space.</w:t>
      </w:r>
    </w:p>
    <w:p>
      <w:pPr>
        <w:spacing w:after="0" w:line="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we also owned in Manhattan, a mixed-use residential and prime retail property encompassing approximately 492,987 square feet. As of December 31, 2018, we also held debt, preferred equity, and other investments with a book value of $2.0 billion.</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tables set forth certain information with respect to each of the Manhattan and Suburban office, prime retail, and residential properties and land interest in the portfolio as of December 31, 2018:</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Percent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Annualized</w:t>
            </w:r>
          </w:p>
        </w:tc>
      </w:tr>
      <w:tr>
        <w:trPr>
          <w:trHeight w:val="135"/>
        </w:trPr>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Percent of</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of Portfolio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Cash Rent Per</w:t>
            </w:r>
          </w:p>
        </w:tc>
      </w:tr>
      <w:tr>
        <w:trPr>
          <w:trHeight w:val="135"/>
        </w:trPr>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Approximate</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Portfolio</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Annualized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Annualized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4"/>
              </w:rPr>
              <w:t>Leased</w:t>
            </w:r>
          </w:p>
        </w:tc>
      </w:tr>
      <w:tr>
        <w:trPr>
          <w:trHeight w:val="135"/>
        </w:trPr>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Year Built/</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Rentable</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Rentable</w:t>
            </w:r>
          </w:p>
        </w:tc>
        <w:tc>
          <w:tcPr>
            <w:tcW w:w="12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Percent</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Cash</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Cash</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Square</w:t>
            </w:r>
          </w:p>
        </w:tc>
      </w:tr>
      <w:tr>
        <w:trPr>
          <w:trHeight w:val="174"/>
        </w:trPr>
        <w:tc>
          <w:tcPr>
            <w:tcW w:w="24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Renovated</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SubMarket</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Square Feet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Square Feet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Occupied </w:t>
            </w:r>
            <w:r>
              <w:rPr>
                <w:rFonts w:ascii="Arial" w:cs="Arial" w:eastAsia="Arial" w:hAnsi="Arial"/>
                <w:sz w:val="8"/>
                <w:szCs w:val="8"/>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4"/>
              </w:rPr>
              <w:t xml:space="preserve">Rent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Rent</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Tenants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1"/>
              </w:rPr>
              <w:t xml:space="preserve">Foot </w:t>
            </w:r>
            <w:r>
              <w:rPr>
                <w:rFonts w:ascii="Arial" w:cs="Arial" w:eastAsia="Arial" w:hAnsi="Arial"/>
                <w:sz w:val="8"/>
                <w:szCs w:val="8"/>
                <w:b w:val="1"/>
                <w:bCs w:val="1"/>
                <w:color w:val="auto"/>
                <w:w w:val="91"/>
              </w:rPr>
              <w:t>(3)</w:t>
            </w:r>
          </w:p>
        </w:tc>
      </w:tr>
      <w:tr>
        <w:trPr>
          <w:trHeight w:val="257"/>
        </w:trPr>
        <w:tc>
          <w:tcPr>
            <w:tcW w:w="2780" w:type="dxa"/>
            <w:vAlign w:val="bottom"/>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MANHATTAN OFFICE PROPERTIES</w:t>
            </w: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2"/>
        </w:trPr>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rPr>
              <w:t>"Same Store"</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8"/>
        </w:trPr>
        <w:tc>
          <w:tcPr>
            <w:tcW w:w="17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110 East 42nd Street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1921</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Grand Central</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215,400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2.2%</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86"/>
              </w:rPr>
              <w:t>79.2%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10,170,723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59.28</w:t>
            </w:r>
          </w:p>
        </w:tc>
      </w:tr>
      <w:tr>
        <w:trPr>
          <w:trHeight w:val="262"/>
        </w:trPr>
        <w:tc>
          <w:tcPr>
            <w:tcW w:w="1780" w:type="dxa"/>
            <w:vAlign w:val="bottom"/>
            <w:gridSpan w:val="3"/>
          </w:tcPr>
          <w:p>
            <w:pPr>
              <w:ind w:left="40"/>
              <w:spacing w:after="0"/>
              <w:rPr>
                <w:sz w:val="20"/>
                <w:szCs w:val="20"/>
                <w:color w:val="auto"/>
              </w:rPr>
            </w:pPr>
            <w:r>
              <w:rPr>
                <w:rFonts w:ascii="Arial" w:cs="Arial" w:eastAsia="Arial" w:hAnsi="Arial"/>
                <w:sz w:val="13"/>
                <w:szCs w:val="13"/>
                <w:color w:val="auto"/>
              </w:rPr>
              <w:t>110 Greene Street</w:t>
            </w:r>
            <w:r>
              <w:rPr>
                <w:rFonts w:ascii="Arial" w:cs="Arial" w:eastAsia="Arial" w:hAnsi="Arial"/>
                <w:sz w:val="8"/>
                <w:szCs w:val="8"/>
                <w:color w:val="auto"/>
              </w:rPr>
              <w:t>(4)</w:t>
            </w:r>
          </w:p>
        </w:tc>
        <w:tc>
          <w:tcPr>
            <w:tcW w:w="880" w:type="dxa"/>
            <w:vAlign w:val="bottom"/>
          </w:tcPr>
          <w:p>
            <w:pPr>
              <w:jc w:val="right"/>
              <w:spacing w:after="0"/>
              <w:rPr>
                <w:sz w:val="20"/>
                <w:szCs w:val="20"/>
                <w:color w:val="auto"/>
              </w:rPr>
            </w:pPr>
            <w:r>
              <w:rPr>
                <w:rFonts w:ascii="Arial" w:cs="Arial" w:eastAsia="Arial" w:hAnsi="Arial"/>
                <w:sz w:val="13"/>
                <w:szCs w:val="13"/>
                <w:color w:val="auto"/>
              </w:rPr>
              <w:t>1908/1920</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Soho</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223,600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2.3</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94"/>
              </w:rPr>
              <w:t>77.3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13,933,096</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82.50</w:t>
            </w: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125</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Park Avenue</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1923/2006</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Grand Central</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604,245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6.2</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4"/>
              </w:rPr>
              <w:t>99.5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42,560,593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7.3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66.96</w:t>
            </w:r>
          </w:p>
        </w:tc>
      </w:tr>
      <w:tr>
        <w:trPr>
          <w:trHeight w:val="262"/>
        </w:trPr>
        <w:tc>
          <w:tcPr>
            <w:tcW w:w="240" w:type="dxa"/>
            <w:vAlign w:val="bottom"/>
          </w:tcPr>
          <w:p>
            <w:pPr>
              <w:ind w:left="40"/>
              <w:spacing w:after="0"/>
              <w:rPr>
                <w:sz w:val="20"/>
                <w:szCs w:val="20"/>
                <w:color w:val="auto"/>
              </w:rPr>
            </w:pPr>
            <w:r>
              <w:rPr>
                <w:rFonts w:ascii="Arial" w:cs="Arial" w:eastAsia="Arial" w:hAnsi="Arial"/>
                <w:sz w:val="13"/>
                <w:szCs w:val="13"/>
                <w:color w:val="auto"/>
                <w:w w:val="82"/>
              </w:rPr>
              <w:t>304</w:t>
            </w:r>
          </w:p>
        </w:tc>
        <w:tc>
          <w:tcPr>
            <w:tcW w:w="1540" w:type="dxa"/>
            <w:vAlign w:val="bottom"/>
            <w:gridSpan w:val="2"/>
          </w:tcPr>
          <w:p>
            <w:pPr>
              <w:ind w:left="20"/>
              <w:spacing w:after="0"/>
              <w:rPr>
                <w:sz w:val="20"/>
                <w:szCs w:val="20"/>
                <w:color w:val="auto"/>
              </w:rPr>
            </w:pPr>
            <w:r>
              <w:rPr>
                <w:rFonts w:ascii="Arial" w:cs="Arial" w:eastAsia="Arial" w:hAnsi="Arial"/>
                <w:sz w:val="13"/>
                <w:szCs w:val="13"/>
                <w:color w:val="auto"/>
              </w:rPr>
              <w:t>Park Avenue South</w:t>
            </w:r>
          </w:p>
        </w:tc>
        <w:tc>
          <w:tcPr>
            <w:tcW w:w="880" w:type="dxa"/>
            <w:vAlign w:val="bottom"/>
          </w:tcPr>
          <w:p>
            <w:pPr>
              <w:jc w:val="right"/>
              <w:spacing w:after="0"/>
              <w:rPr>
                <w:sz w:val="20"/>
                <w:szCs w:val="20"/>
                <w:color w:val="auto"/>
              </w:rPr>
            </w:pPr>
            <w:r>
              <w:rPr>
                <w:rFonts w:ascii="Arial" w:cs="Arial" w:eastAsia="Arial" w:hAnsi="Arial"/>
                <w:sz w:val="13"/>
                <w:szCs w:val="13"/>
                <w:color w:val="auto"/>
              </w:rPr>
              <w:t>1930</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Midtown South</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215,000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2.2</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100.0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16,810,271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2.9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78.49</w:t>
            </w: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461</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Fifth Avenue</w:t>
            </w:r>
            <w:r>
              <w:rPr>
                <w:rFonts w:ascii="Arial" w:cs="Arial" w:eastAsia="Arial" w:hAnsi="Arial"/>
                <w:sz w:val="8"/>
                <w:szCs w:val="8"/>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Midtown</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2.1</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4"/>
              </w:rPr>
              <w:t>79.0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14,739,342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91.27</w:t>
            </w:r>
          </w:p>
        </w:tc>
      </w:tr>
      <w:tr>
        <w:trPr>
          <w:trHeight w:val="262"/>
        </w:trPr>
        <w:tc>
          <w:tcPr>
            <w:tcW w:w="240" w:type="dxa"/>
            <w:vAlign w:val="bottom"/>
          </w:tcPr>
          <w:p>
            <w:pPr>
              <w:ind w:left="40"/>
              <w:spacing w:after="0"/>
              <w:rPr>
                <w:sz w:val="20"/>
                <w:szCs w:val="20"/>
                <w:color w:val="auto"/>
              </w:rPr>
            </w:pPr>
            <w:r>
              <w:rPr>
                <w:rFonts w:ascii="Arial" w:cs="Arial" w:eastAsia="Arial" w:hAnsi="Arial"/>
                <w:sz w:val="13"/>
                <w:szCs w:val="13"/>
                <w:color w:val="auto"/>
                <w:w w:val="82"/>
              </w:rPr>
              <w:t>555</w:t>
            </w:r>
          </w:p>
        </w:tc>
        <w:tc>
          <w:tcPr>
            <w:tcW w:w="1540" w:type="dxa"/>
            <w:vAlign w:val="bottom"/>
            <w:gridSpan w:val="2"/>
          </w:tcPr>
          <w:p>
            <w:pPr>
              <w:ind w:left="20"/>
              <w:spacing w:after="0"/>
              <w:rPr>
                <w:sz w:val="20"/>
                <w:szCs w:val="20"/>
                <w:color w:val="auto"/>
              </w:rPr>
            </w:pPr>
            <w:r>
              <w:rPr>
                <w:rFonts w:ascii="Arial" w:cs="Arial" w:eastAsia="Arial" w:hAnsi="Arial"/>
                <w:sz w:val="13"/>
                <w:szCs w:val="13"/>
                <w:color w:val="auto"/>
              </w:rPr>
              <w:t>West 57th Street</w:t>
            </w:r>
          </w:p>
        </w:tc>
        <w:tc>
          <w:tcPr>
            <w:tcW w:w="880" w:type="dxa"/>
            <w:vAlign w:val="bottom"/>
          </w:tcPr>
          <w:p>
            <w:pPr>
              <w:jc w:val="right"/>
              <w:spacing w:after="0"/>
              <w:rPr>
                <w:sz w:val="20"/>
                <w:szCs w:val="20"/>
                <w:color w:val="auto"/>
              </w:rPr>
            </w:pPr>
            <w:r>
              <w:rPr>
                <w:rFonts w:ascii="Arial" w:cs="Arial" w:eastAsia="Arial" w:hAnsi="Arial"/>
                <w:sz w:val="13"/>
                <w:szCs w:val="13"/>
                <w:color w:val="auto"/>
              </w:rPr>
              <w:t>1971</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Midtown West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941,000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9.7</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94"/>
              </w:rPr>
              <w:t>99.9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43,578,630</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7.5</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43.07</w:t>
            </w: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625</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Madison Avenue</w:t>
            </w:r>
            <w:r>
              <w:rPr>
                <w:rFonts w:ascii="Arial" w:cs="Arial" w:eastAsia="Arial" w:hAnsi="Arial"/>
                <w:sz w:val="8"/>
                <w:szCs w:val="8"/>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1956/2002</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Plaza District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563,000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5.8</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4"/>
              </w:rPr>
              <w:t>98.8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63,714,420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110.30</w:t>
            </w:r>
          </w:p>
        </w:tc>
      </w:tr>
      <w:tr>
        <w:trPr>
          <w:trHeight w:val="262"/>
        </w:trPr>
        <w:tc>
          <w:tcPr>
            <w:tcW w:w="240" w:type="dxa"/>
            <w:vAlign w:val="bottom"/>
          </w:tcPr>
          <w:p>
            <w:pPr>
              <w:ind w:left="40"/>
              <w:spacing w:after="0"/>
              <w:rPr>
                <w:sz w:val="20"/>
                <w:szCs w:val="20"/>
                <w:color w:val="auto"/>
              </w:rPr>
            </w:pPr>
            <w:r>
              <w:rPr>
                <w:rFonts w:ascii="Arial" w:cs="Arial" w:eastAsia="Arial" w:hAnsi="Arial"/>
                <w:sz w:val="13"/>
                <w:szCs w:val="13"/>
                <w:color w:val="auto"/>
                <w:w w:val="82"/>
              </w:rPr>
              <w:t>635</w:t>
            </w:r>
          </w:p>
        </w:tc>
        <w:tc>
          <w:tcPr>
            <w:tcW w:w="1540" w:type="dxa"/>
            <w:vAlign w:val="bottom"/>
            <w:gridSpan w:val="2"/>
          </w:tcPr>
          <w:p>
            <w:pPr>
              <w:ind w:left="20"/>
              <w:spacing w:after="0"/>
              <w:rPr>
                <w:sz w:val="20"/>
                <w:szCs w:val="20"/>
                <w:color w:val="auto"/>
              </w:rPr>
            </w:pPr>
            <w:r>
              <w:rPr>
                <w:rFonts w:ascii="Arial" w:cs="Arial" w:eastAsia="Arial" w:hAnsi="Arial"/>
                <w:sz w:val="13"/>
                <w:szCs w:val="13"/>
                <w:color w:val="auto"/>
              </w:rPr>
              <w:t>Sixth Avenue</w:t>
            </w:r>
          </w:p>
        </w:tc>
        <w:tc>
          <w:tcPr>
            <w:tcW w:w="880" w:type="dxa"/>
            <w:vAlign w:val="bottom"/>
          </w:tcPr>
          <w:p>
            <w:pPr>
              <w:jc w:val="right"/>
              <w:spacing w:after="0"/>
              <w:rPr>
                <w:sz w:val="20"/>
                <w:szCs w:val="20"/>
                <w:color w:val="auto"/>
              </w:rPr>
            </w:pPr>
            <w:r>
              <w:rPr>
                <w:rFonts w:ascii="Arial" w:cs="Arial" w:eastAsia="Arial" w:hAnsi="Arial"/>
                <w:sz w:val="13"/>
                <w:szCs w:val="13"/>
                <w:color w:val="auto"/>
              </w:rPr>
              <w:t>1902</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Midtown South</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104,000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1.1</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100.0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9,810,351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1.7</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104.04</w:t>
            </w: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641</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Sixth Avenue</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Midtown South</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1.7</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85"/>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14,960,424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88.21</w:t>
            </w:r>
          </w:p>
        </w:tc>
      </w:tr>
      <w:tr>
        <w:trPr>
          <w:trHeight w:val="262"/>
        </w:trPr>
        <w:tc>
          <w:tcPr>
            <w:tcW w:w="1780" w:type="dxa"/>
            <w:vAlign w:val="bottom"/>
            <w:gridSpan w:val="3"/>
          </w:tcPr>
          <w:p>
            <w:pPr>
              <w:ind w:left="40"/>
              <w:spacing w:after="0"/>
              <w:rPr>
                <w:sz w:val="20"/>
                <w:szCs w:val="20"/>
                <w:color w:val="auto"/>
              </w:rPr>
            </w:pPr>
            <w:r>
              <w:rPr>
                <w:rFonts w:ascii="Arial" w:cs="Arial" w:eastAsia="Arial" w:hAnsi="Arial"/>
                <w:sz w:val="13"/>
                <w:szCs w:val="13"/>
                <w:color w:val="auto"/>
              </w:rPr>
              <w:t>711 Third Avenue</w:t>
            </w:r>
            <w:r>
              <w:rPr>
                <w:rFonts w:ascii="Arial" w:cs="Arial" w:eastAsia="Arial" w:hAnsi="Arial"/>
                <w:sz w:val="8"/>
                <w:szCs w:val="8"/>
                <w:color w:val="auto"/>
              </w:rPr>
              <w:t>(5)</w:t>
            </w:r>
          </w:p>
        </w:tc>
        <w:tc>
          <w:tcPr>
            <w:tcW w:w="880" w:type="dxa"/>
            <w:vAlign w:val="bottom"/>
          </w:tcPr>
          <w:p>
            <w:pPr>
              <w:jc w:val="right"/>
              <w:spacing w:after="0"/>
              <w:rPr>
                <w:sz w:val="20"/>
                <w:szCs w:val="20"/>
                <w:color w:val="auto"/>
              </w:rPr>
            </w:pPr>
            <w:r>
              <w:rPr>
                <w:rFonts w:ascii="Arial" w:cs="Arial" w:eastAsia="Arial" w:hAnsi="Arial"/>
                <w:sz w:val="13"/>
                <w:szCs w:val="13"/>
                <w:color w:val="auto"/>
              </w:rPr>
              <w:t>1955</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Grand Central North</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524,000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5.4</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94"/>
              </w:rPr>
              <w:t>93.7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34,182,575</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5.9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62.36</w:t>
            </w: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750</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Avenue</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1958/2006</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Grand Central North</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780,000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8.0</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4"/>
              </w:rPr>
              <w:t>98.0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49,234,111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8.4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61.28</w:t>
            </w:r>
          </w:p>
        </w:tc>
      </w:tr>
      <w:tr>
        <w:trPr>
          <w:trHeight w:val="262"/>
        </w:trPr>
        <w:tc>
          <w:tcPr>
            <w:tcW w:w="240" w:type="dxa"/>
            <w:vAlign w:val="bottom"/>
          </w:tcPr>
          <w:p>
            <w:pPr>
              <w:ind w:left="40"/>
              <w:spacing w:after="0"/>
              <w:rPr>
                <w:sz w:val="20"/>
                <w:szCs w:val="20"/>
                <w:color w:val="auto"/>
              </w:rPr>
            </w:pPr>
            <w:r>
              <w:rPr>
                <w:rFonts w:ascii="Arial" w:cs="Arial" w:eastAsia="Arial" w:hAnsi="Arial"/>
                <w:sz w:val="13"/>
                <w:szCs w:val="13"/>
                <w:color w:val="auto"/>
                <w:w w:val="82"/>
              </w:rPr>
              <w:t>810</w:t>
            </w:r>
          </w:p>
        </w:tc>
        <w:tc>
          <w:tcPr>
            <w:tcW w:w="1540" w:type="dxa"/>
            <w:vAlign w:val="bottom"/>
            <w:gridSpan w:val="2"/>
          </w:tcPr>
          <w:p>
            <w:pPr>
              <w:ind w:left="20"/>
              <w:spacing w:after="0"/>
              <w:rPr>
                <w:sz w:val="20"/>
                <w:szCs w:val="20"/>
                <w:color w:val="auto"/>
              </w:rPr>
            </w:pPr>
            <w:r>
              <w:rPr>
                <w:rFonts w:ascii="Arial" w:cs="Arial" w:eastAsia="Arial" w:hAnsi="Arial"/>
                <w:sz w:val="13"/>
                <w:szCs w:val="13"/>
                <w:color w:val="auto"/>
              </w:rPr>
              <w:t>Seventh Avenue</w:t>
            </w:r>
          </w:p>
        </w:tc>
        <w:tc>
          <w:tcPr>
            <w:tcW w:w="880" w:type="dxa"/>
            <w:vAlign w:val="bottom"/>
          </w:tcPr>
          <w:p>
            <w:pPr>
              <w:jc w:val="right"/>
              <w:spacing w:after="0"/>
              <w:rPr>
                <w:sz w:val="20"/>
                <w:szCs w:val="20"/>
                <w:color w:val="auto"/>
              </w:rPr>
            </w:pPr>
            <w:r>
              <w:rPr>
                <w:rFonts w:ascii="Arial" w:cs="Arial" w:eastAsia="Arial" w:hAnsi="Arial"/>
                <w:sz w:val="13"/>
                <w:szCs w:val="13"/>
                <w:color w:val="auto"/>
              </w:rPr>
              <w:t>1970</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Times Square</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692,000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7.1</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94"/>
              </w:rPr>
              <w:t>97.6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48,957,570</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8.4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67.68</w:t>
            </w: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919</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Avenue</w:t>
            </w:r>
            <w:r>
              <w:rPr>
                <w:rFonts w:ascii="Arial" w:cs="Arial" w:eastAsia="Arial" w:hAnsi="Arial"/>
                <w:sz w:val="8"/>
                <w:szCs w:val="8"/>
                <w:color w:val="auto"/>
              </w:rPr>
              <w:t>(6)</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Grand Central North</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1,454,000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14.9</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85"/>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98,481,218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8.6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65.78</w:t>
            </w:r>
          </w:p>
        </w:tc>
      </w:tr>
      <w:tr>
        <w:trPr>
          <w:trHeight w:val="148"/>
        </w:trPr>
        <w:tc>
          <w:tcPr>
            <w:tcW w:w="17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1185 Avenue of the</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8"/>
        </w:trPr>
        <w:tc>
          <w:tcPr>
            <w:tcW w:w="1780" w:type="dxa"/>
            <w:vAlign w:val="bottom"/>
            <w:gridSpan w:val="3"/>
          </w:tcPr>
          <w:p>
            <w:pPr>
              <w:ind w:left="40"/>
              <w:spacing w:after="0"/>
              <w:rPr>
                <w:sz w:val="20"/>
                <w:szCs w:val="20"/>
                <w:color w:val="auto"/>
              </w:rPr>
            </w:pPr>
            <w:r>
              <w:rPr>
                <w:rFonts w:ascii="Arial" w:cs="Arial" w:eastAsia="Arial" w:hAnsi="Arial"/>
                <w:sz w:val="13"/>
                <w:szCs w:val="13"/>
                <w:color w:val="auto"/>
              </w:rPr>
              <w:t>Americas</w:t>
            </w:r>
            <w:r>
              <w:rPr>
                <w:rFonts w:ascii="Arial" w:cs="Arial" w:eastAsia="Arial" w:hAnsi="Arial"/>
                <w:sz w:val="8"/>
                <w:szCs w:val="8"/>
                <w:color w:val="auto"/>
              </w:rPr>
              <w:t>(5)</w:t>
            </w:r>
          </w:p>
        </w:tc>
        <w:tc>
          <w:tcPr>
            <w:tcW w:w="880" w:type="dxa"/>
            <w:vAlign w:val="bottom"/>
          </w:tcPr>
          <w:p>
            <w:pPr>
              <w:jc w:val="right"/>
              <w:spacing w:after="0"/>
              <w:rPr>
                <w:sz w:val="20"/>
                <w:szCs w:val="20"/>
                <w:color w:val="auto"/>
              </w:rPr>
            </w:pPr>
            <w:r>
              <w:rPr>
                <w:rFonts w:ascii="Arial" w:cs="Arial" w:eastAsia="Arial" w:hAnsi="Arial"/>
                <w:sz w:val="13"/>
                <w:szCs w:val="13"/>
                <w:color w:val="auto"/>
              </w:rPr>
              <w:t>1969</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Rockefeller Center</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1,062,000</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10.9</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94"/>
              </w:rPr>
              <w:t>85.5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87,029,341</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14.9</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93.25</w:t>
            </w:r>
          </w:p>
        </w:tc>
      </w:tr>
      <w:tr>
        <w:trPr>
          <w:trHeight w:val="156"/>
        </w:trPr>
        <w:tc>
          <w:tcPr>
            <w:tcW w:w="17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1350 Avenue of the</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0"/>
        </w:trPr>
        <w:tc>
          <w:tcPr>
            <w:tcW w:w="17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Americas</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Rockefeller Center</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562,000</w:t>
            </w: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5.8</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4"/>
              </w:rPr>
              <w:t>89.8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41,452,041</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7.1</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78.16</w:t>
            </w:r>
          </w:p>
        </w:tc>
      </w:tr>
      <w:tr>
        <w:trPr>
          <w:trHeight w:val="250"/>
        </w:trPr>
        <w:tc>
          <w:tcPr>
            <w:tcW w:w="1780" w:type="dxa"/>
            <w:vAlign w:val="bottom"/>
            <w:tcBorders>
              <w:bottom w:val="single" w:sz="8" w:color="CCEEFF"/>
            </w:tcBorders>
            <w:gridSpan w:val="3"/>
          </w:tcPr>
          <w:p>
            <w:pPr>
              <w:ind w:left="60"/>
              <w:spacing w:after="0"/>
              <w:rPr>
                <w:sz w:val="20"/>
                <w:szCs w:val="20"/>
                <w:color w:val="auto"/>
              </w:rPr>
            </w:pPr>
            <w:r>
              <w:rPr>
                <w:rFonts w:ascii="Arial" w:cs="Arial" w:eastAsia="Arial" w:hAnsi="Arial"/>
                <w:sz w:val="13"/>
                <w:szCs w:val="13"/>
                <w:b w:val="1"/>
                <w:bCs w:val="1"/>
                <w:color w:val="auto"/>
                <w:w w:val="98"/>
              </w:rPr>
              <w:t>Subtotal/ Weighted Average</w:t>
            </w: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8,303,245</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85.4%</w:t>
            </w:r>
          </w:p>
        </w:tc>
        <w:tc>
          <w:tcPr>
            <w:tcW w:w="1040" w:type="dxa"/>
            <w:vAlign w:val="bottom"/>
            <w:tcBorders>
              <w:bottom w:val="single" w:sz="8" w:color="CCEEFF"/>
            </w:tcBorders>
            <w:gridSpan w:val="2"/>
          </w:tcPr>
          <w:p>
            <w:pPr>
              <w:jc w:val="center"/>
              <w:ind w:left="57"/>
              <w:spacing w:after="0"/>
              <w:rPr>
                <w:sz w:val="20"/>
                <w:szCs w:val="20"/>
                <w:color w:val="auto"/>
              </w:rPr>
            </w:pPr>
            <w:r>
              <w:rPr>
                <w:rFonts w:ascii="Arial" w:cs="Arial" w:eastAsia="Arial" w:hAnsi="Arial"/>
                <w:sz w:val="13"/>
                <w:szCs w:val="13"/>
                <w:b w:val="1"/>
                <w:bCs w:val="1"/>
                <w:color w:val="auto"/>
                <w:w w:val="97"/>
              </w:rPr>
              <w:t>94.9%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589,614,706</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92.5%</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335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r>
      <w:tr>
        <w:trPr>
          <w:trHeight w:val="250"/>
        </w:trPr>
        <w:tc>
          <w:tcPr>
            <w:tcW w:w="240" w:type="dxa"/>
            <w:vAlign w:val="bottom"/>
            <w:shd w:val="clear" w:color="auto" w:fill="CCEEFF"/>
          </w:tcPr>
          <w:p>
            <w:pPr>
              <w:spacing w:after="0"/>
              <w:rPr>
                <w:sz w:val="21"/>
                <w:szCs w:val="21"/>
                <w:color w:val="auto"/>
              </w:rPr>
            </w:pPr>
          </w:p>
        </w:tc>
        <w:tc>
          <w:tcPr>
            <w:tcW w:w="3800" w:type="dxa"/>
            <w:vAlign w:val="bottom"/>
            <w:gridSpan w:val="6"/>
            <w:shd w:val="clear" w:color="auto" w:fill="CCEEFF"/>
          </w:tcPr>
          <w:p>
            <w:pPr>
              <w:ind w:left="40"/>
              <w:spacing w:after="0"/>
              <w:rPr>
                <w:sz w:val="20"/>
                <w:szCs w:val="20"/>
                <w:color w:val="auto"/>
              </w:rPr>
            </w:pPr>
            <w:r>
              <w:rPr>
                <w:rFonts w:ascii="Arial" w:cs="Arial" w:eastAsia="Arial" w:hAnsi="Arial"/>
                <w:sz w:val="13"/>
                <w:szCs w:val="13"/>
                <w:b w:val="1"/>
                <w:bCs w:val="1"/>
                <w:color w:val="auto"/>
              </w:rPr>
              <w:t>Total / Weighted Average Manhattan Office Properties</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8,303,245</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85.4%</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b w:val="1"/>
                <w:bCs w:val="1"/>
                <w:color w:val="auto"/>
                <w:w w:val="97"/>
              </w:rPr>
              <w:t>94.9%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589,614,706</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7"/>
              </w:rPr>
              <w:t>92.5%</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335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0"/>
        </w:trPr>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2780" w:type="dxa"/>
            <w:vAlign w:val="bottom"/>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SUBURBAN OFFICE PROPERTIES</w:t>
            </w: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2"/>
        </w:trPr>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w w:val="90"/>
              </w:rPr>
              <w:t>"Same Store" Westchester, NY</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100</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Summit Lake Drive</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7"/>
              </w:rPr>
              <w:t>Valhalla, Westchester</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250,000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2.6%</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86"/>
              </w:rPr>
              <w:t>97.5%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6,334,440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26.35</w:t>
            </w:r>
          </w:p>
        </w:tc>
      </w:tr>
      <w:tr>
        <w:trPr>
          <w:trHeight w:val="262"/>
        </w:trPr>
        <w:tc>
          <w:tcPr>
            <w:tcW w:w="240" w:type="dxa"/>
            <w:vAlign w:val="bottom"/>
          </w:tcPr>
          <w:p>
            <w:pPr>
              <w:ind w:left="40"/>
              <w:spacing w:after="0"/>
              <w:rPr>
                <w:sz w:val="20"/>
                <w:szCs w:val="20"/>
                <w:color w:val="auto"/>
              </w:rPr>
            </w:pPr>
            <w:r>
              <w:rPr>
                <w:rFonts w:ascii="Arial" w:cs="Arial" w:eastAsia="Arial" w:hAnsi="Arial"/>
                <w:sz w:val="13"/>
                <w:szCs w:val="13"/>
                <w:color w:val="auto"/>
                <w:w w:val="82"/>
              </w:rPr>
              <w:t>200</w:t>
            </w:r>
          </w:p>
        </w:tc>
        <w:tc>
          <w:tcPr>
            <w:tcW w:w="1540" w:type="dxa"/>
            <w:vAlign w:val="bottom"/>
            <w:gridSpan w:val="2"/>
          </w:tcPr>
          <w:p>
            <w:pPr>
              <w:ind w:left="20"/>
              <w:spacing w:after="0"/>
              <w:rPr>
                <w:sz w:val="20"/>
                <w:szCs w:val="20"/>
                <w:color w:val="auto"/>
              </w:rPr>
            </w:pPr>
            <w:r>
              <w:rPr>
                <w:rFonts w:ascii="Arial" w:cs="Arial" w:eastAsia="Arial" w:hAnsi="Arial"/>
                <w:sz w:val="13"/>
                <w:szCs w:val="13"/>
                <w:color w:val="auto"/>
              </w:rPr>
              <w:t>Summit Lake Drive</w:t>
            </w:r>
          </w:p>
        </w:tc>
        <w:tc>
          <w:tcPr>
            <w:tcW w:w="880" w:type="dxa"/>
            <w:vAlign w:val="bottom"/>
          </w:tcPr>
          <w:p>
            <w:pPr>
              <w:jc w:val="right"/>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w w:val="97"/>
              </w:rPr>
              <w:t>Valhalla, Westchester</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245,000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2.5</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94"/>
              </w:rPr>
              <w:t>86.1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5,480,904</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0.9</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26.80</w:t>
            </w: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500</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Summit Lake Drive</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7"/>
              </w:rPr>
              <w:t>Valhalla, Westchester</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228,000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2.3</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4"/>
              </w:rPr>
              <w:t>99.9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6,136,920</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28.72</w:t>
            </w:r>
          </w:p>
        </w:tc>
      </w:tr>
      <w:tr>
        <w:trPr>
          <w:trHeight w:val="148"/>
        </w:trPr>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White Plains,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0"/>
        </w:trPr>
        <w:tc>
          <w:tcPr>
            <w:tcW w:w="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w w:val="82"/>
              </w:rPr>
              <w:t>360</w:t>
            </w: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Hamilton Avenue</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Westchester</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384,000</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3.9</w:t>
            </w:r>
          </w:p>
        </w:tc>
        <w:tc>
          <w:tcPr>
            <w:tcW w:w="1040" w:type="dxa"/>
            <w:vAlign w:val="bottom"/>
            <w:tcBorders>
              <w:bottom w:val="single" w:sz="8" w:color="CCEEFF"/>
            </w:tcBorders>
            <w:gridSpan w:val="2"/>
          </w:tcPr>
          <w:p>
            <w:pPr>
              <w:jc w:val="center"/>
              <w:ind w:left="57"/>
              <w:spacing w:after="0"/>
              <w:rPr>
                <w:sz w:val="20"/>
                <w:szCs w:val="20"/>
                <w:color w:val="auto"/>
              </w:rPr>
            </w:pPr>
            <w:r>
              <w:rPr>
                <w:rFonts w:ascii="Arial" w:cs="Arial" w:eastAsia="Arial" w:hAnsi="Arial"/>
                <w:sz w:val="13"/>
                <w:szCs w:val="13"/>
                <w:color w:val="auto"/>
                <w:w w:val="85"/>
              </w:rPr>
              <w:t>100.0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15,465,022</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2.6</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40.45</w:t>
            </w:r>
          </w:p>
        </w:tc>
      </w:tr>
      <w:tr>
        <w:trPr>
          <w:trHeight w:val="257"/>
        </w:trPr>
        <w:tc>
          <w:tcPr>
            <w:tcW w:w="240" w:type="dxa"/>
            <w:vAlign w:val="bottom"/>
            <w:shd w:val="clear" w:color="auto" w:fill="CCEEFF"/>
          </w:tcPr>
          <w:p>
            <w:pPr>
              <w:spacing w:after="0"/>
              <w:rPr>
                <w:sz w:val="22"/>
                <w:szCs w:val="22"/>
                <w:color w:val="auto"/>
              </w:rPr>
            </w:pPr>
          </w:p>
        </w:tc>
        <w:tc>
          <w:tcPr>
            <w:tcW w:w="254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w w:val="90"/>
              </w:rPr>
              <w:t>Westchester, NY Subtotal/Weighted Average</w:t>
            </w: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1,107,000</w:t>
            </w:r>
          </w:p>
        </w:tc>
        <w:tc>
          <w:tcPr>
            <w:tcW w:w="12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11.3%</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b w:val="1"/>
                <w:bCs w:val="1"/>
                <w:color w:val="auto"/>
                <w:w w:val="97"/>
              </w:rPr>
              <w:t>96.3%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33,417,286</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4"/>
              </w:rPr>
              <w:t>5.7%</w:t>
            </w: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6"/>
        </w:trPr>
        <w:tc>
          <w:tcPr>
            <w:tcW w:w="1780" w:type="dxa"/>
            <w:vAlign w:val="bottom"/>
            <w:gridSpan w:val="3"/>
          </w:tcPr>
          <w:p>
            <w:pPr>
              <w:ind w:left="40"/>
              <w:spacing w:after="0"/>
              <w:rPr>
                <w:sz w:val="20"/>
                <w:szCs w:val="20"/>
                <w:color w:val="auto"/>
              </w:rPr>
            </w:pPr>
            <w:r>
              <w:rPr>
                <w:rFonts w:ascii="Arial" w:cs="Arial" w:eastAsia="Arial" w:hAnsi="Arial"/>
                <w:sz w:val="13"/>
                <w:szCs w:val="13"/>
                <w:b w:val="1"/>
                <w:bCs w:val="1"/>
                <w:color w:val="auto"/>
              </w:rPr>
              <w:t>"Same Store" Connecticut</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56"/>
        </w:trPr>
        <w:tc>
          <w:tcPr>
            <w:tcW w:w="17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1055 Washington</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Stamford,</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6"/>
        </w:trPr>
        <w:tc>
          <w:tcPr>
            <w:tcW w:w="17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Boulevard</w:t>
            </w:r>
            <w:r>
              <w:rPr>
                <w:rFonts w:ascii="Arial" w:cs="Arial" w:eastAsia="Arial" w:hAnsi="Arial"/>
                <w:sz w:val="8"/>
                <w:szCs w:val="8"/>
                <w:color w:val="auto"/>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Connecticut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182,000</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1.9%</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86"/>
              </w:rPr>
              <w:t>85.5%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5,812,236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36.48</w:t>
            </w:r>
          </w:p>
        </w:tc>
      </w:tr>
      <w:tr>
        <w:trPr>
          <w:trHeight w:val="148"/>
        </w:trPr>
        <w:tc>
          <w:tcPr>
            <w:tcW w:w="17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1010 Washington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Stamford,</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0"/>
        </w:trPr>
        <w:tc>
          <w:tcPr>
            <w:tcW w:w="17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Boulevard</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1988</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Connecticut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143,400</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1.4</w:t>
            </w:r>
          </w:p>
        </w:tc>
        <w:tc>
          <w:tcPr>
            <w:tcW w:w="1040" w:type="dxa"/>
            <w:vAlign w:val="bottom"/>
            <w:tcBorders>
              <w:bottom w:val="single" w:sz="8" w:color="CCEEFF"/>
            </w:tcBorders>
            <w:gridSpan w:val="2"/>
          </w:tcPr>
          <w:p>
            <w:pPr>
              <w:jc w:val="center"/>
              <w:ind w:left="57"/>
              <w:spacing w:after="0"/>
              <w:rPr>
                <w:sz w:val="20"/>
                <w:szCs w:val="20"/>
                <w:color w:val="auto"/>
              </w:rPr>
            </w:pPr>
            <w:r>
              <w:rPr>
                <w:rFonts w:ascii="Arial" w:cs="Arial" w:eastAsia="Arial" w:hAnsi="Arial"/>
                <w:sz w:val="13"/>
                <w:szCs w:val="13"/>
                <w:color w:val="auto"/>
                <w:w w:val="94"/>
              </w:rPr>
              <w:t>89.7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4,394,376</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0.8</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27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32.97</w:t>
            </w:r>
          </w:p>
        </w:tc>
      </w:tr>
      <w:tr>
        <w:trPr>
          <w:trHeight w:val="250"/>
        </w:trPr>
        <w:tc>
          <w:tcPr>
            <w:tcW w:w="240" w:type="dxa"/>
            <w:vAlign w:val="bottom"/>
            <w:shd w:val="clear" w:color="auto" w:fill="CCEEFF"/>
          </w:tcPr>
          <w:p>
            <w:pPr>
              <w:spacing w:after="0"/>
              <w:rPr>
                <w:sz w:val="21"/>
                <w:szCs w:val="21"/>
                <w:color w:val="auto"/>
              </w:rPr>
            </w:pPr>
          </w:p>
        </w:tc>
        <w:tc>
          <w:tcPr>
            <w:tcW w:w="254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Connecticut Subtotal/Weighted Average</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325,400</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4"/>
              </w:rPr>
              <w:t>3.3%</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b w:val="1"/>
                <w:bCs w:val="1"/>
                <w:color w:val="auto"/>
                <w:w w:val="97"/>
              </w:rPr>
              <w:t>87.4%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10,206,612</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4"/>
              </w:rPr>
              <w:t>1.8%</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240" w:type="dxa"/>
            <w:vAlign w:val="bottom"/>
            <w:tcBorders>
              <w:bottom w:val="single" w:sz="8" w:color="CCEEFF"/>
            </w:tcBorders>
          </w:tcPr>
          <w:p>
            <w:pPr>
              <w:spacing w:after="0"/>
              <w:rPr>
                <w:sz w:val="21"/>
                <w:szCs w:val="21"/>
                <w:color w:val="auto"/>
              </w:rPr>
            </w:pPr>
          </w:p>
        </w:tc>
        <w:tc>
          <w:tcPr>
            <w:tcW w:w="3800" w:type="dxa"/>
            <w:vAlign w:val="bottom"/>
            <w:tcBorders>
              <w:bottom w:val="single" w:sz="8" w:color="CCEEFF"/>
            </w:tcBorders>
            <w:gridSpan w:val="6"/>
          </w:tcPr>
          <w:p>
            <w:pPr>
              <w:ind w:left="40"/>
              <w:spacing w:after="0"/>
              <w:rPr>
                <w:sz w:val="20"/>
                <w:szCs w:val="20"/>
                <w:color w:val="auto"/>
              </w:rPr>
            </w:pPr>
            <w:r>
              <w:rPr>
                <w:rFonts w:ascii="Arial" w:cs="Arial" w:eastAsia="Arial" w:hAnsi="Arial"/>
                <w:sz w:val="13"/>
                <w:szCs w:val="13"/>
                <w:b w:val="1"/>
                <w:bCs w:val="1"/>
                <w:color w:val="auto"/>
              </w:rPr>
              <w:t>Total / Weighted Average Suburban Office Properties</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1,432,400</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14.6%</w:t>
            </w:r>
          </w:p>
        </w:tc>
        <w:tc>
          <w:tcPr>
            <w:tcW w:w="1040" w:type="dxa"/>
            <w:vAlign w:val="bottom"/>
            <w:tcBorders>
              <w:bottom w:val="single" w:sz="8" w:color="CCEEFF"/>
            </w:tcBorders>
            <w:gridSpan w:val="2"/>
          </w:tcPr>
          <w:p>
            <w:pPr>
              <w:jc w:val="center"/>
              <w:ind w:left="57"/>
              <w:spacing w:after="0"/>
              <w:rPr>
                <w:sz w:val="20"/>
                <w:szCs w:val="20"/>
                <w:color w:val="auto"/>
              </w:rPr>
            </w:pPr>
            <w:r>
              <w:rPr>
                <w:rFonts w:ascii="Arial" w:cs="Arial" w:eastAsia="Arial" w:hAnsi="Arial"/>
                <w:sz w:val="13"/>
                <w:szCs w:val="13"/>
                <w:b w:val="1"/>
                <w:bCs w:val="1"/>
                <w:color w:val="auto"/>
                <w:w w:val="97"/>
              </w:rPr>
              <w:t>94.3%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43,623,898</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7.5%</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103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r>
      <w:tr>
        <w:trPr>
          <w:trHeight w:val="242"/>
        </w:trPr>
        <w:tc>
          <w:tcPr>
            <w:tcW w:w="27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Portfolio Grand Total / Weighted Average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9,735,645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5"/>
              </w:rPr>
              <w:t>100.0%</w:t>
            </w:r>
          </w:p>
        </w:tc>
        <w:tc>
          <w:tcPr>
            <w:tcW w:w="1040" w:type="dxa"/>
            <w:vAlign w:val="bottom"/>
            <w:tcBorders>
              <w:bottom w:val="single" w:sz="8" w:color="CCEEFF"/>
            </w:tcBorders>
            <w:gridSpan w:val="2"/>
            <w:shd w:val="clear" w:color="auto" w:fill="CCEEFF"/>
          </w:tcPr>
          <w:p>
            <w:pPr>
              <w:jc w:val="center"/>
              <w:ind w:left="57"/>
              <w:spacing w:after="0"/>
              <w:rPr>
                <w:sz w:val="20"/>
                <w:szCs w:val="20"/>
                <w:color w:val="auto"/>
              </w:rPr>
            </w:pPr>
            <w:r>
              <w:rPr>
                <w:rFonts w:ascii="Arial" w:cs="Arial" w:eastAsia="Arial" w:hAnsi="Arial"/>
                <w:sz w:val="13"/>
                <w:szCs w:val="13"/>
                <w:b w:val="1"/>
                <w:bCs w:val="1"/>
                <w:color w:val="auto"/>
                <w:w w:val="97"/>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633,238,604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0"/>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1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7"/>
          </w:tcPr>
          <w:p>
            <w:pPr>
              <w:ind w:left="40"/>
              <w:spacing w:after="0"/>
              <w:rPr>
                <w:sz w:val="20"/>
                <w:szCs w:val="20"/>
                <w:color w:val="auto"/>
              </w:rPr>
            </w:pPr>
            <w:r>
              <w:rPr>
                <w:rFonts w:ascii="Arial" w:cs="Arial" w:eastAsia="Arial" w:hAnsi="Arial"/>
                <w:sz w:val="13"/>
                <w:szCs w:val="13"/>
                <w:b w:val="1"/>
                <w:bCs w:val="1"/>
                <w:color w:val="auto"/>
              </w:rPr>
              <w:t>Portfolio Grand Total—ROP share of Annualized Cash Rent</w:t>
            </w: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583,589,497</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r>
      <w:tr>
        <w:trPr>
          <w:trHeight w:val="252"/>
        </w:trPr>
        <w:tc>
          <w:tcPr>
            <w:tcW w:w="17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PRIME RETAIL</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62"/>
        </w:trPr>
        <w:tc>
          <w:tcPr>
            <w:tcW w:w="1780" w:type="dxa"/>
            <w:vAlign w:val="bottom"/>
            <w:gridSpan w:val="3"/>
          </w:tcPr>
          <w:p>
            <w:pPr>
              <w:ind w:left="40"/>
              <w:spacing w:after="0"/>
              <w:rPr>
                <w:sz w:val="20"/>
                <w:szCs w:val="20"/>
                <w:color w:val="auto"/>
              </w:rPr>
            </w:pPr>
            <w:r>
              <w:rPr>
                <w:rFonts w:ascii="Arial" w:cs="Arial" w:eastAsia="Arial" w:hAnsi="Arial"/>
                <w:sz w:val="13"/>
                <w:szCs w:val="13"/>
                <w:color w:val="auto"/>
              </w:rPr>
              <w:t>115 Spring Street</w:t>
            </w:r>
          </w:p>
        </w:tc>
        <w:tc>
          <w:tcPr>
            <w:tcW w:w="880" w:type="dxa"/>
            <w:vAlign w:val="bottom"/>
          </w:tcPr>
          <w:p>
            <w:pPr>
              <w:jc w:val="right"/>
              <w:spacing w:after="0"/>
              <w:rPr>
                <w:sz w:val="20"/>
                <w:szCs w:val="20"/>
                <w:color w:val="auto"/>
              </w:rPr>
            </w:pPr>
            <w:r>
              <w:rPr>
                <w:rFonts w:ascii="Arial" w:cs="Arial" w:eastAsia="Arial" w:hAnsi="Arial"/>
                <w:sz w:val="13"/>
                <w:szCs w:val="13"/>
                <w:color w:val="auto"/>
              </w:rPr>
              <w:t>1900</w:t>
            </w:r>
          </w:p>
        </w:tc>
        <w:tc>
          <w:tcPr>
            <w:tcW w:w="120" w:type="dxa"/>
            <w:vAlign w:val="bottom"/>
          </w:tcPr>
          <w:p>
            <w:pPr>
              <w:spacing w:after="0"/>
              <w:rPr>
                <w:sz w:val="22"/>
                <w:szCs w:val="22"/>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SoHo</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5,218</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1.2%</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90"/>
              </w:rPr>
              <w:t>100.0%</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3,406,360</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8.4%</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556.42</w:t>
            </w:r>
          </w:p>
        </w:tc>
      </w:tr>
      <w:tr>
        <w:trPr>
          <w:trHeight w:val="156"/>
        </w:trPr>
        <w:tc>
          <w:tcPr>
            <w:tcW w:w="17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131-137 Spring Street -</w:t>
            </w: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6"/>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20.0%</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SoHo</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68,342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16.4</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94"/>
              </w:rPr>
              <w:t>96.7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13,752,835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203.07</w:t>
            </w:r>
          </w:p>
        </w:tc>
      </w:tr>
      <w:tr>
        <w:trPr>
          <w:trHeight w:val="148"/>
        </w:trPr>
        <w:tc>
          <w:tcPr>
            <w:tcW w:w="240" w:type="dxa"/>
            <w:vAlign w:val="bottom"/>
          </w:tcPr>
          <w:p>
            <w:pPr>
              <w:ind w:left="40"/>
              <w:spacing w:after="0" w:line="148" w:lineRule="exact"/>
              <w:rPr>
                <w:sz w:val="20"/>
                <w:szCs w:val="20"/>
                <w:color w:val="auto"/>
              </w:rPr>
            </w:pPr>
            <w:r>
              <w:rPr>
                <w:rFonts w:ascii="Arial" w:cs="Arial" w:eastAsia="Arial" w:hAnsi="Arial"/>
                <w:sz w:val="13"/>
                <w:szCs w:val="13"/>
                <w:color w:val="auto"/>
                <w:w w:val="82"/>
              </w:rPr>
              <w:t>315</w:t>
            </w:r>
          </w:p>
        </w:tc>
        <w:tc>
          <w:tcPr>
            <w:tcW w:w="15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West 33rd Street - The</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8"/>
        </w:trPr>
        <w:tc>
          <w:tcPr>
            <w:tcW w:w="1780" w:type="dxa"/>
            <w:vAlign w:val="bottom"/>
            <w:gridSpan w:val="3"/>
          </w:tcPr>
          <w:p>
            <w:pPr>
              <w:ind w:left="40"/>
              <w:spacing w:after="0"/>
              <w:rPr>
                <w:sz w:val="20"/>
                <w:szCs w:val="20"/>
                <w:color w:val="auto"/>
              </w:rPr>
            </w:pPr>
            <w:r>
              <w:rPr>
                <w:rFonts w:ascii="Arial" w:cs="Arial" w:eastAsia="Arial" w:hAnsi="Arial"/>
                <w:sz w:val="13"/>
                <w:szCs w:val="13"/>
                <w:color w:val="auto"/>
              </w:rPr>
              <w:t>Olivia</w:t>
            </w:r>
          </w:p>
        </w:tc>
        <w:tc>
          <w:tcPr>
            <w:tcW w:w="880" w:type="dxa"/>
            <w:vAlign w:val="bottom"/>
          </w:tcPr>
          <w:p>
            <w:pPr>
              <w:jc w:val="right"/>
              <w:spacing w:after="0"/>
              <w:rPr>
                <w:sz w:val="20"/>
                <w:szCs w:val="20"/>
                <w:color w:val="auto"/>
              </w:rPr>
            </w:pPr>
            <w:r>
              <w:rPr>
                <w:rFonts w:ascii="Arial" w:cs="Arial" w:eastAsia="Arial" w:hAnsi="Arial"/>
                <w:sz w:val="13"/>
                <w:szCs w:val="13"/>
                <w:color w:val="auto"/>
              </w:rPr>
              <w:t>2000</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Penn Station</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270,132</w:t>
            </w: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64.8</w:t>
            </w:r>
          </w:p>
        </w:tc>
        <w:tc>
          <w:tcPr>
            <w:tcW w:w="10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100.0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17,695,595</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6"/>
              </w:rPr>
              <w:t>43.4</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64.20</w:t>
            </w:r>
          </w:p>
        </w:tc>
      </w:tr>
      <w:tr>
        <w:trPr>
          <w:trHeight w:val="278"/>
        </w:trPr>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752</w:t>
            </w: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Madison Avenue</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1996/2012</w:t>
            </w: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Plaza District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21,124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5.1</w:t>
            </w:r>
          </w:p>
        </w:tc>
        <w:tc>
          <w:tcPr>
            <w:tcW w:w="1040" w:type="dxa"/>
            <w:vAlign w:val="bottom"/>
            <w:gridSpan w:val="2"/>
            <w:shd w:val="clear" w:color="auto" w:fill="CCEEFF"/>
          </w:tcPr>
          <w:p>
            <w:pPr>
              <w:jc w:val="center"/>
              <w:ind w:left="57"/>
              <w:spacing w:after="0"/>
              <w:rPr>
                <w:sz w:val="20"/>
                <w:szCs w:val="20"/>
                <w:color w:val="auto"/>
              </w:rPr>
            </w:pPr>
            <w:r>
              <w:rPr>
                <w:rFonts w:ascii="Arial" w:cs="Arial" w:eastAsia="Arial" w:hAnsi="Arial"/>
                <w:sz w:val="13"/>
                <w:szCs w:val="13"/>
                <w:color w:val="auto"/>
                <w:w w:val="85"/>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15,051,768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37.0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712.54</w:t>
            </w:r>
          </w:p>
        </w:tc>
      </w:tr>
      <w:tr>
        <w:trPr>
          <w:trHeight w:val="264"/>
        </w:trPr>
        <w:tc>
          <w:tcPr>
            <w:tcW w:w="178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Williamsburg Terrace</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2010</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Brooklyn, New York</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52,000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12.5</w:t>
            </w:r>
          </w:p>
        </w:tc>
        <w:tc>
          <w:tcPr>
            <w:tcW w:w="1040" w:type="dxa"/>
            <w:vAlign w:val="bottom"/>
            <w:tcBorders>
              <w:bottom w:val="single" w:sz="8" w:color="CCEEFF"/>
            </w:tcBorders>
            <w:gridSpan w:val="2"/>
          </w:tcPr>
          <w:p>
            <w:pPr>
              <w:jc w:val="center"/>
              <w:ind w:left="57"/>
              <w:spacing w:after="0"/>
              <w:rPr>
                <w:sz w:val="20"/>
                <w:szCs w:val="20"/>
                <w:color w:val="auto"/>
              </w:rPr>
            </w:pPr>
            <w:r>
              <w:rPr>
                <w:rFonts w:ascii="Arial" w:cs="Arial" w:eastAsia="Arial" w:hAnsi="Arial"/>
                <w:sz w:val="13"/>
                <w:szCs w:val="13"/>
                <w:color w:val="auto"/>
                <w:w w:val="85"/>
              </w:rPr>
              <w:t>100.0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1,801,412</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4.4</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34.62</w:t>
            </w:r>
          </w:p>
        </w:tc>
      </w:tr>
      <w:tr>
        <w:trPr>
          <w:trHeight w:val="242"/>
        </w:trPr>
        <w:tc>
          <w:tcPr>
            <w:tcW w:w="2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b w:val="1"/>
                <w:bCs w:val="1"/>
                <w:color w:val="auto"/>
                <w:w w:val="97"/>
              </w:rPr>
              <w:t>Total/Weighted Average Retail Properties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416,816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5"/>
              </w:rPr>
              <w:t>100.0%</w:t>
            </w:r>
          </w:p>
        </w:tc>
        <w:tc>
          <w:tcPr>
            <w:tcW w:w="1040" w:type="dxa"/>
            <w:vAlign w:val="bottom"/>
            <w:tcBorders>
              <w:bottom w:val="single" w:sz="8" w:color="CCEEFF"/>
            </w:tcBorders>
            <w:gridSpan w:val="2"/>
            <w:shd w:val="clear" w:color="auto" w:fill="CCEEFF"/>
          </w:tcPr>
          <w:p>
            <w:pPr>
              <w:jc w:val="center"/>
              <w:ind w:left="57"/>
              <w:spacing w:after="0"/>
              <w:rPr>
                <w:sz w:val="20"/>
                <w:szCs w:val="20"/>
                <w:color w:val="auto"/>
              </w:rPr>
            </w:pPr>
            <w:r>
              <w:rPr>
                <w:rFonts w:ascii="Arial" w:cs="Arial" w:eastAsia="Arial" w:hAnsi="Arial"/>
                <w:sz w:val="13"/>
                <w:szCs w:val="13"/>
                <w:b w:val="1"/>
                <w:bCs w:val="1"/>
                <w:color w:val="auto"/>
                <w:w w:val="97"/>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51,707,970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0"/>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Annualized</w:t>
            </w: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left="37"/>
              <w:spacing w:after="0" w:line="135" w:lineRule="exact"/>
              <w:rPr>
                <w:sz w:val="20"/>
                <w:szCs w:val="20"/>
                <w:color w:val="auto"/>
              </w:rPr>
            </w:pPr>
            <w:r>
              <w:rPr>
                <w:rFonts w:ascii="Arial" w:cs="Arial" w:eastAsia="Arial" w:hAnsi="Arial"/>
                <w:sz w:val="13"/>
                <w:szCs w:val="13"/>
                <w:b w:val="1"/>
                <w:bCs w:val="1"/>
                <w:color w:val="auto"/>
                <w:w w:val="88"/>
              </w:rPr>
              <w:t>Percent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Cash Rent Per</w:t>
            </w: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20" w:type="dxa"/>
            <w:vAlign w:val="bottom"/>
          </w:tcPr>
          <w:p>
            <w:pPr>
              <w:spacing w:after="0"/>
              <w:rPr>
                <w:sz w:val="11"/>
                <w:szCs w:val="11"/>
                <w:color w:val="auto"/>
              </w:rPr>
            </w:pPr>
          </w:p>
        </w:tc>
        <w:tc>
          <w:tcPr>
            <w:tcW w:w="820" w:type="dxa"/>
            <w:vAlign w:val="bottom"/>
            <w:gridSpan w:val="3"/>
          </w:tcPr>
          <w:p>
            <w:pPr>
              <w:jc w:val="center"/>
              <w:ind w:left="37"/>
              <w:spacing w:after="0" w:line="135" w:lineRule="exact"/>
              <w:rPr>
                <w:sz w:val="20"/>
                <w:szCs w:val="20"/>
                <w:color w:val="auto"/>
              </w:rPr>
            </w:pPr>
            <w:r>
              <w:rPr>
                <w:rFonts w:ascii="Arial" w:cs="Arial" w:eastAsia="Arial" w:hAnsi="Arial"/>
                <w:sz w:val="13"/>
                <w:szCs w:val="13"/>
                <w:b w:val="1"/>
                <w:bCs w:val="1"/>
                <w:color w:val="auto"/>
                <w:w w:val="89"/>
              </w:rPr>
              <w:t>Portfolio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Annualized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Number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4"/>
              </w:rPr>
              <w:t>Leased</w:t>
            </w:r>
          </w:p>
        </w:tc>
      </w:tr>
      <w:tr>
        <w:trPr>
          <w:trHeight w:val="135"/>
        </w:trPr>
        <w:tc>
          <w:tcPr>
            <w:tcW w:w="2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DEVELOPMENT/REDEVELOPMENT</w:t>
            </w: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Rentable</w:t>
            </w:r>
          </w:p>
        </w:tc>
        <w:tc>
          <w:tcPr>
            <w:tcW w:w="120" w:type="dxa"/>
            <w:vAlign w:val="bottom"/>
          </w:tcPr>
          <w:p>
            <w:pPr>
              <w:spacing w:after="0"/>
              <w:rPr>
                <w:sz w:val="11"/>
                <w:szCs w:val="11"/>
                <w:color w:val="auto"/>
              </w:rPr>
            </w:pPr>
          </w:p>
        </w:tc>
        <w:tc>
          <w:tcPr>
            <w:tcW w:w="820" w:type="dxa"/>
            <w:vAlign w:val="bottom"/>
            <w:gridSpan w:val="3"/>
          </w:tcPr>
          <w:p>
            <w:pPr>
              <w:jc w:val="center"/>
              <w:ind w:left="37"/>
              <w:spacing w:after="0" w:line="135" w:lineRule="exact"/>
              <w:rPr>
                <w:sz w:val="20"/>
                <w:szCs w:val="20"/>
                <w:color w:val="auto"/>
              </w:rPr>
            </w:pPr>
            <w:r>
              <w:rPr>
                <w:rFonts w:ascii="Arial" w:cs="Arial" w:eastAsia="Arial" w:hAnsi="Arial"/>
                <w:sz w:val="13"/>
                <w:szCs w:val="13"/>
                <w:b w:val="1"/>
                <w:bCs w:val="1"/>
                <w:color w:val="auto"/>
                <w:w w:val="87"/>
              </w:rPr>
              <w:t>Rentable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Percent</w:t>
            </w: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Cash</w:t>
            </w:r>
          </w:p>
        </w:tc>
        <w:tc>
          <w:tcPr>
            <w:tcW w:w="100" w:type="dxa"/>
            <w:vAlign w:val="bottom"/>
          </w:tcPr>
          <w:p>
            <w:pPr>
              <w:spacing w:after="0"/>
              <w:rPr>
                <w:sz w:val="11"/>
                <w:szCs w:val="11"/>
                <w:color w:val="auto"/>
              </w:rPr>
            </w:pPr>
          </w:p>
        </w:tc>
        <w:tc>
          <w:tcPr>
            <w:tcW w:w="110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Gross Total RE</w:t>
            </w:r>
          </w:p>
        </w:tc>
        <w:tc>
          <w:tcPr>
            <w:tcW w:w="180" w:type="dxa"/>
            <w:vAlign w:val="bottom"/>
          </w:tcPr>
          <w:p>
            <w:pPr>
              <w:spacing w:after="0"/>
              <w:rPr>
                <w:sz w:val="11"/>
                <w:szCs w:val="11"/>
                <w:color w:val="auto"/>
              </w:rPr>
            </w:pPr>
          </w:p>
        </w:tc>
        <w:tc>
          <w:tcPr>
            <w:tcW w:w="4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Square</w:t>
            </w:r>
          </w:p>
        </w:tc>
      </w:tr>
      <w:tr>
        <w:trPr>
          <w:trHeight w:val="174"/>
        </w:trPr>
        <w:tc>
          <w:tcPr>
            <w:tcW w:w="27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SubMarket</w:t>
            </w: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Square Feet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3"/>
                <w:szCs w:val="13"/>
                <w:b w:val="1"/>
                <w:bCs w:val="1"/>
                <w:color w:val="auto"/>
                <w:w w:val="85"/>
              </w:rPr>
              <w:t>Square Feet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 xml:space="preserve">Occupied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9"/>
              </w:rPr>
              <w:t xml:space="preserve">Rent </w:t>
            </w:r>
            <w:r>
              <w:rPr>
                <w:rFonts w:ascii="Arial" w:cs="Arial" w:eastAsia="Arial" w:hAnsi="Arial"/>
                <w:sz w:val="8"/>
                <w:szCs w:val="8"/>
                <w:b w:val="1"/>
                <w:bCs w:val="1"/>
                <w:color w:val="auto"/>
                <w:w w:val="89"/>
              </w:rPr>
              <w:t>(2)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3"/>
                <w:szCs w:val="13"/>
                <w:b w:val="1"/>
                <w:bCs w:val="1"/>
                <w:color w:val="auto"/>
                <w:w w:val="87"/>
              </w:rPr>
              <w:t>Book Value</w:t>
            </w:r>
          </w:p>
        </w:tc>
        <w:tc>
          <w:tcPr>
            <w:tcW w:w="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84"/>
              </w:rPr>
              <w:t>Tenants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1"/>
              </w:rPr>
              <w:t xml:space="preserve">Foot </w:t>
            </w:r>
            <w:r>
              <w:rPr>
                <w:rFonts w:ascii="Arial" w:cs="Arial" w:eastAsia="Arial" w:hAnsi="Arial"/>
                <w:sz w:val="8"/>
                <w:szCs w:val="8"/>
                <w:b w:val="1"/>
                <w:bCs w:val="1"/>
                <w:color w:val="auto"/>
                <w:w w:val="91"/>
              </w:rPr>
              <w:t>(3)</w:t>
            </w:r>
          </w:p>
        </w:tc>
      </w:tr>
      <w:tr>
        <w:trPr>
          <w:trHeight w:val="255"/>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609 Fifth Avenue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Rockefeller Center</w:t>
            </w:r>
          </w:p>
        </w:tc>
        <w:tc>
          <w:tcPr>
            <w:tcW w:w="1040" w:type="dxa"/>
            <w:vAlign w:val="bottom"/>
            <w:gridSpan w:val="3"/>
            <w:shd w:val="clear" w:color="auto" w:fill="CCEEFF"/>
          </w:tcPr>
          <w:p>
            <w:pPr>
              <w:jc w:val="right"/>
              <w:ind w:right="77"/>
              <w:spacing w:after="0"/>
              <w:rPr>
                <w:sz w:val="20"/>
                <w:szCs w:val="20"/>
                <w:color w:val="auto"/>
              </w:rPr>
            </w:pPr>
            <w:r>
              <w:rPr>
                <w:rFonts w:ascii="Arial" w:cs="Arial" w:eastAsia="Arial" w:hAnsi="Arial"/>
                <w:sz w:val="13"/>
                <w:szCs w:val="13"/>
                <w:color w:val="auto"/>
              </w:rPr>
              <w:t>16,000</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100</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20,123,601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center"/>
              <w:ind w:left="217"/>
              <w:spacing w:after="0"/>
              <w:rPr>
                <w:sz w:val="20"/>
                <w:szCs w:val="20"/>
                <w:color w:val="auto"/>
              </w:rPr>
            </w:pPr>
            <w:r>
              <w:rPr>
                <w:rFonts w:ascii="Arial" w:cs="Arial" w:eastAsia="Arial" w:hAnsi="Arial"/>
                <w:sz w:val="13"/>
                <w:szCs w:val="13"/>
                <w:color w:val="auto"/>
                <w:w w:val="85"/>
              </w:rPr>
              <w:t>218,327</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2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123.85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r>
      <w:tr>
        <w:trPr>
          <w:trHeight w:val="36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77"/>
              <w:spacing w:after="0"/>
              <w:rPr>
                <w:sz w:val="20"/>
                <w:szCs w:val="20"/>
                <w:color w:val="auto"/>
              </w:rPr>
            </w:pPr>
            <w:r>
              <w:rPr>
                <w:rFonts w:ascii="Arial" w:cs="Arial" w:eastAsia="Arial" w:hAnsi="Arial"/>
                <w:sz w:val="13"/>
                <w:szCs w:val="13"/>
                <w:b w:val="1"/>
                <w:bCs w:val="1"/>
                <w:color w:val="auto"/>
                <w:w w:val="85"/>
              </w:rPr>
              <w:t>Average</w:t>
            </w: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83"/>
              </w:rPr>
              <w:t>Percent</w:t>
            </w:r>
          </w:p>
        </w:tc>
        <w:tc>
          <w:tcPr>
            <w:tcW w:w="100" w:type="dxa"/>
            <w:vAlign w:val="bottom"/>
          </w:tcPr>
          <w:p>
            <w:pPr>
              <w:spacing w:after="0"/>
              <w:rPr>
                <w:sz w:val="11"/>
                <w:szCs w:val="11"/>
                <w:color w:val="auto"/>
              </w:rPr>
            </w:pPr>
          </w:p>
        </w:tc>
        <w:tc>
          <w:tcPr>
            <w:tcW w:w="1100" w:type="dxa"/>
            <w:vAlign w:val="bottom"/>
            <w:gridSpan w:val="3"/>
          </w:tcPr>
          <w:p>
            <w:pPr>
              <w:jc w:val="center"/>
              <w:ind w:left="77"/>
              <w:spacing w:after="0" w:line="135" w:lineRule="exact"/>
              <w:rPr>
                <w:sz w:val="20"/>
                <w:szCs w:val="20"/>
                <w:color w:val="auto"/>
              </w:rPr>
            </w:pPr>
            <w:r>
              <w:rPr>
                <w:rFonts w:ascii="Arial" w:cs="Arial" w:eastAsia="Arial" w:hAnsi="Arial"/>
                <w:sz w:val="13"/>
                <w:szCs w:val="13"/>
                <w:b w:val="1"/>
                <w:bCs w:val="1"/>
                <w:color w:val="auto"/>
                <w:w w:val="87"/>
              </w:rPr>
              <w:t>Annualized Cash</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3"/>
          </w:tcPr>
          <w:p>
            <w:pPr>
              <w:jc w:val="center"/>
              <w:ind w:right="177"/>
              <w:spacing w:after="0" w:line="135" w:lineRule="exact"/>
              <w:rPr>
                <w:sz w:val="20"/>
                <w:szCs w:val="20"/>
                <w:color w:val="auto"/>
              </w:rPr>
            </w:pPr>
            <w:r>
              <w:rPr>
                <w:rFonts w:ascii="Arial" w:cs="Arial" w:eastAsia="Arial" w:hAnsi="Arial"/>
                <w:sz w:val="13"/>
                <w:szCs w:val="13"/>
                <w:b w:val="1"/>
                <w:bCs w:val="1"/>
                <w:color w:val="auto"/>
                <w:w w:val="92"/>
              </w:rPr>
              <w:t>Monthly Rent</w:t>
            </w: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RESIDENTIAL PROPERTY</w:t>
            </w:r>
          </w:p>
        </w:tc>
        <w:tc>
          <w:tcPr>
            <w:tcW w:w="1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SubMarket</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Usable Sq. Feet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w w:val="86"/>
              </w:rPr>
              <w:t>Total Units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9"/>
              </w:rPr>
              <w:t>Occupied</w:t>
            </w:r>
            <w:r>
              <w:rPr>
                <w:rFonts w:ascii="Arial" w:cs="Arial" w:eastAsia="Arial" w:hAnsi="Arial"/>
                <w:sz w:val="8"/>
                <w:szCs w:val="8"/>
                <w:b w:val="1"/>
                <w:bCs w:val="1"/>
                <w:color w:val="auto"/>
                <w:w w:val="89"/>
              </w:rPr>
              <w:t>(1)</w:t>
            </w:r>
          </w:p>
        </w:tc>
        <w:tc>
          <w:tcPr>
            <w:tcW w:w="12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left="77"/>
              <w:spacing w:after="0"/>
              <w:rPr>
                <w:sz w:val="20"/>
                <w:szCs w:val="20"/>
                <w:color w:val="auto"/>
              </w:rPr>
            </w:pPr>
            <w:r>
              <w:rPr>
                <w:rFonts w:ascii="Arial" w:cs="Arial" w:eastAsia="Arial" w:hAnsi="Arial"/>
                <w:sz w:val="13"/>
                <w:szCs w:val="13"/>
                <w:b w:val="1"/>
                <w:bCs w:val="1"/>
                <w:color w:val="auto"/>
                <w:w w:val="92"/>
              </w:rPr>
              <w:t>Rent</w:t>
            </w:r>
            <w:r>
              <w:rPr>
                <w:rFonts w:ascii="Arial" w:cs="Arial" w:eastAsia="Arial" w:hAnsi="Arial"/>
                <w:sz w:val="8"/>
                <w:szCs w:val="8"/>
                <w:b w:val="1"/>
                <w:bCs w:val="1"/>
                <w:color w:val="auto"/>
                <w:w w:val="92"/>
              </w:rPr>
              <w:t>(2)</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177"/>
              <w:spacing w:after="0"/>
              <w:rPr>
                <w:sz w:val="20"/>
                <w:szCs w:val="20"/>
                <w:color w:val="auto"/>
              </w:rPr>
            </w:pPr>
            <w:r>
              <w:rPr>
                <w:rFonts w:ascii="Arial" w:cs="Arial" w:eastAsia="Arial" w:hAnsi="Arial"/>
                <w:sz w:val="13"/>
                <w:szCs w:val="13"/>
                <w:b w:val="1"/>
                <w:bCs w:val="1"/>
                <w:color w:val="auto"/>
                <w:w w:val="94"/>
              </w:rPr>
              <w:t xml:space="preserve">Per Unit </w:t>
            </w:r>
            <w:r>
              <w:rPr>
                <w:rFonts w:ascii="Arial" w:cs="Arial" w:eastAsia="Arial" w:hAnsi="Arial"/>
                <w:sz w:val="8"/>
                <w:szCs w:val="8"/>
                <w:b w:val="1"/>
                <w:bCs w:val="1"/>
                <w:color w:val="auto"/>
                <w:w w:val="94"/>
              </w:rPr>
              <w:t>(7)</w:t>
            </w:r>
          </w:p>
        </w:tc>
      </w:tr>
      <w:tr>
        <w:trPr>
          <w:trHeight w:val="242"/>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315 West 33rd Street - The Olivia</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Penn Station</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w w:val="89"/>
              </w:rPr>
              <w:t>222,855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16,306,174</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4,260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leases signed but not yet commenced as of December 31, 2018.</w:t>
      </w:r>
    </w:p>
    <w:p>
      <w:pPr>
        <w:spacing w:after="0" w:line="13"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Annualized Cash Rent represents the monthly contractual rent under existing leases as of December 31, 2018 multiplied by 12. This amount reflects total rent before any rent abatements and includes expense reimbursements, which may be estimated as of such date. Total rent abatements for leases in effect as of December 31, 2018 for the 12 months ending December 31, 2019 will reduce cash rent by $42.3 million for our properties.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Annualized Cash Rent Per Leased Square Foot represents Annualized Cash Rent, as described in footnote (1) above, presented on a per leased square foot basis.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own a 90% interest in this joint venture asset.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hold a leasehold interest in this property.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own a 51% interest in this joint venture asset.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Calculated based on occupied units.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Occupancy</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Historically SL Green has achieved consistently higher occupancy rates in its Manhattan portfolio as compared to the overall midtown Manhattan market, as shown over the last five years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Leased</w:t>
            </w:r>
          </w:p>
        </w:tc>
        <w:tc>
          <w:tcPr>
            <w:tcW w:w="2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Occupancy Rate of</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Occupancy Rate of</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Class A</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Occupancy Rate of</w:t>
            </w: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Office Properties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Office Properties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Manhattan Operating</w:t>
            </w: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 the Midtown Manhattan</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 the Midtown Manhattan</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Portfolio</w:t>
            </w:r>
            <w:r>
              <w:rPr>
                <w:rFonts w:ascii="Arial" w:cs="Arial" w:eastAsia="Arial" w:hAnsi="Arial"/>
                <w:sz w:val="8"/>
                <w:szCs w:val="8"/>
                <w:b w:val="1"/>
                <w:bCs w:val="1"/>
                <w:color w:val="auto"/>
                <w:w w:val="94"/>
              </w:rPr>
              <w:t>(1)</w:t>
            </w:r>
          </w:p>
        </w:tc>
        <w:tc>
          <w:tcPr>
            <w:tcW w:w="2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Market</w:t>
            </w:r>
            <w:r>
              <w:rPr>
                <w:rFonts w:ascii="Arial" w:cs="Arial" w:eastAsia="Arial" w:hAnsi="Arial"/>
                <w:sz w:val="8"/>
                <w:szCs w:val="8"/>
                <w:b w:val="1"/>
                <w:bCs w:val="1"/>
                <w:color w:val="auto"/>
              </w:rPr>
              <w:t>(2)(3)</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Market</w:t>
            </w:r>
            <w:r>
              <w:rPr>
                <w:rFonts w:ascii="Arial" w:cs="Arial" w:eastAsia="Arial" w:hAnsi="Arial"/>
                <w:sz w:val="8"/>
                <w:szCs w:val="8"/>
                <w:b w:val="1"/>
                <w:bCs w:val="1"/>
                <w:color w:val="auto"/>
              </w:rPr>
              <w:t>(2)(3)</w:t>
            </w:r>
          </w:p>
        </w:tc>
        <w:tc>
          <w:tcPr>
            <w:tcW w:w="0" w:type="dxa"/>
            <w:vAlign w:val="bottom"/>
          </w:tcPr>
          <w:p>
            <w:pPr>
              <w:spacing w:after="0"/>
              <w:rPr>
                <w:sz w:val="1"/>
                <w:szCs w:val="1"/>
                <w:color w:val="auto"/>
              </w:rPr>
            </w:pPr>
          </w:p>
        </w:tc>
      </w:tr>
      <w:tr>
        <w:trPr>
          <w:trHeight w:val="236"/>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December 31, 2017</w:t>
            </w:r>
          </w:p>
        </w:tc>
        <w:tc>
          <w:tcPr>
            <w:tcW w:w="198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December 31, 2015</w:t>
            </w:r>
          </w:p>
        </w:tc>
        <w:tc>
          <w:tcPr>
            <w:tcW w:w="198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33"/>
        </w:trPr>
        <w:tc>
          <w:tcPr>
            <w:tcW w:w="5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leases signed but not yet commenced as of the relevant date in the wholly-owned and joint venture properties owned by SL Green.</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vacant space available for direct lease and sublease. Source: Cushman &amp; Wakefield.</w:t>
      </w:r>
    </w:p>
    <w:p>
      <w:pPr>
        <w:spacing w:after="0" w:line="1" w:lineRule="exact"/>
        <w:rPr>
          <w:rFonts w:ascii="Arial" w:cs="Arial" w:eastAsia="Arial" w:hAnsi="Arial"/>
          <w:sz w:val="14"/>
          <w:szCs w:val="14"/>
          <w:color w:val="auto"/>
        </w:rPr>
      </w:pPr>
    </w:p>
    <w:p>
      <w:pPr>
        <w:jc w:val="both"/>
        <w:ind w:left="420" w:hanging="412"/>
        <w:spacing w:after="0" w:line="248"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term "Class B" is generally used in the Manhattan office market to describe office properties that are more than 25 years old but that are in good physical condition, enjoy widespread acceptance by high-quality tenants and are situated in desirable locations in Manhattan. Class B office properties can be distinguished from Class A properties in that Class A properties are generally newer properties with higher finishes and frequently obtain the highest rental rates within their markets.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Expirations</w:t>
      </w:r>
    </w:p>
    <w:p>
      <w:pPr>
        <w:spacing w:after="0" w:line="11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Leases in our Manhattan portfolio, as at many other Manhattan office properties, typically have an initial term of seven to fifteen years, compared to typical lease terms of five to ten years in other large U.S. office markets. For the five years ending December 31, 2023, the average annual lease expirations at our Manhattan operating properties is expected to be approximately 0.8 million square feet representing an average annual expiration rate of approximately 10.0% per year (assuming no tenants exercise renewal or cancellation options and there are no tenant bankruptcies or other tenant defaults).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a schedule of the annual lease expirations at our Manhattan operating properties, with respect to leases in place as of December 31, 2018 for each of the next ten years and thereafter (assuming that no tenants exercise renewal or cancellation options and that there no tenant bankruptcies or other tenant defaults):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1140" w:type="dxa"/>
            <w:vAlign w:val="bottom"/>
          </w:tcPr>
          <w:p>
            <w:pPr>
              <w:jc w:val="center"/>
              <w:ind w:right="123"/>
              <w:spacing w:after="0"/>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Cash Rent</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Square</w:t>
            </w: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Annualized</w:t>
            </w:r>
          </w:p>
        </w:tc>
        <w:tc>
          <w:tcPr>
            <w:tcW w:w="15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1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Annualized</w:t>
            </w:r>
          </w:p>
        </w:tc>
        <w:tc>
          <w:tcPr>
            <w:tcW w:w="220" w:type="dxa"/>
            <w:vAlign w:val="bottom"/>
          </w:tcPr>
          <w:p>
            <w:pPr>
              <w:spacing w:after="0"/>
              <w:rPr>
                <w:sz w:val="12"/>
                <w:szCs w:val="12"/>
                <w:color w:val="auto"/>
              </w:rPr>
            </w:pPr>
          </w:p>
        </w:tc>
        <w:tc>
          <w:tcPr>
            <w:tcW w:w="114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Footage</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Cash Rent</w:t>
            </w:r>
          </w:p>
        </w:tc>
        <w:tc>
          <w:tcPr>
            <w:tcW w:w="15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Cash Rent</w:t>
            </w:r>
          </w:p>
        </w:tc>
        <w:tc>
          <w:tcPr>
            <w:tcW w:w="220" w:type="dxa"/>
            <w:vAlign w:val="bottom"/>
          </w:tcPr>
          <w:p>
            <w:pPr>
              <w:spacing w:after="0"/>
              <w:rPr>
                <w:sz w:val="12"/>
                <w:szCs w:val="12"/>
                <w:color w:val="auto"/>
              </w:rPr>
            </w:pPr>
          </w:p>
        </w:tc>
        <w:tc>
          <w:tcPr>
            <w:tcW w:w="114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Square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Manhattan Operating Properties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Leased</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5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14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Foot of</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Expiring</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Expiring</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Square</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Expiring</w:t>
            </w:r>
          </w:p>
        </w:tc>
        <w:tc>
          <w:tcPr>
            <w:tcW w:w="15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9"/>
              </w:rPr>
              <w:t>Expiring</w:t>
            </w:r>
          </w:p>
        </w:tc>
        <w:tc>
          <w:tcPr>
            <w:tcW w:w="220" w:type="dxa"/>
            <w:vAlign w:val="bottom"/>
          </w:tcPr>
          <w:p>
            <w:pPr>
              <w:spacing w:after="0"/>
              <w:rPr>
                <w:sz w:val="12"/>
                <w:szCs w:val="12"/>
                <w:color w:val="auto"/>
              </w:rPr>
            </w:pPr>
          </w:p>
        </w:tc>
        <w:tc>
          <w:tcPr>
            <w:tcW w:w="11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6"/>
              </w:rPr>
              <w:t>Expiring</w:t>
            </w:r>
          </w:p>
        </w:tc>
        <w:tc>
          <w:tcPr>
            <w:tcW w:w="0" w:type="dxa"/>
            <w:vAlign w:val="bottom"/>
          </w:tcPr>
          <w:p>
            <w:pPr>
              <w:spacing w:after="0"/>
              <w:rPr>
                <w:sz w:val="1"/>
                <w:szCs w:val="1"/>
                <w:color w:val="auto"/>
              </w:rPr>
            </w:pPr>
          </w:p>
        </w:tc>
      </w:tr>
      <w:tr>
        <w:trPr>
          <w:trHeight w:val="192"/>
        </w:trPr>
        <w:tc>
          <w:tcPr>
            <w:tcW w:w="28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Leases(</w:t>
            </w:r>
            <w:r>
              <w:rPr>
                <w:rFonts w:ascii="Arial" w:cs="Arial" w:eastAsia="Arial" w:hAnsi="Arial"/>
                <w:sz w:val="10"/>
                <w:szCs w:val="10"/>
                <w:b w:val="1"/>
                <w:bCs w:val="1"/>
                <w:color w:val="auto"/>
                <w:w w:val="89"/>
              </w:rPr>
              <w:t>1</w:t>
            </w:r>
            <w:r>
              <w:rPr>
                <w:rFonts w:ascii="Arial" w:cs="Arial" w:eastAsia="Arial" w:hAnsi="Arial"/>
                <w:sz w:val="14"/>
                <w:szCs w:val="14"/>
                <w:b w:val="1"/>
                <w:bCs w:val="1"/>
                <w:color w:val="auto"/>
                <w:w w:val="89"/>
              </w:rPr>
              <w: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Leases</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Feet</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Leases(</w:t>
            </w:r>
            <w:r>
              <w:rPr>
                <w:rFonts w:ascii="Arial" w:cs="Arial" w:eastAsia="Arial" w:hAnsi="Arial"/>
                <w:sz w:val="10"/>
                <w:szCs w:val="10"/>
                <w:b w:val="1"/>
                <w:bCs w:val="1"/>
                <w:color w:val="auto"/>
                <w:w w:val="89"/>
              </w:rPr>
              <w:t>2</w:t>
            </w:r>
            <w:r>
              <w:rPr>
                <w:rFonts w:ascii="Arial" w:cs="Arial" w:eastAsia="Arial" w:hAnsi="Arial"/>
                <w:sz w:val="14"/>
                <w:szCs w:val="14"/>
                <w:b w:val="1"/>
                <w:bCs w:val="1"/>
                <w:color w:val="auto"/>
                <w:w w:val="89"/>
              </w:rPr>
              <w:t>)</w:t>
            </w:r>
          </w:p>
        </w:tc>
        <w:tc>
          <w:tcPr>
            <w:tcW w:w="150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Leases</w:t>
            </w:r>
          </w:p>
        </w:tc>
        <w:tc>
          <w:tcPr>
            <w:tcW w:w="220" w:type="dxa"/>
            <w:vAlign w:val="bottom"/>
          </w:tcPr>
          <w:p>
            <w:pPr>
              <w:spacing w:after="0"/>
              <w:rPr>
                <w:sz w:val="16"/>
                <w:szCs w:val="16"/>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Leases(</w:t>
            </w:r>
            <w:r>
              <w:rPr>
                <w:rFonts w:ascii="Arial" w:cs="Arial" w:eastAsia="Arial" w:hAnsi="Arial"/>
                <w:sz w:val="10"/>
                <w:szCs w:val="10"/>
                <w:b w:val="1"/>
                <w:bCs w:val="1"/>
                <w:color w:val="auto"/>
                <w:w w:val="89"/>
              </w:rPr>
              <w:t>3</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70"/>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2019</w:t>
            </w:r>
            <w:r>
              <w:rPr>
                <w:rFonts w:ascii="Arial" w:cs="Arial" w:eastAsia="Arial" w:hAnsi="Arial"/>
                <w:sz w:val="21"/>
                <w:szCs w:val="21"/>
                <w:color w:val="auto"/>
                <w:vertAlign w:val="superscript"/>
              </w:rPr>
              <w:t>(4)</w:t>
            </w:r>
          </w:p>
        </w:tc>
        <w:tc>
          <w:tcPr>
            <w:tcW w:w="14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696,905</w:t>
            </w:r>
          </w:p>
        </w:tc>
        <w:tc>
          <w:tcPr>
            <w:tcW w:w="12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55,953,217</w:t>
            </w:r>
          </w:p>
        </w:tc>
        <w:tc>
          <w:tcPr>
            <w:tcW w:w="120" w:type="dxa"/>
            <w:vAlign w:val="bottom"/>
            <w:tcBorders>
              <w:top w:val="single" w:sz="8" w:color="CCEEFF"/>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9.5%</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80.29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781,483</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60,106,504</w:t>
            </w:r>
          </w:p>
        </w:tc>
        <w:tc>
          <w:tcPr>
            <w:tcW w:w="120" w:type="dxa"/>
            <w:vAlign w:val="bottom"/>
          </w:tcPr>
          <w:p>
            <w:pPr>
              <w:spacing w:after="0"/>
              <w:rPr>
                <w:sz w:val="20"/>
                <w:szCs w:val="20"/>
                <w:color w:val="auto"/>
              </w:rPr>
            </w:pP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76.91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1,255,483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85,313,257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67.95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681,578</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49,152,984</w:t>
            </w:r>
          </w:p>
        </w:tc>
        <w:tc>
          <w:tcPr>
            <w:tcW w:w="120" w:type="dxa"/>
            <w:vAlign w:val="bottom"/>
          </w:tcPr>
          <w:p>
            <w:pPr>
              <w:spacing w:after="0"/>
              <w:rPr>
                <w:sz w:val="20"/>
                <w:szCs w:val="20"/>
                <w:color w:val="auto"/>
              </w:rPr>
            </w:pP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72.12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698,068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42,973,151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61.56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134,073</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11,905,737</w:t>
            </w:r>
          </w:p>
        </w:tc>
        <w:tc>
          <w:tcPr>
            <w:tcW w:w="120" w:type="dxa"/>
            <w:vAlign w:val="bottom"/>
          </w:tcPr>
          <w:p>
            <w:pPr>
              <w:spacing w:after="0"/>
              <w:rPr>
                <w:sz w:val="20"/>
                <w:szCs w:val="20"/>
                <w:color w:val="auto"/>
              </w:rPr>
            </w:pP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88.80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504,912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50,534,762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100.09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745,999</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49,956,919</w:t>
            </w:r>
          </w:p>
        </w:tc>
        <w:tc>
          <w:tcPr>
            <w:tcW w:w="120" w:type="dxa"/>
            <w:vAlign w:val="bottom"/>
          </w:tcPr>
          <w:p>
            <w:pPr>
              <w:spacing w:after="0"/>
              <w:rPr>
                <w:sz w:val="20"/>
                <w:szCs w:val="20"/>
                <w:color w:val="auto"/>
              </w:rPr>
            </w:pP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66.97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389,992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32,563,793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83.50</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2028 &amp; thereafter</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2,352,278</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151,154,382</w:t>
            </w:r>
          </w:p>
        </w:tc>
        <w:tc>
          <w:tcPr>
            <w:tcW w:w="120" w:type="dxa"/>
            <w:vAlign w:val="bottom"/>
          </w:tcPr>
          <w:p>
            <w:pPr>
              <w:spacing w:after="0"/>
              <w:rPr>
                <w:sz w:val="20"/>
                <w:szCs w:val="20"/>
                <w:color w:val="auto"/>
              </w:rPr>
            </w:pPr>
          </w:p>
        </w:tc>
        <w:tc>
          <w:tcPr>
            <w:tcW w:w="1500" w:type="dxa"/>
            <w:vAlign w:val="bottom"/>
          </w:tcPr>
          <w:p>
            <w:pPr>
              <w:jc w:val="right"/>
              <w:ind w:right="182"/>
              <w:spacing w:after="0"/>
              <w:rPr>
                <w:sz w:val="20"/>
                <w:szCs w:val="20"/>
                <w:color w:val="auto"/>
              </w:rPr>
            </w:pPr>
            <w:r>
              <w:rPr>
                <w:rFonts w:ascii="Arial" w:cs="Arial" w:eastAsia="Arial" w:hAnsi="Arial"/>
                <w:sz w:val="16"/>
                <w:szCs w:val="16"/>
                <w:color w:val="auto"/>
              </w:rPr>
              <w:t>25.6</w:t>
            </w:r>
          </w:p>
        </w:tc>
        <w:tc>
          <w:tcPr>
            <w:tcW w:w="2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64.26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Total/weighted average</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8,240,771</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589,614,706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71.55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Tenants may have multiple leases.</w:t>
      </w:r>
    </w:p>
    <w:p>
      <w:pPr>
        <w:spacing w:after="0" w:line="13"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Annualized Cash Rent of Expiring Leases represents the monthly contractual rent under existing leases as of December 31, 2018 multiplied by 12. This amount reflects total rent before any rent abatements and includes expense reimbursements, which may be estimated as of such date. Total rent abatements for leases in effect as of December 31, 2018 for the 12 months ending December 31, 2019 will reduce cash rent by $39.8 million for the properties.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Annualized Cash Rent Per Leased Square Foot of Expiring Leases represents Annualized Cash Rent of Expiring Leases, as described in footnote (2) above, presented on a per leased square foot basis.</w:t>
      </w:r>
    </w:p>
    <w:p>
      <w:pPr>
        <w:ind w:left="420" w:hanging="412"/>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approximately 8,934 square feet and annualized cash rent of $0.1 million occupied by month-to-month holdover tenants whose leases expired prior to December 31, 2018.</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Leases in our Suburban portfolio, as at many other suburban operating properties, typically have an initial term of five to ten years. For the five years ending December 31, 2023, the average annual lease expirations at our Suburban operating properties is expected to be approximately 0.2 million square feet, representing an average annual expiration rate of approximately 11.8% per year (assuming no tenants exercise renewal or cancellation options and there are no tenant bankruptcies or other tenant defaults).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following tables set forth a schedule of the annual lease expirations at our Suburban operating properties with respect to leases in place as of December 31, 2018 for each of the next ten years and thereafter (assuming that no tenants exercise renewal or cancellation options and that there are no tenant bankruptcies or other tenant defaults):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20" w:type="dxa"/>
            <w:vAlign w:val="bottom"/>
          </w:tcPr>
          <w:p>
            <w:pPr>
              <w:spacing w:after="0"/>
              <w:rPr>
                <w:sz w:val="14"/>
                <w:szCs w:val="14"/>
                <w:color w:val="auto"/>
              </w:rPr>
            </w:pPr>
          </w:p>
        </w:tc>
        <w:tc>
          <w:tcPr>
            <w:tcW w:w="1140" w:type="dxa"/>
            <w:vAlign w:val="bottom"/>
          </w:tcPr>
          <w:p>
            <w:pPr>
              <w:jc w:val="center"/>
              <w:ind w:right="123"/>
              <w:spacing w:after="0"/>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Percentage</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Cash Rent</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Square</w:t>
            </w: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Annualized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1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360" w:type="dxa"/>
            <w:vAlign w:val="bottom"/>
            <w:gridSpan w:val="2"/>
            <w:vMerge w:val="continue"/>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Annualized</w:t>
            </w:r>
          </w:p>
        </w:tc>
        <w:tc>
          <w:tcPr>
            <w:tcW w:w="320" w:type="dxa"/>
            <w:vAlign w:val="bottom"/>
          </w:tcPr>
          <w:p>
            <w:pPr>
              <w:spacing w:after="0"/>
              <w:rPr>
                <w:sz w:val="12"/>
                <w:szCs w:val="12"/>
                <w:color w:val="auto"/>
              </w:rPr>
            </w:pPr>
          </w:p>
        </w:tc>
        <w:tc>
          <w:tcPr>
            <w:tcW w:w="114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1"/>
              </w:rPr>
              <w:t>Leased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Footage</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Cash Rent</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Cash Rent</w:t>
            </w:r>
          </w:p>
        </w:tc>
        <w:tc>
          <w:tcPr>
            <w:tcW w:w="320" w:type="dxa"/>
            <w:vAlign w:val="bottom"/>
          </w:tcPr>
          <w:p>
            <w:pPr>
              <w:spacing w:after="0"/>
              <w:rPr>
                <w:sz w:val="12"/>
                <w:szCs w:val="12"/>
                <w:color w:val="auto"/>
              </w:rPr>
            </w:pPr>
          </w:p>
        </w:tc>
        <w:tc>
          <w:tcPr>
            <w:tcW w:w="114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Square</w:t>
            </w:r>
          </w:p>
        </w:tc>
        <w:tc>
          <w:tcPr>
            <w:tcW w:w="0" w:type="dxa"/>
            <w:vAlign w:val="bottom"/>
          </w:tcPr>
          <w:p>
            <w:pPr>
              <w:spacing w:after="0"/>
              <w:rPr>
                <w:sz w:val="1"/>
                <w:szCs w:val="1"/>
                <w:color w:val="auto"/>
              </w:rPr>
            </w:pPr>
          </w:p>
        </w:tc>
      </w:tr>
      <w:tr>
        <w:trPr>
          <w:trHeight w:val="149"/>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Suburban Operating Properties</w:t>
            </w:r>
          </w:p>
        </w:tc>
        <w:tc>
          <w:tcPr>
            <w:tcW w:w="1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Leased</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14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Foot of</w:t>
            </w:r>
          </w:p>
        </w:tc>
        <w:tc>
          <w:tcPr>
            <w:tcW w:w="0" w:type="dxa"/>
            <w:vAlign w:val="bottom"/>
          </w:tcPr>
          <w:p>
            <w:pPr>
              <w:spacing w:after="0"/>
              <w:rPr>
                <w:sz w:val="1"/>
                <w:szCs w:val="1"/>
                <w:color w:val="auto"/>
              </w:rPr>
            </w:pPr>
          </w:p>
        </w:tc>
      </w:tr>
      <w:tr>
        <w:trPr>
          <w:trHeight w:val="149"/>
        </w:trPr>
        <w:tc>
          <w:tcPr>
            <w:tcW w:w="2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Expiring</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Expiring</w:t>
            </w:r>
          </w:p>
        </w:tc>
        <w:tc>
          <w:tcPr>
            <w:tcW w:w="15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Square</w:t>
            </w:r>
          </w:p>
        </w:tc>
        <w:tc>
          <w:tcPr>
            <w:tcW w:w="24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Expiring</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Expiring</w:t>
            </w:r>
          </w:p>
        </w:tc>
        <w:tc>
          <w:tcPr>
            <w:tcW w:w="320" w:type="dxa"/>
            <w:vAlign w:val="bottom"/>
          </w:tcPr>
          <w:p>
            <w:pPr>
              <w:spacing w:after="0"/>
              <w:rPr>
                <w:sz w:val="12"/>
                <w:szCs w:val="12"/>
                <w:color w:val="auto"/>
              </w:rPr>
            </w:pPr>
          </w:p>
        </w:tc>
        <w:tc>
          <w:tcPr>
            <w:tcW w:w="11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6"/>
              </w:rPr>
              <w:t>Expiring</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Leases(</w:t>
            </w:r>
            <w:r>
              <w:rPr>
                <w:rFonts w:ascii="Arial" w:cs="Arial" w:eastAsia="Arial" w:hAnsi="Arial"/>
                <w:sz w:val="10"/>
                <w:szCs w:val="10"/>
                <w:b w:val="1"/>
                <w:bCs w:val="1"/>
                <w:color w:val="auto"/>
                <w:w w:val="89"/>
              </w:rPr>
              <w:t>1</w:t>
            </w:r>
            <w:r>
              <w:rPr>
                <w:rFonts w:ascii="Arial" w:cs="Arial" w:eastAsia="Arial" w:hAnsi="Arial"/>
                <w:sz w:val="14"/>
                <w:szCs w:val="14"/>
                <w:b w:val="1"/>
                <w:bCs w:val="1"/>
                <w:color w:val="auto"/>
                <w:w w:val="89"/>
              </w:rPr>
              <w:t>)</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Leases</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Feet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Leases(</w:t>
            </w:r>
            <w:r>
              <w:rPr>
                <w:rFonts w:ascii="Arial" w:cs="Arial" w:eastAsia="Arial" w:hAnsi="Arial"/>
                <w:sz w:val="10"/>
                <w:szCs w:val="10"/>
                <w:b w:val="1"/>
                <w:bCs w:val="1"/>
                <w:color w:val="auto"/>
                <w:w w:val="89"/>
              </w:rPr>
              <w:t>2</w:t>
            </w:r>
            <w:r>
              <w:rPr>
                <w:rFonts w:ascii="Arial" w:cs="Arial" w:eastAsia="Arial" w:hAnsi="Arial"/>
                <w:sz w:val="14"/>
                <w:szCs w:val="14"/>
                <w:b w:val="1"/>
                <w:bCs w:val="1"/>
                <w:color w:val="auto"/>
                <w:w w:val="89"/>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Leases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9"/>
              </w:rPr>
              <w:t>Leases(</w:t>
            </w:r>
            <w:r>
              <w:rPr>
                <w:rFonts w:ascii="Arial" w:cs="Arial" w:eastAsia="Arial" w:hAnsi="Arial"/>
                <w:sz w:val="10"/>
                <w:szCs w:val="10"/>
                <w:b w:val="1"/>
                <w:bCs w:val="1"/>
                <w:color w:val="auto"/>
                <w:w w:val="89"/>
              </w:rPr>
              <w:t>3</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r>
              <w:rPr>
                <w:rFonts w:ascii="Arial" w:cs="Arial" w:eastAsia="Arial" w:hAnsi="Arial"/>
                <w:sz w:val="21"/>
                <w:szCs w:val="21"/>
                <w:color w:val="auto"/>
                <w:vertAlign w:val="superscript"/>
              </w:rPr>
              <w:t>(4)</w:t>
            </w:r>
          </w:p>
        </w:tc>
        <w:tc>
          <w:tcPr>
            <w:tcW w:w="12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250,916</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7,727,268</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2020</w:t>
            </w:r>
          </w:p>
        </w:tc>
        <w:tc>
          <w:tcPr>
            <w:tcW w:w="1280" w:type="dxa"/>
            <w:vAlign w:val="bottom"/>
            <w:gridSpan w:val="2"/>
          </w:tcPr>
          <w:p>
            <w:pPr>
              <w:jc w:val="right"/>
              <w:ind w:right="28"/>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163,184</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5,929,026</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13.6</w:t>
            </w:r>
          </w:p>
        </w:tc>
        <w:tc>
          <w:tcPr>
            <w:tcW w:w="3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36.33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207,724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7,693,464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17.6</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2022</w:t>
            </w:r>
          </w:p>
        </w:tc>
        <w:tc>
          <w:tcPr>
            <w:tcW w:w="1280" w:type="dxa"/>
            <w:vAlign w:val="bottom"/>
            <w:gridSpan w:val="2"/>
          </w:tcPr>
          <w:p>
            <w:pPr>
              <w:jc w:val="right"/>
              <w:ind w:right="28"/>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48,363</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1,727,104</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114,436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3,829,074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8.8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2024</w:t>
            </w:r>
          </w:p>
        </w:tc>
        <w:tc>
          <w:tcPr>
            <w:tcW w:w="1280" w:type="dxa"/>
            <w:vAlign w:val="bottom"/>
            <w:gridSpan w:val="2"/>
          </w:tcPr>
          <w:p>
            <w:pPr>
              <w:jc w:val="right"/>
              <w:ind w:right="28"/>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22,453</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706,140</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29,439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1,067,678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2026</w:t>
            </w:r>
          </w:p>
        </w:tc>
        <w:tc>
          <w:tcPr>
            <w:tcW w:w="1280" w:type="dxa"/>
            <w:vAlign w:val="bottom"/>
            <w:gridSpan w:val="2"/>
          </w:tcPr>
          <w:p>
            <w:pPr>
              <w:jc w:val="right"/>
              <w:ind w:right="28"/>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170,707</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6,172,301</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14.1</w:t>
            </w:r>
          </w:p>
        </w:tc>
        <w:tc>
          <w:tcPr>
            <w:tcW w:w="3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36.16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2027</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180,213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4,540,701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10.4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2028 &amp; thereafter</w:t>
            </w:r>
          </w:p>
        </w:tc>
        <w:tc>
          <w:tcPr>
            <w:tcW w:w="1280" w:type="dxa"/>
            <w:vAlign w:val="bottom"/>
            <w:gridSpan w:val="2"/>
          </w:tcPr>
          <w:p>
            <w:pPr>
              <w:jc w:val="right"/>
              <w:ind w:right="28"/>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146,021</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4,231,143</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9.8</w:t>
            </w:r>
          </w:p>
        </w:tc>
        <w:tc>
          <w:tcPr>
            <w:tcW w:w="32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Total/weighted average</w:t>
            </w:r>
          </w:p>
        </w:tc>
        <w:tc>
          <w:tcPr>
            <w:tcW w:w="128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1,333,456</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43,623,899</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Tenants may have multiple leases.</w:t>
      </w:r>
    </w:p>
    <w:p>
      <w:pPr>
        <w:spacing w:after="0" w:line="13"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Annualized Cash Rent of Expiring Leases represents the monthly contractual rent under existing leases as of December 31, 2018 multiplied by 12. This amount reflects total rent before any rent abatements and includes expense reimbursements, which may be estimated as of such date. Total rent abatements for leases in effect as of December 31, 2018 for the 12 months ending December 31, 2019 will reduce cash rent by $2.5 million for the suburban properties.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Annualized Cash Rent Per Leased Square Foot of Expiring Leases represents Annualized Cash Rent of Expiring Leases, as described in footnote (2) above, presented on a per leased square foot basis.</w:t>
      </w:r>
    </w:p>
    <w:p>
      <w:pPr>
        <w:ind w:left="420" w:hanging="412"/>
        <w:spacing w:after="0"/>
        <w:tabs>
          <w:tab w:leader="none" w:pos="4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approximately 43,859 square feet and annualized cash rent of $1.6 million occupied by month-to-month holdover tenants whose leases expired prior to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Diversification</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December 31, 2018, our Manhattan and Suburban office properties were leased to 438 tenants, which are engaged in a variety of businesses, including, but not limited to, professional services, financial services, media, apparel, business services and government/non-profit. The following table sets forth information regarding the leases with respect to the 10 largest tenants in our Manhattan and Suburban office properties, which are not intended to be representative of our tenants as a whole, based on the amount of our share of annualized cash rent as of December 31,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Percentage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Aggregate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Aggregate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Portfolio</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Leased</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Leased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Tenant</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Properties</w:t>
            </w:r>
          </w:p>
        </w:tc>
        <w:tc>
          <w:tcPr>
            <w:tcW w:w="120" w:type="dxa"/>
            <w:vAlign w:val="bottom"/>
            <w:vMerge w:val="restart"/>
          </w:tcPr>
          <w:p>
            <w:pPr>
              <w:spacing w:after="0"/>
              <w:rPr>
                <w:sz w:val="12"/>
                <w:szCs w:val="12"/>
                <w:color w:val="auto"/>
              </w:rPr>
            </w:pPr>
          </w:p>
        </w:tc>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Lease Expiration</w:t>
            </w:r>
          </w:p>
        </w:tc>
        <w:tc>
          <w:tcPr>
            <w:tcW w:w="120" w:type="dxa"/>
            <w:vAlign w:val="bottom"/>
            <w:vMerge w:val="restart"/>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Square</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Square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Feet</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Feet</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Rent</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Ralph Lauren Corporation</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625</w:t>
            </w: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Madison Avenue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386,785</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Debevoise &amp; Plimpton, LLP</w:t>
            </w:r>
          </w:p>
        </w:tc>
        <w:tc>
          <w:tcPr>
            <w:tcW w:w="300" w:type="dxa"/>
            <w:vAlign w:val="bottom"/>
          </w:tcPr>
          <w:p>
            <w:pPr>
              <w:ind w:left="40"/>
              <w:spacing w:after="0"/>
              <w:rPr>
                <w:sz w:val="20"/>
                <w:szCs w:val="20"/>
                <w:color w:val="auto"/>
              </w:rPr>
            </w:pPr>
            <w:r>
              <w:rPr>
                <w:rFonts w:ascii="Arial" w:cs="Arial" w:eastAsia="Arial" w:hAnsi="Arial"/>
                <w:sz w:val="16"/>
                <w:szCs w:val="16"/>
                <w:color w:val="auto"/>
                <w:w w:val="89"/>
              </w:rPr>
              <w:t>919</w:t>
            </w:r>
          </w:p>
        </w:tc>
        <w:tc>
          <w:tcPr>
            <w:tcW w:w="2660" w:type="dxa"/>
            <w:vAlign w:val="bottom"/>
            <w:gridSpan w:val="2"/>
          </w:tcPr>
          <w:p>
            <w:pPr>
              <w:ind w:left="20"/>
              <w:spacing w:after="0"/>
              <w:rPr>
                <w:sz w:val="20"/>
                <w:szCs w:val="20"/>
                <w:color w:val="auto"/>
              </w:rPr>
            </w:pPr>
            <w:r>
              <w:rPr>
                <w:rFonts w:ascii="Arial" w:cs="Arial" w:eastAsia="Arial" w:hAnsi="Arial"/>
                <w:sz w:val="16"/>
                <w:szCs w:val="16"/>
                <w:color w:val="auto"/>
              </w:rPr>
              <w:t>Third Avenue</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577,438</w:t>
            </w:r>
          </w:p>
        </w:tc>
        <w:tc>
          <w:tcPr>
            <w:tcW w:w="12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King &amp; Spalding</w:t>
            </w:r>
          </w:p>
        </w:tc>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1185 Avenue of the Americas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218,275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News America Incorporated</w:t>
            </w:r>
          </w:p>
        </w:tc>
        <w:tc>
          <w:tcPr>
            <w:tcW w:w="2960" w:type="dxa"/>
            <w:vAlign w:val="bottom"/>
            <w:gridSpan w:val="3"/>
          </w:tcPr>
          <w:p>
            <w:pPr>
              <w:ind w:left="40"/>
              <w:spacing w:after="0"/>
              <w:rPr>
                <w:sz w:val="20"/>
                <w:szCs w:val="20"/>
                <w:color w:val="auto"/>
              </w:rPr>
            </w:pPr>
            <w:r>
              <w:rPr>
                <w:rFonts w:ascii="Arial" w:cs="Arial" w:eastAsia="Arial" w:hAnsi="Arial"/>
                <w:sz w:val="16"/>
                <w:szCs w:val="16"/>
                <w:color w:val="auto"/>
              </w:rPr>
              <w:t>1185 Avenue of the Americas</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165,086</w:t>
            </w:r>
          </w:p>
        </w:tc>
        <w:tc>
          <w:tcPr>
            <w:tcW w:w="12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National Hockey League</w:t>
            </w:r>
          </w:p>
        </w:tc>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1185 Avenue of the Americas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148,217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C.B.S. Broadcasting, Inc.</w:t>
            </w:r>
          </w:p>
        </w:tc>
        <w:tc>
          <w:tcPr>
            <w:tcW w:w="300" w:type="dxa"/>
            <w:vAlign w:val="bottom"/>
          </w:tcPr>
          <w:p>
            <w:pPr>
              <w:ind w:left="40"/>
              <w:spacing w:after="0"/>
              <w:rPr>
                <w:sz w:val="20"/>
                <w:szCs w:val="20"/>
                <w:color w:val="auto"/>
              </w:rPr>
            </w:pPr>
            <w:r>
              <w:rPr>
                <w:rFonts w:ascii="Arial" w:cs="Arial" w:eastAsia="Arial" w:hAnsi="Arial"/>
                <w:sz w:val="16"/>
                <w:szCs w:val="16"/>
                <w:color w:val="auto"/>
                <w:w w:val="89"/>
              </w:rPr>
              <w:t>555</w:t>
            </w:r>
          </w:p>
        </w:tc>
        <w:tc>
          <w:tcPr>
            <w:tcW w:w="2660" w:type="dxa"/>
            <w:vAlign w:val="bottom"/>
            <w:gridSpan w:val="2"/>
          </w:tcPr>
          <w:p>
            <w:pPr>
              <w:ind w:left="20"/>
              <w:spacing w:after="0"/>
              <w:rPr>
                <w:sz w:val="20"/>
                <w:szCs w:val="20"/>
                <w:color w:val="auto"/>
              </w:rPr>
            </w:pPr>
            <w:r>
              <w:rPr>
                <w:rFonts w:ascii="Arial" w:cs="Arial" w:eastAsia="Arial" w:hAnsi="Arial"/>
                <w:sz w:val="16"/>
                <w:szCs w:val="16"/>
                <w:color w:val="auto"/>
              </w:rPr>
              <w:t>West 57th Street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338,527</w:t>
            </w:r>
          </w:p>
        </w:tc>
        <w:tc>
          <w:tcPr>
            <w:tcW w:w="12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Giorgio Armani Collection</w:t>
            </w:r>
          </w:p>
        </w:tc>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752-760 Madison Avenue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21,124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w w:val="99"/>
              </w:rPr>
              <w:t>Advance Magazine Group, Fairchild Publications</w:t>
            </w:r>
          </w:p>
        </w:tc>
        <w:tc>
          <w:tcPr>
            <w:tcW w:w="300" w:type="dxa"/>
            <w:vAlign w:val="bottom"/>
          </w:tcPr>
          <w:p>
            <w:pPr>
              <w:ind w:left="40"/>
              <w:spacing w:after="0"/>
              <w:rPr>
                <w:sz w:val="20"/>
                <w:szCs w:val="20"/>
                <w:color w:val="auto"/>
              </w:rPr>
            </w:pPr>
            <w:r>
              <w:rPr>
                <w:rFonts w:ascii="Arial" w:cs="Arial" w:eastAsia="Arial" w:hAnsi="Arial"/>
                <w:sz w:val="16"/>
                <w:szCs w:val="16"/>
                <w:color w:val="auto"/>
                <w:w w:val="89"/>
              </w:rPr>
              <w:t>750</w:t>
            </w:r>
          </w:p>
        </w:tc>
        <w:tc>
          <w:tcPr>
            <w:tcW w:w="2660" w:type="dxa"/>
            <w:vAlign w:val="bottom"/>
            <w:gridSpan w:val="2"/>
          </w:tcPr>
          <w:p>
            <w:pPr>
              <w:ind w:left="20"/>
              <w:spacing w:after="0"/>
              <w:rPr>
                <w:sz w:val="20"/>
                <w:szCs w:val="20"/>
                <w:color w:val="auto"/>
              </w:rPr>
            </w:pPr>
            <w:r>
              <w:rPr>
                <w:rFonts w:ascii="Arial" w:cs="Arial" w:eastAsia="Arial" w:hAnsi="Arial"/>
                <w:sz w:val="16"/>
                <w:szCs w:val="16"/>
                <w:color w:val="auto"/>
              </w:rPr>
              <w:t>Third Avenue</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286,622</w:t>
            </w:r>
          </w:p>
        </w:tc>
        <w:tc>
          <w:tcPr>
            <w:tcW w:w="12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Amerada Hess Corp.</w:t>
            </w:r>
          </w:p>
        </w:tc>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1185 Avenue of the Americas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167,169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0"/>
        </w:trPr>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2022, 2025,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Infor (USA) Inc.</w:t>
            </w:r>
          </w:p>
        </w:tc>
        <w:tc>
          <w:tcPr>
            <w:tcW w:w="300" w:type="dxa"/>
            <w:vAlign w:val="bottom"/>
          </w:tcPr>
          <w:p>
            <w:pPr>
              <w:ind w:left="40"/>
              <w:spacing w:after="0"/>
              <w:rPr>
                <w:sz w:val="20"/>
                <w:szCs w:val="20"/>
                <w:color w:val="auto"/>
              </w:rPr>
            </w:pPr>
            <w:r>
              <w:rPr>
                <w:rFonts w:ascii="Arial" w:cs="Arial" w:eastAsia="Arial" w:hAnsi="Arial"/>
                <w:sz w:val="16"/>
                <w:szCs w:val="16"/>
                <w:color w:val="auto"/>
                <w:w w:val="89"/>
              </w:rPr>
              <w:t>635</w:t>
            </w:r>
          </w:p>
        </w:tc>
        <w:tc>
          <w:tcPr>
            <w:tcW w:w="2660" w:type="dxa"/>
            <w:vAlign w:val="bottom"/>
            <w:gridSpan w:val="2"/>
          </w:tcPr>
          <w:p>
            <w:pPr>
              <w:ind w:left="20"/>
              <w:spacing w:after="0"/>
              <w:rPr>
                <w:sz w:val="20"/>
                <w:szCs w:val="20"/>
                <w:color w:val="auto"/>
              </w:rPr>
            </w:pPr>
            <w:r>
              <w:rPr>
                <w:rFonts w:ascii="Arial" w:cs="Arial" w:eastAsia="Arial" w:hAnsi="Arial"/>
                <w:sz w:val="16"/>
                <w:szCs w:val="16"/>
                <w:color w:val="auto"/>
              </w:rPr>
              <w:t>Sixth Avenue &amp; 641 Sixth Avenue</w:t>
            </w:r>
          </w:p>
        </w:tc>
        <w:tc>
          <w:tcPr>
            <w:tcW w:w="1120" w:type="dxa"/>
            <w:vAlign w:val="bottom"/>
          </w:tcPr>
          <w:p>
            <w:pPr>
              <w:jc w:val="center"/>
              <w:spacing w:after="0"/>
              <w:rPr>
                <w:sz w:val="20"/>
                <w:szCs w:val="20"/>
                <w:color w:val="auto"/>
              </w:rPr>
            </w:pPr>
            <w:r>
              <w:rPr>
                <w:rFonts w:ascii="Arial" w:cs="Arial" w:eastAsia="Arial" w:hAnsi="Arial"/>
                <w:sz w:val="16"/>
                <w:szCs w:val="16"/>
                <w:color w:val="auto"/>
                <w:w w:val="94"/>
              </w:rPr>
              <w:t>2026 &amp; 2027</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149,119</w:t>
            </w:r>
          </w:p>
        </w:tc>
        <w:tc>
          <w:tcPr>
            <w:tcW w:w="120" w:type="dxa"/>
            <w:vAlign w:val="bottom"/>
          </w:tcPr>
          <w:p>
            <w:pPr>
              <w:spacing w:after="0"/>
              <w:rPr>
                <w:sz w:val="17"/>
                <w:szCs w:val="17"/>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2,458,362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engaged independent environmental consulting firms to perform Phase I environmental site assessments on our portfolio, in order to assess existing environmental conditions. All of the Phase I assessments met the American Society for Testing and Materials (ASTM) Standard. Under the ASTM Standard, a Phase I environmental site assessment consists of a site visit, an historical record review, a review of regulatory agency data bases and records, and interviews with on-site personnel, with the purpose of identifying potential environmental concerns associated with real estate. These environmental site assessments did not reveal any known environmental liability that we believe will have a material adverse effect on our results of operations or financial condition.</w:t>
      </w:r>
    </w:p>
    <w:p>
      <w:pPr>
        <w:spacing w:after="0" w:line="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we were not involved in any material litigation nor, to management's knowledge, was any material litigation threatened against us or our portfolio which if adversely determined could have a material adverse impact on us.</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There is no established trading market for our common equity. As of March 27, 2019, there were two holders of our Class A common units, both of which are subsidiaries of SL Green.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distributions have been declared by ROP in respect of its Class A common units subsequent to the Merger on January 25,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did not sell any Class A common units during the years ended December 31, 2018, 2017 and 2016 that were not registered under the Securities Act of 1933, as amended.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None of the Class A common units were exchanged into shares of SL Green's common stock and cash in accordance with the Merger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 Purchasers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our selected financial data and should be read in conjunction with our Financial Statements and notes thereto included in Item 7, "Management's Discussion and Analysis of Financial Condition and Results of Operations" and Item 8, "Financial Statements and Supplementary Data" in this Annual Report on Form 10-K.</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Operating Data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283"/>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816,103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967,538</w:t>
            </w: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975,416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925,233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847,522</w:t>
            </w:r>
          </w:p>
        </w:tc>
      </w:tr>
      <w:tr>
        <w:trPr>
          <w:trHeight w:val="250"/>
        </w:trPr>
        <w:tc>
          <w:tcPr>
            <w:tcW w:w="41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131,212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164,219</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166,137</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163,969</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154,374</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taxes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130,532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156,967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152,010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133,567</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Ground rent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19,798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20,941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20,971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20,941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20,941</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 of interest income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62,081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123,969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129,356</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Amortization of deferred finance costs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9,313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7,918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7,810</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166,372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205,795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212,514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202,474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196,505</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Loan loss and other investment reserves, net of recoveries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 related costs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3,599</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Marketing, general and administrative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521,187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681,703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669,716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661,453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646,524</w:t>
            </w:r>
          </w:p>
        </w:tc>
      </w:tr>
      <w:tr>
        <w:trPr>
          <w:trHeight w:val="250"/>
        </w:trPr>
        <w:tc>
          <w:tcPr>
            <w:tcW w:w="4120" w:type="dxa"/>
            <w:vAlign w:val="bottom"/>
          </w:tcPr>
          <w:p>
            <w:pPr>
              <w:ind w:left="40"/>
              <w:spacing w:after="0"/>
              <w:rPr>
                <w:sz w:val="20"/>
                <w:szCs w:val="20"/>
                <w:color w:val="auto"/>
              </w:rPr>
            </w:pPr>
            <w:r>
              <w:rPr>
                <w:rFonts w:ascii="Arial" w:cs="Arial" w:eastAsia="Arial" w:hAnsi="Arial"/>
                <w:sz w:val="14"/>
                <w:szCs w:val="14"/>
                <w:color w:val="auto"/>
              </w:rPr>
              <w:t>Equity in net income from unconsolidated joint venture</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14,192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14,509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4,491</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Equity in net gain on sale of interest in unconsolidated joint venture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85,559</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Purchase price and other fair value adjustment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54,860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gain on sale of real estate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(54,095)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69,826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Depreciable real estate reserves and impairment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(106,376)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(172,071)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(7,385)</w:t>
            </w:r>
          </w:p>
        </w:tc>
      </w:tr>
      <w:tr>
        <w:trPr>
          <w:trHeight w:val="250"/>
        </w:trPr>
        <w:tc>
          <w:tcPr>
            <w:tcW w:w="4120" w:type="dxa"/>
            <w:vAlign w:val="bottom"/>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199,484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198,454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313,300</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362,764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283,663</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119,575</w:t>
            </w:r>
          </w:p>
        </w:tc>
      </w:tr>
      <w:tr>
        <w:trPr>
          <w:trHeight w:val="250"/>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199,484</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198,454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313,300</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362,764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403,238</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noncontrolling interests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17,440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Preferred units dividend</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(3,819)</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ROP common unitholder</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194,945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212,075</w:t>
            </w: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305,055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351,897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400,597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Balance Sheet Data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283"/>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real estate, before accumulated depreciation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5,459,370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7,029,455</w:t>
            </w: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7,508,870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7,428,243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7,203,216</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7,009,297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8,541,508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8,754,613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8,833,317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8,303,773</w:t>
            </w:r>
          </w:p>
        </w:tc>
      </w:tr>
      <w:tr>
        <w:trPr>
          <w:trHeight w:val="163"/>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Mortgage note and other loan payable, revolving credit facility and</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4"/>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 and senior unsecured notes, net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607,569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1,730,715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2,650,849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2,660,297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2,893,001</w:t>
            </w:r>
          </w:p>
        </w:tc>
      </w:tr>
      <w:tr>
        <w:trPr>
          <w:trHeight w:val="258"/>
        </w:trPr>
        <w:tc>
          <w:tcPr>
            <w:tcW w:w="4120" w:type="dxa"/>
            <w:vAlign w:val="bottom"/>
          </w:tcPr>
          <w:p>
            <w:pPr>
              <w:ind w:left="40"/>
              <w:spacing w:after="0"/>
              <w:rPr>
                <w:sz w:val="20"/>
                <w:szCs w:val="20"/>
                <w:color w:val="auto"/>
              </w:rPr>
            </w:pPr>
            <w:r>
              <w:rPr>
                <w:rFonts w:ascii="Arial" w:cs="Arial" w:eastAsia="Arial" w:hAnsi="Arial"/>
                <w:sz w:val="14"/>
                <w:szCs w:val="14"/>
                <w:color w:val="auto"/>
              </w:rPr>
              <w:t>Total capital</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6,081,108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6,333,020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5,528,823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4,586,952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5,080,081</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right="250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Reckson Operating Partnership, L.P., or ROP, commenced operations on June 2, 1995. The sole general partner of ROP is Wyoming Acquisition GP LLC., or WAGP, a wholly-owned subsidiary of SL Green Operating Partnership, L.P., or the Operating Partnership. The sole limited partner of ROP is the Operating Partnership. SL Green Realty Corp., or SL Green, is the general partner of the Operating Partnership. Unless the context requires otherwise, all references to "we," "our," "us" and the "Company" means ROP and all entities owned or controlled by ROP.</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engaged in the acquisition, ownership, management and operation of commercial and residential real estate properties, principally office properties, and also own land for future development in the New York metropolitan area.</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discussion related to our consolidated financial statements should be read in conjunction with the financial statements appearing in Item 8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Leasing and Operating</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2018, SL Green's same-store Manhattan office property occupancy inclusive of leases signed but not commenced, was 95.7% compared to 95.8% in the prior year. SL Green signed office leases in Manhattan encompassing approximately 2.4 million square feet, of which approximately 1.3 million square feet represented office leases that replaced previously occupied space. SL Green's mark-to-market on the signed Manhattan office leases that replaced previously occupied space was 6.5% for 2018.</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According to Cushman &amp; Wakefield, leasing activity in Manhattan in 2018 totaled approximately 35.9 million square feet. Of the total 2018 leasing activity in Manhattan, the Midtown submarket accounted for approximately 23.7 million square feet, or approximately 66.0%. Manhattan's overall office vacancy went from 8.9% at December 31, 2017 to 9.2% at December 31, 2018 primarily as a result of increased vacancy in the Downtown submarket partially offset by decreased vacancy in the Midtown submarket. Overall average asking rents in Manhattan increased in 2018 by 0.04% from $72.25 per square foot at December 31, 2017 to $72.28 per square foot at December 31, 2018.</w:t>
      </w:r>
    </w:p>
    <w:p>
      <w:pPr>
        <w:spacing w:after="0" w:line="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2018, we owned the following interests in properties in the New York metropolitan area, primarily in midtown Manhattan. Our investments in the New York metropolitan area also include investments in Brooklyn, Westchester County, and Connecticut, which are collectively known as the Suburban properties: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ind w:left="480"/>
              <w:spacing w:after="0"/>
              <w:rPr>
                <w:sz w:val="20"/>
                <w:szCs w:val="20"/>
                <w:color w:val="auto"/>
              </w:rPr>
            </w:pPr>
            <w:r>
              <w:rPr>
                <w:rFonts w:ascii="Arial" w:cs="Arial" w:eastAsia="Arial" w:hAnsi="Arial"/>
                <w:sz w:val="16"/>
                <w:szCs w:val="16"/>
                <w:b w:val="1"/>
                <w:bCs w:val="1"/>
                <w:color w:val="auto"/>
              </w:rPr>
              <w:t>Number of</w:t>
            </w:r>
          </w:p>
        </w:tc>
        <w:tc>
          <w:tcPr>
            <w:tcW w:w="1700" w:type="dxa"/>
            <w:vAlign w:val="bottom"/>
          </w:tcPr>
          <w:p>
            <w:pPr>
              <w:jc w:val="right"/>
              <w:ind w:right="58"/>
              <w:spacing w:after="0"/>
              <w:rPr>
                <w:sz w:val="20"/>
                <w:szCs w:val="20"/>
                <w:color w:val="auto"/>
              </w:rPr>
            </w:pPr>
            <w:r>
              <w:rPr>
                <w:rFonts w:ascii="Arial" w:cs="Arial" w:eastAsia="Arial" w:hAnsi="Arial"/>
                <w:sz w:val="16"/>
                <w:szCs w:val="16"/>
                <w:b w:val="1"/>
                <w:bCs w:val="1"/>
                <w:color w:val="auto"/>
                <w:w w:val="98"/>
              </w:rPr>
              <w:t>Approximate Square</w:t>
            </w:r>
          </w:p>
        </w:tc>
        <w:tc>
          <w:tcPr>
            <w:tcW w:w="100" w:type="dxa"/>
            <w:vAlign w:val="bottom"/>
          </w:tcPr>
          <w:p>
            <w:pPr>
              <w:spacing w:after="0"/>
              <w:rPr>
                <w:sz w:val="17"/>
                <w:szCs w:val="17"/>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Weighted Average</w:t>
            </w:r>
          </w:p>
        </w:tc>
      </w:tr>
      <w:tr>
        <w:trPr>
          <w:trHeight w:val="243"/>
        </w:trPr>
        <w:tc>
          <w:tcPr>
            <w:tcW w:w="288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bottom w:val="single" w:sz="8" w:color="CCEEFF"/>
            </w:tcBorders>
          </w:tcPr>
          <w:p>
            <w:pPr>
              <w:spacing w:after="0"/>
              <w:rPr>
                <w:sz w:val="21"/>
                <w:szCs w:val="21"/>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Properties</w:t>
            </w:r>
          </w:p>
        </w:tc>
        <w:tc>
          <w:tcPr>
            <w:tcW w:w="1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618"/>
              <w:spacing w:after="0"/>
              <w:rPr>
                <w:sz w:val="20"/>
                <w:szCs w:val="20"/>
                <w:color w:val="auto"/>
              </w:rPr>
            </w:pPr>
            <w:r>
              <w:rPr>
                <w:rFonts w:ascii="Arial" w:cs="Arial" w:eastAsia="Arial" w:hAnsi="Arial"/>
                <w:sz w:val="16"/>
                <w:szCs w:val="16"/>
                <w:b w:val="1"/>
                <w:bCs w:val="1"/>
                <w:color w:val="auto"/>
              </w:rPr>
              <w:t>Feet</w:t>
            </w:r>
          </w:p>
        </w:tc>
        <w:tc>
          <w:tcPr>
            <w:tcW w:w="10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Occupancy</w:t>
            </w:r>
            <w:r>
              <w:rPr>
                <w:rFonts w:ascii="Arial" w:cs="Arial" w:eastAsia="Arial" w:hAnsi="Arial"/>
                <w:sz w:val="21"/>
                <w:szCs w:val="21"/>
                <w:b w:val="1"/>
                <w:bCs w:val="1"/>
                <w:color w:val="auto"/>
                <w:vertAlign w:val="superscript"/>
              </w:rPr>
              <w:t>(1)</w:t>
            </w: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Commercial:</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70"/>
        </w:trPr>
        <w:tc>
          <w:tcPr>
            <w:tcW w:w="2980" w:type="dxa"/>
            <w:vAlign w:val="bottom"/>
            <w:gridSpan w:val="2"/>
          </w:tcPr>
          <w:p>
            <w:pPr>
              <w:ind w:left="180"/>
              <w:spacing w:after="0"/>
              <w:rPr>
                <w:sz w:val="20"/>
                <w:szCs w:val="20"/>
                <w:color w:val="auto"/>
              </w:rPr>
            </w:pPr>
            <w:r>
              <w:rPr>
                <w:rFonts w:ascii="Arial" w:cs="Arial" w:eastAsia="Arial" w:hAnsi="Arial"/>
                <w:sz w:val="16"/>
                <w:szCs w:val="16"/>
                <w:color w:val="auto"/>
              </w:rPr>
              <w:t>Manhattan</w:t>
            </w: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Office</w:t>
            </w:r>
            <w:r>
              <w:rPr>
                <w:rFonts w:ascii="Arial" w:cs="Arial" w:eastAsia="Arial" w:hAnsi="Arial"/>
                <w:sz w:val="21"/>
                <w:szCs w:val="21"/>
                <w:color w:val="auto"/>
                <w:w w:val="91"/>
                <w:vertAlign w:val="superscript"/>
              </w:rPr>
              <w:t>(2)</w:t>
            </w:r>
          </w:p>
        </w:tc>
        <w:tc>
          <w:tcPr>
            <w:tcW w:w="1700" w:type="dxa"/>
            <w:vAlign w:val="bottom"/>
          </w:tcPr>
          <w:p>
            <w:pPr>
              <w:jc w:val="right"/>
              <w:ind w:right="18"/>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8,303,245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94.9%</w:t>
            </w:r>
          </w:p>
        </w:tc>
      </w:tr>
      <w:tr>
        <w:trPr>
          <w:trHeight w:val="270"/>
        </w:trPr>
        <w:tc>
          <w:tcPr>
            <w:tcW w:w="2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5"/>
              </w:rPr>
              <w:t>Retail</w:t>
            </w:r>
            <w:r>
              <w:rPr>
                <w:rFonts w:ascii="Arial" w:cs="Arial" w:eastAsia="Arial" w:hAnsi="Arial"/>
                <w:sz w:val="21"/>
                <w:szCs w:val="21"/>
                <w:color w:val="auto"/>
                <w:w w:val="85"/>
                <w:vertAlign w:val="superscript"/>
              </w:rPr>
              <w:t>(3)(4)</w:t>
            </w:r>
          </w:p>
        </w:tc>
        <w:tc>
          <w:tcPr>
            <w:tcW w:w="17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364,816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99.4%</w:t>
            </w:r>
          </w:p>
        </w:tc>
      </w:tr>
      <w:tr>
        <w:trPr>
          <w:trHeight w:val="237"/>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Development/Redevelopment</w:t>
            </w:r>
          </w:p>
        </w:tc>
        <w:tc>
          <w:tcPr>
            <w:tcW w:w="1700" w:type="dxa"/>
            <w:vAlign w:val="bottom"/>
          </w:tcPr>
          <w:p>
            <w:pPr>
              <w:jc w:val="right"/>
              <w:ind w:right="18"/>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700" w:type="dxa"/>
            <w:vAlign w:val="bottom"/>
          </w:tcPr>
          <w:p>
            <w:pPr>
              <w:jc w:val="right"/>
              <w:ind w:right="38"/>
              <w:spacing w:after="0"/>
              <w:rPr>
                <w:sz w:val="20"/>
                <w:szCs w:val="20"/>
                <w:color w:val="auto"/>
              </w:rPr>
            </w:pPr>
            <w:r>
              <w:rPr>
                <w:rFonts w:ascii="Arial" w:cs="Arial" w:eastAsia="Arial" w:hAnsi="Arial"/>
                <w:sz w:val="16"/>
                <w:szCs w:val="16"/>
                <w:color w:val="auto"/>
              </w:rPr>
              <w:t>160,000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96.0%</w:t>
            </w:r>
          </w:p>
        </w:tc>
      </w:tr>
      <w:tr>
        <w:trPr>
          <w:trHeight w:val="33"/>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8,828,061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17"/>
        </w:trPr>
        <w:tc>
          <w:tcPr>
            <w:tcW w:w="2980" w:type="dxa"/>
            <w:vAlign w:val="bottom"/>
            <w:gridSpan w:val="2"/>
          </w:tcPr>
          <w:p>
            <w:pPr>
              <w:ind w:left="180"/>
              <w:spacing w:after="0"/>
              <w:rPr>
                <w:sz w:val="20"/>
                <w:szCs w:val="20"/>
                <w:color w:val="auto"/>
              </w:rPr>
            </w:pPr>
            <w:r>
              <w:rPr>
                <w:rFonts w:ascii="Arial" w:cs="Arial" w:eastAsia="Arial" w:hAnsi="Arial"/>
                <w:sz w:val="16"/>
                <w:szCs w:val="16"/>
                <w:color w:val="auto"/>
              </w:rPr>
              <w:t>Suburban</w:t>
            </w:r>
          </w:p>
        </w:tc>
        <w:tc>
          <w:tcPr>
            <w:tcW w:w="30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Office</w:t>
            </w:r>
          </w:p>
        </w:tc>
        <w:tc>
          <w:tcPr>
            <w:tcW w:w="17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1,432,400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94.3%</w:t>
            </w: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Retail</w:t>
            </w: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1,484,400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94.5%</w:t>
            </w:r>
          </w:p>
        </w:tc>
      </w:tr>
      <w:tr>
        <w:trPr>
          <w:trHeight w:val="33"/>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commercial properties</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10,312,461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95.0%</w:t>
            </w:r>
          </w:p>
        </w:tc>
      </w:tr>
      <w:tr>
        <w:trPr>
          <w:trHeight w:val="231"/>
        </w:trPr>
        <w:tc>
          <w:tcPr>
            <w:tcW w:w="2980" w:type="dxa"/>
            <w:vAlign w:val="bottom"/>
            <w:gridSpan w:val="2"/>
          </w:tcPr>
          <w:p>
            <w:pPr>
              <w:ind w:left="40"/>
              <w:spacing w:after="0"/>
              <w:rPr>
                <w:sz w:val="20"/>
                <w:szCs w:val="20"/>
                <w:color w:val="auto"/>
              </w:rPr>
            </w:pPr>
            <w:r>
              <w:rPr>
                <w:rFonts w:ascii="Arial" w:cs="Arial" w:eastAsia="Arial" w:hAnsi="Arial"/>
                <w:sz w:val="16"/>
                <w:szCs w:val="16"/>
                <w:b w:val="1"/>
                <w:bCs w:val="1"/>
                <w:color w:val="auto"/>
              </w:rPr>
              <w:t>Residential:</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2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Manhattan</w:t>
            </w:r>
          </w:p>
        </w:tc>
        <w:tc>
          <w:tcPr>
            <w:tcW w:w="30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Residential</w:t>
            </w:r>
            <w:r>
              <w:rPr>
                <w:rFonts w:ascii="Arial" w:cs="Arial" w:eastAsia="Arial" w:hAnsi="Arial"/>
                <w:sz w:val="21"/>
                <w:szCs w:val="21"/>
                <w:color w:val="auto"/>
                <w:w w:val="87"/>
                <w:vertAlign w:val="superscript"/>
              </w:rPr>
              <w:t>(3)</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222,855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31"/>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Total portfolio</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10,535,316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12700</wp:posOffset>
            </wp:positionV>
            <wp:extent cx="2229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-98425</wp:posOffset>
            </wp:positionV>
            <wp:extent cx="2229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420" w:hanging="412"/>
        <w:spacing w:after="0" w:line="241"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one unconsolidated joint venture property at 919 Third Avenue comprised of approximately 1,454,000 square feet.</w:t>
      </w:r>
    </w:p>
    <w:p>
      <w:pPr>
        <w:spacing w:after="0" w:line="1"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December 31, 2018, we owned a building at 315 West 33rd Street, also known as The Olivia, that was comprised of approximately 270,132 square feet of retail space and approximately 222,855 square feet of residential space. For the purpose of this report, we have included the building in the number of retail properties we own. However, we have included only the retail square footage in the retail approximate square footage, and have listed the balance of the square footage as residential square footage.</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two unconsolidated joint venture retail properties at 131-137 Spring Street comprised of approximately 68,342 square feet.</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we also held debt, preferred equity and other investments with a book value of $2.0 billion.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and contingencies as of the date of the financial statements and the reported amounts of revenues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 following critical accounting policies affect our more significant judgments and estimates used in the preparation of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Commercial Real Estate Properties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Real estate properties are presented at cost less accumulated depreciation and amortization. Costs directly related to the development or redevelopment of properties are capitalized. Ordinary repairs and maintenance are expensed as incurred; major replacements and betterments, which improve or extend the life of the asset, are capitalized and depreciated over their estimated useful lives.</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recognize the assets acquired, liabilities assumed (including contingencies) and any noncontrolling interests in an acquired entity at their respective fair values on the acquisition date.</w:t>
      </w:r>
    </w:p>
    <w:p>
      <w:pPr>
        <w:spacing w:after="0" w:line="6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incur a variety of costs in the development and leasing of our properties. After the determination is made to capitalize a cost, it is allocated to the specific component of a project that is benefited. Determination of when a development project is substantially complete and capitalization must cease involves a degree of judgment. The costs of land and building under development include specifically identifiable costs. The capitalized costs include, but are not limited to,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after major construction activity ceases. We cease capitalization on the portions substantially completed and occupied or held available for occupancy, and capitalize only those costs associated with the portions under construction.</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 periodic basis, we assess whether there are any indications that the value of our real estate properties may be impaired or that their carrying value may not be recoverable. A property's value is considered impaired if management's estimate of the aggregate future cash flows (undiscounted) to be generated by the property is less than the carrying value of the property. To the extent impairment has occurred, the loss will be measured as the excess of the carrying amount of the property over the calculated fair value of the property.</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evaluate our real estate properties for impairment when a property has been classified as held for sale. Real estate assets held for sale are valued at the lower of their carrying value or fair value less costs to sell and depreciation expense is no longer recorded. See Note 4, "Properties Held for Sale and Dispositions."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Joint Ventures</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account for our investments in unconsolidated joint ventures under the equity method of accounting in cases where we exercise significant influence over, but do not control, these entities and are not considered to be the primary beneficiary. We consolidate those joint ventures that we control or which are variable interest entities (each, a "VIE") and where we are considered to be the primary beneficiary. In all these joint ventures, the rights of the joint venture partner are both protective as well as participating. Unless we are determined to be the primary beneficiary in a VIE, these participating rights preclude us from consolidating these VIE entities. These investments are recorded initially at cost, as investments in unconsolidated joint ventures, and subsequently adjusted for equity in net income (loss) and cash contributions and distributions. Equity in net income (loss) from unconsolidated joint ventures is allocated based on our ownership or economic interest in each joint venture and includes adjustments related to basis differences that were identified as part of the initial accounting for the investment. When a capital event (as defined in each joint venture agreement) such as a refinancing occurs, if return thresholds are met, future equity income will be allocated at our increased economic interest. We recognize incentive income from unconsolidated real estate joint ventures as income to the extent it is earned and not subject to a clawback feature. Distributions we receive from unconsolidated real estate joint ventures in excess of our basis in the investment are recorded as offsets to our investment balance if we remain liable for future obligations of the joint venture or may otherwise be committed to provide future additional financial support. None of the joint venture debt is recourse to us. See Note 6, "Investments in Unconsolidated Joint Ventures."</w:t>
      </w:r>
    </w:p>
    <w:p>
      <w:pPr>
        <w:spacing w:after="0" w:line="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the joint ventures' projected discounted cash flows. We do not believe that the values of any of our equity investments were impaired at December 31, 2018.</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may originate loans for real estate acquisition, development and construction, where we expect to receive some of the residual profit from such projects. When the risk and rewards of these arrangements are essentially the same as an investor or joint venture partner, we account for these arrangements as real estate investments under the equity method of accounting for investments. Otherwise, we account for these arrangements consistent with the accounting for our debt and preferred equity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Rental revenue is recognized on a straight-line basis over the term of the lease. The excess of rents recognized over amounts contractually due pursuant to the underlying leases are included in deferred rents receivable on the consolidated balance sheets. We establish, on a current basis, an allowance for future potential tenant credit losses, which may occur against this account. The balance reflected on the consolidated balance sheets is net of such allowance.</w:t>
      </w:r>
    </w:p>
    <w:p>
      <w:pPr>
        <w:spacing w:after="0" w:line="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record a gain on sale of real estate assets when we no longer hold a controlling financial interest in the entity holding the real estate, a contract exists with a third party and that third party has control of the assets acquired.</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Investment income on debt and preferred equity investments is accrued based on the contractual terms of the instruments and when, in the opinion of management, it is deemed collectible. Some debt and preferred equity investments provide for accrual of interest at specified rates, which differ from current payment terms. Interest is recognized on such loans at the accrual rate subject to management's determination that accrued interest is ultimately collectible, based on the underlying collateral and operations of the borrower. If management cannot make this determination, interest income above the current pay rate is recognized only upon actual receipt.</w:t>
      </w:r>
    </w:p>
    <w:p>
      <w:pPr>
        <w:spacing w:after="0" w:line="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Deferred origination fees, original issue discounts and loan origination costs, if any, are recognized as an adjustment to the interest income over the terms of the related investments using the effective interest method. Fees received in connection with loan commitments are also deferred until the loan is funded and are then recognized over the term of the loan as an adjustment to yield.</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Debt and preferred equity investments are placed on a non-accrual status at the earlier of the date at which payments become 90 days past due or when, in the opinion of management, a full recovery of interest income becomes doubtful. Interest income recognition on any non-accrual debt or preferred equity investment is resumed when such non-accrual debt or preferred equity investment becomes contractually current and performance is demonstrated to be resumed. Interest is recorded as income on impaired loans only to the extent cash is received.</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may syndicate a portion of the loans that we originate or sell the loans individually. When a transaction meets the criteria for sale accounting, we derecognize the loan sold and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management fees are recognized on a straight-line basis over the term of the asset management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maintain an allowance for doubtful accounts for estimated losses resulting from the inability of our tenants to make required payments. If the financial condition of a specific tenant were to deteriorate, resulting in an impairment of its ability to make payments, additional allowances may be required.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 and other investment reserves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expense for loan loss and other investment reserves in connection with debt and preferred equity investments is the charge to earnings to adjust the allowance for possible losses to the level that we estimate to be adequate, based on Level 3 data, considering delinquencies, loss experience and collateral quality.</w:t>
      </w:r>
    </w:p>
    <w:p>
      <w:pPr>
        <w:spacing w:after="0" w:line="7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evaluates debt and preferred equity investments that are held to maturity for possible impairment or credit deterioration associated with the performance and/or value of the underlying collateral property as well as the financial and operating capability of the borrower/sponsor. Quarterly, the Company assigns each loan a risk rating. Based on a 3-point scale, loans are rated “1” through “3,” from less risk to greater risk, which ratings are defined as follows: 1 - Low Risk Assets - Low probability of loss, 2 - Watch List Assets - Higher potential for loss, 3 - High Risk Assets - Loss more likely than not.</w:t>
      </w:r>
    </w:p>
    <w:p>
      <w:pPr>
        <w:spacing w:after="0" w:line="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When it is probable that we will be unable to collect all amounts contractually due, the investment is considered impaired. A valuation allowance is measured based upon the excess of the recorded investment amount over the fair value of the collateral. Any deficiency between the carrying amount of an asset and the calculated value of the collateral is charged to expense. We continue to assess or adjust our estimates based on circumstances of a loan and the underlying collateral. If additional information reflects increased recovery of our investment, we will adjust our reserves accordingly.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Debt and preferred equity investments that are classified as held for sale are carried at the lower of cost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net carrying value to debt and preferred equity investments held to maturity. For these reclassified investments, the difference between the current carrying value and the expected cash to be collected at maturity will be accreted into income over the remaining term of the investment.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normal course of business, we use a variety of commonly used derivative instruments, such as interest rate swaps, caps, collars and floors, to manage, or hedge, interest rate risk. Effectiveness is essential for those derivatives that we intend to qualify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pacing w:after="0" w:line="6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To determine the fair values of derivative instruments, we use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2018 to the year ended December 31, 2017</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comparison for the year ended December 31, 2018, or 2018, to the year ended December 31, 2017, or 2017, makes reference to the effect of the following:</w:t>
      </w:r>
    </w:p>
    <w:p>
      <w:pPr>
        <w:spacing w:after="0" w:line="62" w:lineRule="exact"/>
        <w:rPr>
          <w:sz w:val="20"/>
          <w:szCs w:val="20"/>
          <w:color w:val="auto"/>
        </w:rPr>
      </w:pPr>
    </w:p>
    <w:p>
      <w:pPr>
        <w:ind w:left="660" w:hanging="247"/>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2017 and still owned by us in the same manner at December 31, 2018 (Same-Store Properties totaled 24 of our 25 consolidated operating properties),</w:t>
      </w:r>
    </w:p>
    <w:p>
      <w:pPr>
        <w:spacing w:after="0" w:line="1"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2018 and 2017 and all non-Same-Store Properties, including properties that are under development or redevelopment,</w:t>
      </w: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or interests in properties sold in 2018 and 2017, and</w:t>
      </w:r>
    </w:p>
    <w:p>
      <w:pPr>
        <w:spacing w:after="0" w:line="9" w:lineRule="exact"/>
        <w:rPr>
          <w:rFonts w:ascii="Arial" w:cs="Arial" w:eastAsia="Arial" w:hAnsi="Arial"/>
          <w:sz w:val="18"/>
          <w:szCs w:val="18"/>
          <w:color w:val="auto"/>
        </w:rPr>
      </w:pPr>
    </w:p>
    <w:p>
      <w:pPr>
        <w:ind w:left="660" w:hanging="247"/>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which represents properties where we sold an interest resulting in deconsolidation and corporate level items not allocable to specific properties.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10"/>
        </w:trPr>
        <w:tc>
          <w:tcPr>
            <w:tcW w:w="51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8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33"/>
        </w:trPr>
        <w:tc>
          <w:tcPr>
            <w:tcW w:w="5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77"/>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Rental revenue,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531,844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668,068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(136,224)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Escalation and reimbursement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82,583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99,887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(17,304)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5,662</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101.0 %</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967,538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(151,435)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77"/>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(60,585)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Transaction related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9,333.3 %</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Marketing,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26.4 %</w:t>
            </w:r>
          </w:p>
        </w:tc>
      </w:tr>
      <w:tr>
        <w:trPr>
          <w:trHeight w:val="217"/>
        </w:trPr>
        <w:tc>
          <w:tcPr>
            <w:tcW w:w="5140" w:type="dxa"/>
            <w:vAlign w:val="bottom"/>
            <w:gridSpan w:val="2"/>
          </w:tcPr>
          <w:p>
            <w:pPr>
              <w:ind w:left="180"/>
              <w:spacing w:after="0"/>
              <w:rPr>
                <w:sz w:val="20"/>
                <w:szCs w:val="20"/>
                <w:color w:val="auto"/>
              </w:rPr>
            </w:pPr>
            <w:r>
              <w:rPr>
                <w:rFonts w:ascii="Arial" w:cs="Arial" w:eastAsia="Arial" w:hAnsi="Arial"/>
                <w:sz w:val="16"/>
                <w:szCs w:val="16"/>
                <w:color w:val="auto"/>
              </w:rPr>
              <w:t>Total expenses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282,452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342,626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(60,174)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(17.6)%</w:t>
            </w:r>
          </w:p>
        </w:tc>
      </w:tr>
      <w:tr>
        <w:trPr>
          <w:trHeight w:val="33"/>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w w:val="95"/>
              </w:rPr>
              <w:t>Interest expense and amortization of financing costs, net of interest income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(66,613)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(133,282)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66,669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Loan loss and other investment reserves, net of recoveries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(166,372)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(205,795)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39,423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(19.2)%</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 net income from unconsolidated joint ventures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5,309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790.0 %</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price and other fair value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54,860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Gain (loss) on sale of real estate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(54,095)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69,826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(123,921)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(177.5)%</w:t>
            </w:r>
          </w:p>
        </w:tc>
      </w:tr>
      <w:tr>
        <w:trPr>
          <w:trHeight w:val="33"/>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Depreciable real estate reserves and impairment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65,695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44"/>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199,484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198,454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0.5 %</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Escalation and Reimbursement 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Rental revenue decreased primarily as a result of the deconsolidation of 919 Third Avenue ($97.5 million) and the Disposed Properties ($29.9 million).</w:t>
      </w:r>
    </w:p>
    <w:p>
      <w:pPr>
        <w:spacing w:after="0" w:line="1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Escalation and reimbursement revenue decreased primarily as a result of the deconsolidation of 919 Third Avenue ($20.7 million), partially offset by higher recoveries at our Same-Store Properties ($7.9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Investment income decreased primarily as a result of previously unrecognized income in the second quarter of 2017 net with 2018 income related to our preferred equity investment in 885 Third Avenue ($7.7 million), partially offset by a larger weighted average book balance and an increase in the LIBOR benchmark rate. For the twelve months ended December 31, 2018, the weighted average debt and preferred equity investment balance outstanding and weighted average yield were $2.0 billion and 9.0%, respectively. Excluding our investment in Two Herald Square which was put on non-accrual in August 2017, the weighted average debt and preferred equity investment balance outstanding and weighted average yield for the year ended December 31, 2017 were $1.9 billion and 9.3%, respectively. As of December 31, 2018, the debt and preferred equity investments had a weighted average term to maturity of 1.7 years excluding extension options.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income increased primarily as a result of real estate tax refunds at our Same-Store Properties ($3.2 million) and lease termination income ($2.9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Property operating expenses decreased primarily due to the deconsolidation of 919 Third Avenue and the Disposed Properties ($63.1 million), which was partially offset by increased real estate taxes at our Same-Store Properties ($6.6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Financing Costs, Net of Interest Income</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Interest expense and amortization of financing costs, net of interest income, decreased primarily as a result of the repayment of unsecured notes at maturity in August of 2018 ($42.7 million), and the deconsolidation of 919 Third Avenue ($26.5 million). The weighted average consolidated debt balance outstanding was $1.3 billion for the year ended December 31, 2018 as compared to $3.0 billion for the year ended December 31, 2017. The consolidated weighted average interest rate was 5.14% for the year ended December 31, 2018 as compared to 3.91% for the year ended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Depreciation and amortization decreased primarily as a result of the deconsolidation of 919 Third Avenue ($33.0 million) and Disposed Properties ($12.4 million), which included the sale of 16 Court Street ($2.9 million) in the fourth quarter of 2017, and the sale of 680/750 Washington Boulevard ($1.6 million) in the third quarter of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income from unconsolidated joint ventures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Equity in net income from unconsolidated joint ventures decreased primarily as a result of the repayment and/or redemption of certain debt and preferred equity positions accounted for under the equity method ($8.7 million) and the deconsolidation of 919 Third Avenue ($5.0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other fair value adjustments</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January 2018, the partnership agreement for our investment in 919 Third Avenue was modified resulting in our partner now having substantive participating rights in the venture and the Company no longer having a controlling interest in the investment. As a result the investment in this property was deconsolidated as of January 1, 2018. The Company recorded its non-controlling interest at fair value resulting in a $54.9 million fair value adjustment in the consolidated statement of operations. This fair value was allocated to the assets and liabilities, including identified intangibles of the property.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Sale of Real Estate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 ended December 31, 2018, we recognized a loss on the sale of 400 Summit Lake Drive ($36.2 million), a loss on the sale of 635 Madison Avenue ($14.3 million), a loss on the sale of Reckson Executive Park ($2.6 million), and a loss on the sale of 115-117 Stevens Avenue ($0.7 million). During the year ended December 31, 2017, we recognized a gain on the sale of 16 Court ($64.9 million) and a gain on the sale of our interests in 102 Greene Street ($4.9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Real Estate Reserves and Impairments</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the year ended December 31, 2018, we recorded a charge related to 6 suburban office properties comprised of 6 buildings ($106.4 million), which the company has stated it intends to dispose of. During the year ended December 31, 2017, we recorded a $172.1 million charge of depreciable real estate reserves and impairments related to Reckson Executive Park, Stamford Towers, 125 Chubb Avenue in Lyndhurst, New Jersey, 115-117 Stevens Avenue in Valhalla, New York, and 520 White Plains Road in Tarrytown, New York.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2017 to the year ended December 31, 2016</w:t>
      </w:r>
    </w:p>
    <w:p>
      <w:pPr>
        <w:spacing w:after="0" w:line="117"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The following comparison for the year ended </w:t>
      </w:r>
      <w:r>
        <w:rPr>
          <w:rFonts w:ascii="Arial" w:cs="Arial" w:eastAsia="Arial" w:hAnsi="Arial"/>
          <w:sz w:val="18"/>
          <w:szCs w:val="18"/>
          <w:i w:val="1"/>
          <w:iCs w:val="1"/>
          <w:color w:val="auto"/>
        </w:rPr>
        <w:t>December 31, 2017</w:t>
      </w:r>
      <w:r>
        <w:rPr>
          <w:rFonts w:ascii="Arial" w:cs="Arial" w:eastAsia="Arial" w:hAnsi="Arial"/>
          <w:sz w:val="18"/>
          <w:szCs w:val="18"/>
          <w:color w:val="auto"/>
        </w:rPr>
        <w:t xml:space="preserve">, or 2017, to the year ended </w:t>
      </w:r>
      <w:r>
        <w:rPr>
          <w:rFonts w:ascii="Arial" w:cs="Arial" w:eastAsia="Arial" w:hAnsi="Arial"/>
          <w:sz w:val="18"/>
          <w:szCs w:val="18"/>
          <w:i w:val="1"/>
          <w:iCs w:val="1"/>
          <w:color w:val="auto"/>
        </w:rPr>
        <w:t>December 31, 2016</w:t>
      </w:r>
      <w:r>
        <w:rPr>
          <w:rFonts w:ascii="Arial" w:cs="Arial" w:eastAsia="Arial" w:hAnsi="Arial"/>
          <w:sz w:val="18"/>
          <w:szCs w:val="18"/>
          <w:color w:val="auto"/>
        </w:rPr>
        <w:t>, or 2016, makes reference to the following:</w:t>
      </w:r>
    </w:p>
    <w:p>
      <w:pPr>
        <w:spacing w:after="0" w:line="1" w:lineRule="exact"/>
        <w:rPr>
          <w:sz w:val="20"/>
          <w:szCs w:val="20"/>
          <w:color w:val="auto"/>
        </w:rPr>
      </w:pPr>
    </w:p>
    <w:p>
      <w:pPr>
        <w:ind w:left="660" w:hanging="247"/>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2016 and still owned by us in the same manner at December 31, 2017 (Same-Store Properties totaled 32 of our 34 consolidated operating properties),</w:t>
      </w:r>
    </w:p>
    <w:p>
      <w:pPr>
        <w:ind w:left="660" w:right="20" w:hanging="247"/>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2017 and 2016 and all non-Same-Store Properties, including properties that are under development, redevelopment,</w:t>
      </w: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or interests in properties sold or partially sold in 2017 and 2016, and</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which represents corporate level items not allocable to specific properties.</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8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33"/>
        </w:trPr>
        <w:tc>
          <w:tcPr>
            <w:tcW w:w="5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77"/>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Rental revenue, net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15,439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Escalation and reimbursement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99,887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104,683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(4,796)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1,604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40.1 %</w:t>
            </w:r>
          </w:p>
        </w:tc>
      </w:tr>
      <w:tr>
        <w:trPr>
          <w:trHeight w:val="33"/>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967,538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77"/>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342,127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Transaction related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(98.7)%</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Marketing,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7"/>
        </w:trPr>
        <w:tc>
          <w:tcPr>
            <w:tcW w:w="5100" w:type="dxa"/>
            <w:vAlign w:val="bottom"/>
            <w:gridSpan w:val="2"/>
          </w:tcPr>
          <w:p>
            <w:pPr>
              <w:ind w:left="160"/>
              <w:spacing w:after="0"/>
              <w:rPr>
                <w:sz w:val="20"/>
                <w:szCs w:val="20"/>
                <w:color w:val="auto"/>
              </w:rPr>
            </w:pPr>
            <w:r>
              <w:rPr>
                <w:rFonts w:ascii="Arial" w:cs="Arial" w:eastAsia="Arial" w:hAnsi="Arial"/>
                <w:sz w:val="16"/>
                <w:szCs w:val="16"/>
                <w:color w:val="auto"/>
              </w:rPr>
              <w:t>Total expenses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342,626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340,076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33"/>
        </w:trPr>
        <w:tc>
          <w:tcPr>
            <w:tcW w:w="5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77"/>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Net operating income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624,912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635,340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(10,428)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5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6"/>
                <w:szCs w:val="16"/>
                <w:color w:val="auto"/>
                <w:w w:val="95"/>
              </w:rPr>
              <w:t>Interest expense and amortization of financing costs, net of interest income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(133,282)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(117,126)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(16,156)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13.8 %</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Equity in net income from unconsolidated joint ventures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14,509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Equity in net gain on sale of interest in unconsolidated joint venture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Gain (loss) on sale of real estate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69,826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76,735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(1,110.7)%</w:t>
            </w:r>
          </w:p>
        </w:tc>
      </w:tr>
      <w:tr>
        <w:trPr>
          <w:trHeight w:val="33"/>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Depreciable real estate reserves and impairment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(172,071)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44"/>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198,454</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313,300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(114,846)</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(36.7)%</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Escalation and Reimbursement Revenues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Rental revenue increased primarily as a result of increases in rents and occupancy at our Same-Store Properties ($26.4 million), which included 919 Third Avenue ($9.7 million), 711 Third Avenue ($7.7 million), and 125 Park Avenue ($3.5 million), partially offset by the Disposed Properties ($10.4 million), which included the sales of 680/750 Washington Boulevard in the third quarter of 2017 ($4.7 million) and 520 White Plains Road in the second quarter of 2017 ($2.7 million).</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Escalation and reimbursement revenue decreased primarily as a result of the Disposed Properties ($1.7 million), which included the sales of 680/750 Washington Boulevard in the third quarter of 2017 ($0.8 million) and 520 White Plains Road in the second quarter of 2017 ($0.3 million) as well as lower recoveries at our Same-Store Properties ($3.9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Investment income decreased primarily as a result of additional income recognized from the recapitalization of a debt investment ($41.0 million) in the third quarter of 2016, partially offset by income related to our preferred equity investment in 885 Third Avenue ($16.9 million) and a larger weighted average book balance. For the twelve months ended December 31, 2017, the weighted average debt and preferred equity investment balance outstanding and weighted average yield were $1.9 billion and 9.3%, respectively, excluding our investment in Two Herald Square that was put on non-accrual in August 2017 compared to $1.5 billion and 9.7%, respectively, for the same period in 2016. As of December 31, 2017, the debt and preferred equity investments had a weighted average term to maturity of 2.2 years excluding extension options and our investment in Two Herald Square.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income increased primarily as a result of the reduction of tax expenses which were recognized in prior years as part of an expected tax refund ($1.6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Property operating expenses increased primarily as a result of higher real estate taxes resulting from higher assessed values and tax rates at our Same-Store Properties ($6.5 million), partially offset by decreased operating expenses from our Disposed Properties ($3.9 million) which included the sale of 680/750 Washington Boulevard ($1.4 million) in the third quarter of 2017, and the sale of 520 White Plains Road ($1.2 million) in the second quarter of 2017.</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Related Costs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decrease in transaction related costs in 2017 is primarily due to the adoption of ASU No. 2017-01 in 2017, which clarified the definition of a business and provided guidance to assist in determining whether transactions should be accounted for as acquisitions of assets or businesses. Following the adoption of the guidance, most of our real estate acquisitions are considered asset acquisitions and transaction costs are therefore capitalized to the investment basis when they would have previously been expensed under the previous guidance. Transaction costs expensed in 2017 relate primarily to transactions that are not moving forward for which any costs incurred are expensed.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Financing Costs, Net of Interest Income</w:t>
      </w:r>
    </w:p>
    <w:p>
      <w:pPr>
        <w:spacing w:after="0" w:line="117" w:lineRule="exact"/>
        <w:rPr>
          <w:sz w:val="20"/>
          <w:szCs w:val="20"/>
          <w:color w:val="auto"/>
        </w:rPr>
      </w:pPr>
    </w:p>
    <w:p>
      <w:pPr>
        <w:jc w:val="both"/>
        <w:ind w:firstLine="392"/>
        <w:spacing w:after="0" w:line="235" w:lineRule="auto"/>
        <w:rPr>
          <w:sz w:val="20"/>
          <w:szCs w:val="20"/>
          <w:color w:val="auto"/>
        </w:rPr>
      </w:pPr>
      <w:r>
        <w:rPr>
          <w:rFonts w:ascii="Arial" w:cs="Arial" w:eastAsia="Arial" w:hAnsi="Arial"/>
          <w:sz w:val="18"/>
          <w:szCs w:val="18"/>
          <w:color w:val="auto"/>
        </w:rPr>
        <w:t>Interest expense and amortization of financing costs, net of interest income, increased primarily as a result of the refinancing of 315 West 33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Street in the first quarter of 2017 ($10.4 million) and increased interest expense related to our repurchase agreements ($1.1 million). The weighted average consolidated debt balance outstanding was $3.0 billion for the year ended December 31, 2017 as compared to $3.0 billion for the year ended December 31, 2016. The consolidated weighted average interest rate was 3.91% for the year ended December 31, 2017 as compared to 3.64% for the year ended December 31, 2016.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Depreciation and amortization decreased primarily as a result of the Disposed Properties ($7.8 million), which included the sale of 680/750 Washington Boulevard ($3.1 million) in the third quarter of 2017, the sale of 125 Chubb Way ($1.7 million) in the fourth quarter of 2017, and the sale of 520 White Plains Road ($1.6 million) in the second quarter of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income from unconsolidated joint ventures</w:t>
      </w:r>
    </w:p>
    <w:p>
      <w:pPr>
        <w:spacing w:after="0" w:line="11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Equity in net income from unconsolidated joint ventures decreased primarily as a result of the second quarter 2017 repayment of a debt investment that was contributed to an unconsolidated joint venture in the third quarter of 2016 ($2.7 million), partially offset by the contribution of a debt investment to an unconsolidated joint venture in the second quarter of 2017 ($1.4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Sale of Real Estate</w:t>
      </w:r>
    </w:p>
    <w:p>
      <w:pPr>
        <w:spacing w:after="0" w:line="11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During the year ended December 31, 2017, we recognized a gain on the sale of 16 Court ($64.9 million) and a gain on the sale of our interests in 102 Greene Street ($4.9 million). During the year ended December 31, 2016, we recognized a loss on the sale of 7 International Drive, Westchester County, NY ($6.9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Depreciable Real Estate Reserves and Impairments</w:t>
      </w:r>
    </w:p>
    <w:p>
      <w:pPr>
        <w:spacing w:after="0" w:line="117" w:lineRule="exact"/>
        <w:rPr>
          <w:sz w:val="20"/>
          <w:szCs w:val="20"/>
          <w:color w:val="auto"/>
        </w:rPr>
      </w:pPr>
    </w:p>
    <w:p>
      <w:pPr>
        <w:jc w:val="both"/>
        <w:ind w:right="20" w:firstLine="392"/>
        <w:spacing w:after="0" w:line="342" w:lineRule="auto"/>
        <w:rPr>
          <w:sz w:val="20"/>
          <w:szCs w:val="20"/>
          <w:color w:val="auto"/>
        </w:rPr>
      </w:pPr>
      <w:r>
        <w:rPr>
          <w:rFonts w:ascii="Arial" w:cs="Arial" w:eastAsia="Arial" w:hAnsi="Arial"/>
          <w:sz w:val="16"/>
          <w:szCs w:val="16"/>
          <w:color w:val="auto"/>
        </w:rPr>
        <w:t>During the year ended December 31, 2017, we recorded a $172.1 million charge of depreciable real estate reserves related to Reckson Executive Park, Stamford Towers, 125 Chubb Way in Lyndhurst, NJ, 115-117 Stevens Avenue in Valhalla, New York, and 520 White Plains Road in Tarrytown, NY.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January 25, 2007, we were acquired by SL Green. See Item 7 "Management's Discussion and Analysis of Financial Condition and Results of Operations—Liquidity and Capital Resources" in SL Green and the Operating Partnership's Annual Report on Form 10-K for the year ended December 31, 2018 for a complete discussion of additional sources of liquidity available to us due to our indirect ownership by SL Green.</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currently expect that our principal sources of funds to meet our short-term and long-term liquidity requirements for working capital, acquisitions, development or redevelopment of properties, tenant improvements, leasing costs, repurchases or repayments of outstanding indebtedness (which may include exchangeable debt) and for debt and preferred equity investments may include:</w:t>
      </w:r>
    </w:p>
    <w:p>
      <w:pPr>
        <w:spacing w:after="0" w:line="7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proceeds from divestitures of properties and redemptions, participations and dispositions of debt and preferred equity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forms of secured or unsecured financing;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 Proceeds from debt offerings by us.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flow from operations is primarily dependent upon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that our sources of working capital, specifically our cash flow from operations and SL Green's liquidity are adequate for us to meet our short-term and long-term liquidity requirements for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summary discussion of our cash flows is based on our consolidated statements of cash flows in "Item 1. Financial Statements" and is not meant to be an all-inclusive discussion of the changes in our cash flows for the years presented below.</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Cash, restricted cash, and cash equivalents were $67.6 million and $77.1 million at December 31, 2018 and 2017, respectively, representing an increase of $9.6 million. The increase was a result of the following changes in cash flows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gridSpan w:val="6"/>
          </w:tcPr>
          <w:p>
            <w:pPr>
              <w:ind w:left="20"/>
              <w:spacing w:after="0"/>
              <w:rPr>
                <w:sz w:val="20"/>
                <w:szCs w:val="20"/>
                <w:color w:val="auto"/>
              </w:rPr>
            </w:pPr>
            <w:r>
              <w:rPr>
                <w:rFonts w:ascii="Arial" w:cs="Arial" w:eastAsia="Arial" w:hAnsi="Arial"/>
                <w:sz w:val="16"/>
                <w:szCs w:val="16"/>
                <w:b w:val="1"/>
                <w:bCs w:val="1"/>
                <w:color w:val="auto"/>
                <w:w w:val="89"/>
              </w:rPr>
              <w:t>Year ended December 31,</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415,114</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428,097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121,010</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(16,693)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137,703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(545,699)</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(437,693)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(108,006)</w:t>
            </w: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principal source of operating cash flow is related to the leasing and operating of the properties in our portfolio. Our properties provide a relatively consistent stream of cash flow that provides us with resources to pay operating expenses, debt service, and fund quarterly dividend and distribution requirements. Our debt and preferred equity investments and joint venture investments also provide a steady stream of operating cash flow to us.</w:t>
      </w:r>
    </w:p>
    <w:p>
      <w:pPr>
        <w:spacing w:after="0" w:line="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year ended December 31, 2018, when compared to the year ended December 31, 2017, we used cash primarily for the following investing activities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real estate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Capital expenditures and capitalized interest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(16,648)</w:t>
            </w:r>
          </w:p>
        </w:tc>
      </w:tr>
      <w:tr>
        <w:trPr>
          <w:trHeight w:val="33"/>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sale of real estate/joint venture interest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(16,187)</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Joint venture investments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(19,961)</w:t>
            </w:r>
          </w:p>
        </w:tc>
      </w:tr>
      <w:tr>
        <w:trPr>
          <w:trHeight w:val="33"/>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from unconsolidated joint ventures</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67,111</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Debt, preferred and other investments</w:t>
            </w:r>
          </w:p>
        </w:tc>
        <w:tc>
          <w:tcPr>
            <w:tcW w:w="4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123,160</w:t>
            </w:r>
          </w:p>
        </w:tc>
      </w:tr>
      <w:tr>
        <w:trPr>
          <w:trHeight w:val="33"/>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(used in) investing activities</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137,703</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Funds spent on capital expenditures, which are comprised of building and tenant improvements, increased from $120.8 million for the year ended December 31, 2017 to $137.4 million for the year ended December 31, 2018. The increased capital expenditures relate primarily to increased costs incurred in connection with the redevelopment of a property and the build-out of space for tenants.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generally fund our investment activity through the sale of real estate, property-level financing, master repurchase agreement facilities, senior unsecured notes, convertible or exchangeable securities, and construction loans. During the year ended December 31, 2018, when compared to the year ended December 31, 2017, we used cash for the following financing activities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under our debt obligations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1,727,613</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Proceeds from debt obligations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(1,932,305)</w:t>
            </w:r>
          </w:p>
        </w:tc>
      </w:tr>
      <w:tr>
        <w:trPr>
          <w:trHeight w:val="33"/>
        </w:trPr>
        <w:tc>
          <w:tcPr>
            <w:tcW w:w="9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common unitholder and noncontrolling interests</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(1,571,740)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Distributions to common and preferred unitholder and noncontrolling interests</w:t>
            </w:r>
          </w:p>
        </w:tc>
        <w:tc>
          <w:tcPr>
            <w:tcW w:w="4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1,683,094</w:t>
            </w:r>
          </w:p>
        </w:tc>
      </w:tr>
      <w:tr>
        <w:trPr>
          <w:trHeight w:val="33"/>
        </w:trPr>
        <w:tc>
          <w:tcPr>
            <w:tcW w:w="9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loan costs and capitalized lease obligation</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Other obligation related to mortgage loan participation</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(16,252)</w:t>
            </w:r>
          </w:p>
        </w:tc>
      </w:tr>
      <w:tr>
        <w:trPr>
          <w:trHeight w:val="33"/>
        </w:trPr>
        <w:tc>
          <w:tcPr>
            <w:tcW w:w="9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Increase in cash used in financing activities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(108,006)</w:t>
            </w:r>
          </w:p>
        </w:tc>
      </w:tr>
      <w:tr>
        <w:trPr>
          <w:trHeight w:val="20"/>
        </w:trPr>
        <w:tc>
          <w:tcPr>
            <w:tcW w:w="9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our issued and outstanding Class A common units are owned by Wyoming Acquisition GP LLC or the Operating Partnership.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Facility</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2017, the Company, SL Green and the Operating Partnership entered into an amendment to the credit facility, referred to as the 2017 credit facility, that was originally entered into in November 2012, or the 2012 credit facility. The amendment resulted in the Company no longer being a borrower, and instead is providing a guarantee of the facility. The 2012 credit facility had a carrying value of $1.2 billion, net of deferred financing costs, as of the amendment date and was removed from our consolidated balance sheet and shown as a non-cash capital contribution. In December 2018, the Company was removed as a guarantor on the facility.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Repurchase Agreements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has entered into two Master Repurchase Agreements, or MRAs, known as the 2016 MRA and 2017 MRA, which provide us with the ability to sell certain debt investments with a simultaneous agreement to repurchase the same at a certain date or on demand. We seek to mitigate risks associated with our repurchase agreement by managing the credit quality of our assets, early repayments, interest rate volatility, liquidity, and market value. The margin call provisions under our repurchase facilities permit valuation adjustments based on capital markets activity, and are not limited to collateral-specific credit marks. To monitor credit risk associated with our debt investments, our asset management team regularly reviews our investment portfolio and is in contact with our borrowers in order to monitor the collateral and enforce our rights as necessary. The risk associated with potential margin calls is further mitigated by our ability to recollateralize the facility with additional assets from our portfolio of debt investments and our ability to satisfy margin calls with cash or cash equivalents.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2017, we entered into the 2017 MRA, with a maximum facility capacity of $300.0 million. In April 2018, we increased the maximum facility capacity to $400.0 million. The facility bears interest on a floating rate basis at a spread to 30-day LIBOR based on the pledged collateral and advance rate and has an initial one year term, with two one year extension options. In June 2018, we exercised a P1Y year extension option. At December 31, 2018, the facility had a carrying value of $299.6 million, net of deferred financing costs.</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July 2016, we entered into the 2016 MRA, with a maximum facility capacity of $300.0 million. In June 2018, we terminated the 2016 MRA. The facility bore interest ranging from 225 and 400 basis points over 30-day LIBOR depending on the pledged collateral and had an initial two-year term, with a one year extension option. Since December 6, 2015, we had been required to pay monthly in arrears a 25 basis point fee on the excess of $150.0 million over the average daily balance during the period when the average daily balance was less than $150.0 million.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sets forth our senior unsecured notes and other related disclosures as of December 31, 2018 and 2017, respectively, by scheduled maturity date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Unpaid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Principal</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Accreted</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Accreted</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Coupon</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Initial Term</w:t>
            </w:r>
          </w:p>
        </w:tc>
        <w:tc>
          <w:tcPr>
            <w:tcW w:w="1480" w:type="dxa"/>
            <w:vAlign w:val="bottom"/>
          </w:tcPr>
          <w:p>
            <w:pPr>
              <w:spacing w:after="0"/>
              <w:rPr>
                <w:sz w:val="17"/>
                <w:szCs w:val="17"/>
                <w:color w:val="auto"/>
              </w:rPr>
            </w:pPr>
          </w:p>
        </w:tc>
      </w:tr>
      <w:tr>
        <w:trPr>
          <w:trHeight w:val="210"/>
        </w:trPr>
        <w:tc>
          <w:tcPr>
            <w:tcW w:w="3440" w:type="dxa"/>
            <w:vAlign w:val="bottom"/>
            <w:gridSpan w:val="2"/>
          </w:tcPr>
          <w:p>
            <w:pPr>
              <w:ind w:left="40"/>
              <w:spacing w:after="0"/>
              <w:rPr>
                <w:sz w:val="20"/>
                <w:szCs w:val="20"/>
                <w:color w:val="auto"/>
              </w:rPr>
            </w:pPr>
            <w:r>
              <w:rPr>
                <w:rFonts w:ascii="Arial" w:cs="Arial" w:eastAsia="Arial" w:hAnsi="Arial"/>
                <w:sz w:val="16"/>
                <w:szCs w:val="16"/>
                <w:b w:val="1"/>
                <w:bCs w:val="1"/>
                <w:color w:val="auto"/>
              </w:rPr>
              <w:t>Issuance</w:t>
            </w:r>
          </w:p>
        </w:tc>
        <w:tc>
          <w:tcPr>
            <w:tcW w:w="1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Years)</w:t>
            </w:r>
          </w:p>
        </w:tc>
        <w:tc>
          <w:tcPr>
            <w:tcW w:w="1480" w:type="dxa"/>
            <w:vAlign w:val="bottom"/>
          </w:tcPr>
          <w:p>
            <w:pPr>
              <w:ind w:left="240"/>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March 16, 2010 </w:t>
            </w:r>
            <w:r>
              <w:rPr>
                <w:rFonts w:ascii="Arial" w:cs="Arial" w:eastAsia="Arial" w:hAnsi="Arial"/>
                <w:sz w:val="21"/>
                <w:szCs w:val="21"/>
                <w:color w:val="auto"/>
                <w:vertAlign w:val="superscript"/>
              </w:rPr>
              <w:t>(1) (4)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 xml:space="preserve">November 15, 2012 </w:t>
            </w:r>
            <w:r>
              <w:rPr>
                <w:rFonts w:ascii="Arial" w:cs="Arial" w:eastAsia="Arial" w:hAnsi="Arial"/>
                <w:sz w:val="21"/>
                <w:szCs w:val="21"/>
                <w:color w:val="auto"/>
                <w:vertAlign w:val="superscript"/>
              </w:rPr>
              <w:t>(2) (4)</w:t>
            </w:r>
          </w:p>
        </w:tc>
        <w:tc>
          <w:tcPr>
            <w:tcW w:w="160" w:type="dxa"/>
            <w:vAlign w:val="bottom"/>
          </w:tcPr>
          <w:p>
            <w:pPr>
              <w:spacing w:after="0"/>
              <w:rPr>
                <w:sz w:val="23"/>
                <w:szCs w:val="23"/>
                <w:color w:val="auto"/>
              </w:rPr>
            </w:pPr>
          </w:p>
        </w:tc>
        <w:tc>
          <w:tcPr>
            <w:tcW w:w="136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305,163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December 17, 2015 </w:t>
            </w:r>
            <w:r>
              <w:rPr>
                <w:rFonts w:ascii="Arial" w:cs="Arial" w:eastAsia="Arial" w:hAnsi="Arial"/>
                <w:sz w:val="21"/>
                <w:szCs w:val="21"/>
                <w:color w:val="auto"/>
                <w:vertAlign w:val="superscript"/>
              </w:rPr>
              <w:t>(1) (4)</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34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August 5, 2011 </w:t>
            </w:r>
            <w:r>
              <w:rPr>
                <w:rFonts w:ascii="Arial" w:cs="Arial" w:eastAsia="Arial" w:hAnsi="Arial"/>
                <w:sz w:val="21"/>
                <w:szCs w:val="21"/>
                <w:color w:val="auto"/>
                <w:vertAlign w:val="superscript"/>
              </w:rPr>
              <w:t>(1) (3)</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249,953</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r>
      <w:tr>
        <w:trPr>
          <w:trHeight w:val="230"/>
        </w:trPr>
        <w:tc>
          <w:tcPr>
            <w:tcW w:w="3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905,116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Deferred financing costs, net</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(4,049)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5"/>
        </w:trPr>
        <w:tc>
          <w:tcPr>
            <w:tcW w:w="3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901,067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Issued by SL Green, the Operating Partnership and ROP, as co-obligors.</w:t>
      </w:r>
    </w:p>
    <w:p>
      <w:pPr>
        <w:spacing w:after="0" w:line="13" w:lineRule="exact"/>
        <w:rPr>
          <w:rFonts w:ascii="Arial" w:cs="Arial" w:eastAsia="Arial" w:hAnsi="Arial"/>
          <w:sz w:val="14"/>
          <w:szCs w:val="14"/>
          <w:color w:val="auto"/>
        </w:rPr>
      </w:pPr>
    </w:p>
    <w:p>
      <w:pPr>
        <w:ind w:left="420" w:right="20" w:hanging="412"/>
        <w:spacing w:after="0" w:line="241"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October 2017, SL Green, the Operating Partnership, and ROP, as co-obligors, issued an additional $100.0 million of 4.50% senior unsecured notes due December 2022. The notes were priced at 105.334%.</w:t>
      </w: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was repaid in August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December 2018, ROP was released as a co-obligor from the senior unsecured notes.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exposed to changes in interest rates primarily from our variable rate debt. Our exposure to interest rate fluctuations are managed through either the use of interest rate derivative instruments and/or through our variable rate debt and preferred equity investments. Based on the debt outstanding as of December 31, 2018, a hypothetical 100 basis point increase in the interest rate curve would decrease our annual interest cost, net of interest income from variable rate debt and preferred equity investments, by $9.3 million. At December 31, 2018, 66.4% of our $2.0 billion debt and preferred equity portfolio is indexed to LIBOR.</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recognize most derivatives on the balance sheet at fair value. Derivatives that are not hedges are adjusted to fair value through income. If a derivative is considered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 The ineffective portion of a derivative's change in fair value is immediately recognized in earnings.</w:t>
      </w:r>
    </w:p>
    <w:p>
      <w:pPr>
        <w:spacing w:after="0" w:line="6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long-term debt of $0.3 billion bears interest at fixed rates, and therefore the fair value of these instruments is affected by changes in the market interest rates. Our variable rate debt as of December 31, 2018 bore interest at rates between LIBOR plus 234 basis points and LIBOR plus 340 basis points.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combined aggregate principal maturities of mortgages and other loans payable, our share of joint venture debt, including as-of-right extension options and put options, estimated interest expense, and our obligations under our ground leases, as of December 31, 2018 are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mortgages and other loans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315,550</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Master repurchase agreement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300,000</w:t>
            </w:r>
          </w:p>
        </w:tc>
      </w:tr>
      <w:tr>
        <w:trPr>
          <w:trHeight w:val="33"/>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Ground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329,523</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Estimated interest expense</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22,367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13,221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33,064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111,953</w:t>
            </w:r>
          </w:p>
        </w:tc>
      </w:tr>
      <w:tr>
        <w:trPr>
          <w:trHeight w:val="33"/>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Joint venture debt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283,200</w:t>
            </w:r>
          </w:p>
        </w:tc>
      </w:tr>
      <w:tr>
        <w:trPr>
          <w:trHeight w:val="244"/>
        </w:trPr>
        <w:tc>
          <w:tcPr>
            <w:tcW w:w="274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42,103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362,396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34,286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32,171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349,195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520,075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1,340,226</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off-balance sheet investments, including joint ventures and debt and preferred equity investments. These investments all have varying ownership structures. Substantially all of our joint venture arrangements are accounted for under the equity method of accounting as we have the ability to exercise significant influence, but not control, over the operating and financial decisions of these joint venture arrangements. Our off-balance sheet arrangements are discussed in Note 5, "Debt and Preferred Equity Investments" and Note 6, "Investments in Unconsolidated Joint Ventures" in the accompanying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estimate that for the year ending December 31, 2019, we expect to incur $100.4 million of recurring capital expenditures and $13.4 million of development or redevelopment expenditures on existing consolidated properties. Future property acquisitions may require substantial capital investments for refurbishment and leasing costs. We expect to fund these capital expenditures with operating cash flow, existing liquidity, or incremental borrowings. We expect our capital needs over the next twelve months and thereafter will be met through a combination of cash on hand, net cash provided by operations, potential asset sales, borrowings, or additional debt issuances.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Cleaning/ Security/ Messenger and Restoration Services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Alliance Building Services, or Alliance, and its affiliates are partially owned by Gary Green, a son of Stephen L. Green, who serves as a member and as the chairman emeritus of SL Green's board of directors, and provide services to certain properties owned by us.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Income earned from the profit participation, which is included in other income on the consolidated statements of operations, was $3.4 million, $3.4 million and $3.3 million for the years ended December 31, 2018, 2017 and 2016 respectively.</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also recorded expenses, inclusive of capitalized expenses, of $9.3 million, $10 million and $8.1 million for the years ended December 31, 2018, 2017 and 2016 respectively, for these services (excluding services provided directly to tenants).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Allocated Expenses from SL Green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Property operating expenses include an allocation of salary and other operating costs from SL Green based on square footage of the related properties.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amount was approximately $11.2 million, $12.8 million and $11.5 million for the years ended December 31, 2018, 2017 and 2016,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are insured through a program administered by SL Green. SL Green maintains “all-risk” property and rental value coverage (including coverage regarding the perils of flood, earthquake and terrorism, excluding nuclear, biological, chemical, and radiological terrorism ("NBCR")), within three property insurance programs and liability insurance. Separate property and liability coverage may be purchased on a stand-alone basis for certain assets. Additionally, SL Green's captive insurance company, Belmont Insurance Company, or Belmont, provides coverage for NBCR terrorist acts above a specified trigger. Belmont's retention is reinsured by SL Green's other captive insurance company, Ticonderoga Insurance Company ("Ticonderoga"). If Belmont or Ticonderoga are required to pay a claim under SL Green's insurance policies, SL Green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SL Green or its affiliates.</w:t>
      </w:r>
    </w:p>
    <w:p>
      <w:pPr>
        <w:spacing w:after="0" w:line="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obtained insurance coverage through an insurance program administered by SL Green. In connection with this program, we incurred insurance expense of approximately $4.2 million, $5.4 million, and $5.9 million for the years ended December 31, 2018, 2017 and 2016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Substantially all of our office leases provide for separate real estate tax and operating expense escalations as well as operating expense recoveries based on increases in the Consumer Price Index or other measures such as porters' wage. In addition, many of the leases provide for fixed base rent increases. We believe that inflationary increases will be at least partially offset by the contractual rent increases and expense escalations described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Accounting Standards Updates are discussed in Note 2, "Significant Accounting Policies - Accounting Standards Updates" in the accompanying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73"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 of general economic, business and financial conditions, and their effect on the New York City real estate market in particular;</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dependence upon certain geographic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of real estate acquisitions, dispositions, development and redevelopment, including the cost of construction delays and cost overruns;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relating to debt and preferred equity investments;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 and borrowers;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bankruptcy or insolvency of a major tenant or a significant number of smaller tenants or borrowers;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reduced demand for office space, increasing vacancy, and increasing availability of sublease space;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financial covenants in our debt instruments;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 Green's ability to maintain its status as a REIT;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of investing through joint venture structures, including the fulfillment by our partners of their financial obligations;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threat of terrorist attacks;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adequate insurance coverage at a reasonable cost and the potential for losses in excess of our insurance coverage, including as a result of environmental contamination; and,</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factors and risks to our business, many of which are beyond our control, are described in other sections of this report and in our other filings with the SEC. We undertake no obligation to publicly update or revise any forward-looking statements, whether as a result of future events, new information or otherwise.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 ABOUT MARKET RISK</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Operations—Market Rate Risk" for additional information regarding our exposure to interest rate fluctuations.</w:t>
      </w:r>
    </w:p>
    <w:p>
      <w:pPr>
        <w:spacing w:after="0" w:line="62"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table below presents the principal cash flows based upon maturity dates of our debt obligations and debt and preferred equity investments and the weighted-average interest rates by expected maturity dates, including as-of-right extension options, as of December 31, 2018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4"/>
          </w:tcPr>
          <w:p>
            <w:pPr>
              <w:ind w:left="200"/>
              <w:spacing w:after="0"/>
              <w:rPr>
                <w:sz w:val="20"/>
                <w:szCs w:val="20"/>
                <w:color w:val="auto"/>
              </w:rPr>
            </w:pPr>
            <w:r>
              <w:rPr>
                <w:rFonts w:ascii="Arial" w:cs="Arial" w:eastAsia="Arial" w:hAnsi="Arial"/>
                <w:sz w:val="16"/>
                <w:szCs w:val="16"/>
                <w:b w:val="1"/>
                <w:bCs w:val="1"/>
                <w:color w:val="auto"/>
              </w:rPr>
              <w:t>Debt and Preferred Equity</w:t>
            </w:r>
          </w:p>
        </w:tc>
      </w:tr>
      <w:tr>
        <w:trPr>
          <w:trHeight w:val="243"/>
        </w:trPr>
        <w:tc>
          <w:tcPr>
            <w:tcW w:w="28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Long-Term Debt</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21"/>
                <w:szCs w:val="21"/>
                <w:b w:val="1"/>
                <w:bCs w:val="1"/>
                <w:color w:val="auto"/>
                <w:vertAlign w:val="superscript"/>
              </w:rPr>
              <w:t>(1)</w:t>
            </w:r>
          </w:p>
        </w:tc>
        <w:tc>
          <w:tcPr>
            <w:tcW w:w="340" w:type="dxa"/>
            <w:vAlign w:val="bottom"/>
          </w:tcPr>
          <w:p>
            <w:pPr>
              <w:spacing w:after="0"/>
              <w:rPr>
                <w:sz w:val="21"/>
                <w:szCs w:val="21"/>
                <w:color w:val="auto"/>
              </w:rPr>
            </w:pPr>
          </w:p>
        </w:tc>
      </w:tr>
      <w:tr>
        <w:trPr>
          <w:trHeight w:val="209"/>
        </w:trPr>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3"/>
        </w:trPr>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Interest</w:t>
            </w:r>
          </w:p>
        </w:tc>
        <w:tc>
          <w:tcPr>
            <w:tcW w:w="280" w:type="dxa"/>
            <w:vAlign w:val="bottom"/>
          </w:tcPr>
          <w:p>
            <w:pPr>
              <w:spacing w:after="0"/>
              <w:rPr>
                <w:sz w:val="17"/>
                <w:szCs w:val="17"/>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Variable</w:t>
            </w:r>
          </w:p>
        </w:tc>
        <w:tc>
          <w:tcPr>
            <w:tcW w:w="12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Interest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r>
      <w:tr>
        <w:trPr>
          <w:trHeight w:val="210"/>
        </w:trPr>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280" w:type="dxa"/>
            <w:vAlign w:val="bottom"/>
          </w:tcPr>
          <w:p>
            <w:pPr>
              <w:spacing w:after="0"/>
              <w:rPr>
                <w:sz w:val="18"/>
                <w:szCs w:val="18"/>
                <w:color w:val="auto"/>
              </w:rPr>
            </w:pP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15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Yield</w:t>
            </w:r>
          </w:p>
        </w:tc>
      </w:tr>
      <w:tr>
        <w:trPr>
          <w:trHeight w:val="33"/>
        </w:trPr>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3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442,557</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1,273,679</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8.21%</w:t>
            </w:r>
          </w:p>
        </w:tc>
        <w:tc>
          <w:tcPr>
            <w:tcW w:w="340" w:type="dxa"/>
            <w:vAlign w:val="bottom"/>
          </w:tcPr>
          <w:p>
            <w:pPr>
              <w:spacing w:after="0"/>
              <w:rPr>
                <w:sz w:val="20"/>
                <w:szCs w:val="20"/>
                <w:color w:val="auto"/>
              </w:rPr>
            </w:pPr>
          </w:p>
        </w:tc>
      </w:tr>
      <w:tr>
        <w:trPr>
          <w:trHeight w:val="33"/>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26,471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61,516</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8.55%</w:t>
            </w:r>
          </w:p>
        </w:tc>
        <w:tc>
          <w:tcPr>
            <w:tcW w:w="340" w:type="dxa"/>
            <w:vAlign w:val="bottom"/>
          </w:tcPr>
          <w:p>
            <w:pPr>
              <w:spacing w:after="0"/>
              <w:rPr>
                <w:sz w:val="20"/>
                <w:szCs w:val="20"/>
                <w:color w:val="auto"/>
              </w:rPr>
            </w:pPr>
          </w:p>
        </w:tc>
      </w:tr>
      <w:tr>
        <w:trPr>
          <w:trHeight w:val="33"/>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65,550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42,706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109,190</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8.46%</w:t>
            </w:r>
          </w:p>
        </w:tc>
        <w:tc>
          <w:tcPr>
            <w:tcW w:w="340" w:type="dxa"/>
            <w:vAlign w:val="bottom"/>
          </w:tcPr>
          <w:p>
            <w:pPr>
              <w:spacing w:after="0"/>
              <w:rPr>
                <w:sz w:val="20"/>
                <w:szCs w:val="20"/>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44"/>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365,550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1,956,119</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340" w:type="dxa"/>
            <w:vAlign w:val="bottom"/>
            <w:shd w:val="clear" w:color="auto" w:fill="CCEEFF"/>
          </w:tcPr>
          <w:p>
            <w:pPr>
              <w:spacing w:after="0"/>
              <w:rPr>
                <w:sz w:val="21"/>
                <w:szCs w:val="2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Fair Value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249,919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374,387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debt and preferred equity investments had an estimated fair value ranging between $2.0 billion and $2.2 billion at December 31, 2018.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9520" w:type="dxa"/>
            <w:vAlign w:val="bottom"/>
            <w:gridSpan w:val="11"/>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80"/>
        </w:trPr>
        <w:tc>
          <w:tcPr>
            <w:tcW w:w="952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320" w:type="dxa"/>
            <w:vAlign w:val="bottom"/>
            <w:gridSpan w:val="8"/>
          </w:tcPr>
          <w:p>
            <w:pPr>
              <w:ind w:left="800"/>
              <w:spacing w:after="0"/>
              <w:rPr>
                <w:sz w:val="20"/>
                <w:szCs w:val="20"/>
                <w:color w:val="auto"/>
              </w:rPr>
            </w:pPr>
            <w:r>
              <w:rPr>
                <w:rFonts w:ascii="Arial" w:cs="Arial" w:eastAsia="Arial" w:hAnsi="Arial"/>
                <w:sz w:val="18"/>
                <w:szCs w:val="18"/>
                <w:b w:val="1"/>
                <w:bCs w:val="1"/>
                <w:color w:val="auto"/>
              </w:rPr>
              <w:t>Index to Financial Statements and Schedules</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b w:val="1"/>
                <w:bCs w:val="1"/>
                <w:color w:val="auto"/>
              </w:rPr>
              <w:t>RECKSON OPERATING PARTNERSHIP, L.P.</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9480" w:type="dxa"/>
            <w:vAlign w:val="bottom"/>
            <w:gridSpan w:val="10"/>
          </w:tcPr>
          <w:p>
            <w:pPr>
              <w:spacing w:after="0"/>
              <w:rPr>
                <w:rFonts w:ascii="Arial" w:cs="Arial" w:eastAsia="Arial" w:hAnsi="Arial"/>
                <w:sz w:val="18"/>
                <w:szCs w:val="18"/>
                <w:color w:val="auto"/>
              </w:rPr>
            </w:pPr>
            <w:hyperlink w:anchor="page37">
              <w:r>
                <w:rPr>
                  <w:rFonts w:ascii="Arial" w:cs="Arial" w:eastAsia="Arial" w:hAnsi="Arial"/>
                  <w:sz w:val="18"/>
                  <w:szCs w:val="18"/>
                  <w:color w:val="auto"/>
                </w:rPr>
                <w:t>Report of Independent Registered Public Accounting Firm</w:t>
              </w:r>
            </w:hyperlink>
          </w:p>
        </w:tc>
        <w:tc>
          <w:tcPr>
            <w:tcW w:w="1860" w:type="dxa"/>
            <w:vAlign w:val="bottom"/>
            <w:gridSpan w:val="2"/>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40" w:type="dxa"/>
            <w:vAlign w:val="bottom"/>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gridSpan w:val="4"/>
          </w:tcPr>
          <w:p>
            <w:pPr>
              <w:spacing w:after="0"/>
              <w:rPr>
                <w:rFonts w:ascii="Arial" w:cs="Arial" w:eastAsia="Arial" w:hAnsi="Arial"/>
                <w:sz w:val="18"/>
                <w:szCs w:val="18"/>
                <w:color w:val="auto"/>
                <w:w w:val="88"/>
              </w:rPr>
            </w:pPr>
            <w:hyperlink w:anchor="page38">
              <w:r>
                <w:rPr>
                  <w:rFonts w:ascii="Arial" w:cs="Arial" w:eastAsia="Arial" w:hAnsi="Arial"/>
                  <w:sz w:val="18"/>
                  <w:szCs w:val="18"/>
                  <w:color w:val="auto"/>
                  <w:w w:val="88"/>
                </w:rPr>
                <w:t xml:space="preserve">Consolidated Balance Sheets as of December 31, </w:t>
              </w:r>
            </w:hyperlink>
            <w:r>
              <w:rPr>
                <w:rFonts w:ascii="Arial" w:cs="Arial" w:eastAsia="Arial" w:hAnsi="Arial"/>
                <w:sz w:val="18"/>
                <w:szCs w:val="18"/>
                <w:color w:val="auto"/>
                <w:w w:val="88"/>
              </w:rPr>
              <w:t>2018 and 2017</w:t>
            </w:r>
          </w:p>
        </w:tc>
        <w:tc>
          <w:tcPr>
            <w:tcW w:w="4820" w:type="dxa"/>
            <w:vAlign w:val="bottom"/>
            <w:gridSpan w:val="6"/>
          </w:tcPr>
          <w:p>
            <w:pPr>
              <w:spacing w:after="0"/>
              <w:rPr>
                <w:sz w:val="21"/>
                <w:szCs w:val="21"/>
                <w:color w:val="auto"/>
              </w:rPr>
            </w:pPr>
          </w:p>
        </w:tc>
        <w:tc>
          <w:tcPr>
            <w:tcW w:w="1860" w:type="dxa"/>
            <w:vAlign w:val="bottom"/>
            <w:gridSpan w:val="2"/>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40" w:type="dxa"/>
            <w:vAlign w:val="bottom"/>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10"/>
          </w:tcPr>
          <w:p>
            <w:pPr>
              <w:spacing w:after="0"/>
              <w:rPr>
                <w:rFonts w:ascii="Arial" w:cs="Arial" w:eastAsia="Arial" w:hAnsi="Arial"/>
                <w:sz w:val="18"/>
                <w:szCs w:val="18"/>
                <w:color w:val="auto"/>
              </w:rPr>
            </w:pPr>
            <w:hyperlink w:anchor="page40">
              <w:r>
                <w:rPr>
                  <w:rFonts w:ascii="Arial" w:cs="Arial" w:eastAsia="Arial" w:hAnsi="Arial"/>
                  <w:sz w:val="18"/>
                  <w:szCs w:val="18"/>
                  <w:color w:val="auto"/>
                </w:rPr>
                <w:t xml:space="preserve">Consolidated Statements of Operations for the years ended December 31, </w:t>
              </w:r>
            </w:hyperlink>
            <w:r>
              <w:rPr>
                <w:rFonts w:ascii="Arial" w:cs="Arial" w:eastAsia="Arial" w:hAnsi="Arial"/>
                <w:sz w:val="18"/>
                <w:szCs w:val="18"/>
                <w:color w:val="auto"/>
              </w:rPr>
              <w:t>2018, 2017 and 2016</w:t>
            </w:r>
          </w:p>
        </w:tc>
        <w:tc>
          <w:tcPr>
            <w:tcW w:w="1860" w:type="dxa"/>
            <w:vAlign w:val="bottom"/>
            <w:gridSpan w:val="2"/>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40" w:type="dxa"/>
            <w:vAlign w:val="bottom"/>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480" w:type="dxa"/>
            <w:vAlign w:val="bottom"/>
            <w:gridSpan w:val="10"/>
          </w:tcPr>
          <w:p>
            <w:pPr>
              <w:spacing w:after="0"/>
              <w:rPr>
                <w:rFonts w:ascii="Arial" w:cs="Arial" w:eastAsia="Arial" w:hAnsi="Arial"/>
                <w:sz w:val="18"/>
                <w:szCs w:val="18"/>
                <w:color w:val="auto"/>
              </w:rPr>
            </w:pPr>
            <w:hyperlink w:anchor="page41">
              <w:r>
                <w:rPr>
                  <w:rFonts w:ascii="Arial" w:cs="Arial" w:eastAsia="Arial" w:hAnsi="Arial"/>
                  <w:sz w:val="18"/>
                  <w:szCs w:val="18"/>
                  <w:color w:val="auto"/>
                </w:rPr>
                <w:t xml:space="preserve">Consolidated Statements of Comprehensive Income for the years ended December 31, </w:t>
              </w:r>
            </w:hyperlink>
            <w:r>
              <w:rPr>
                <w:rFonts w:ascii="Arial" w:cs="Arial" w:eastAsia="Arial" w:hAnsi="Arial"/>
                <w:sz w:val="18"/>
                <w:szCs w:val="18"/>
                <w:color w:val="auto"/>
              </w:rPr>
              <w:t>2018, 2017 and 2016</w:t>
            </w:r>
          </w:p>
        </w:tc>
        <w:tc>
          <w:tcPr>
            <w:tcW w:w="186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00" w:type="dxa"/>
            <w:vAlign w:val="bottom"/>
            <w:gridSpan w:val="6"/>
          </w:tcPr>
          <w:p>
            <w:pPr>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 xml:space="preserve">Consolidated Statements of Capital for the years ended December 31, </w:t>
              </w:r>
            </w:hyperlink>
            <w:r>
              <w:rPr>
                <w:rFonts w:ascii="Arial" w:cs="Arial" w:eastAsia="Arial" w:hAnsi="Arial"/>
                <w:sz w:val="18"/>
                <w:szCs w:val="18"/>
                <w:color w:val="auto"/>
                <w:w w:val="89"/>
              </w:rPr>
              <w:t>2018, 2017 and 2016</w:t>
            </w:r>
          </w:p>
        </w:tc>
        <w:tc>
          <w:tcPr>
            <w:tcW w:w="1180" w:type="dxa"/>
            <w:vAlign w:val="bottom"/>
            <w:gridSpan w:val="3"/>
          </w:tcPr>
          <w:p>
            <w:pPr>
              <w:spacing w:after="0"/>
              <w:rPr>
                <w:sz w:val="21"/>
                <w:szCs w:val="21"/>
                <w:color w:val="auto"/>
              </w:rPr>
            </w:pPr>
          </w:p>
        </w:tc>
        <w:tc>
          <w:tcPr>
            <w:tcW w:w="1700" w:type="dxa"/>
            <w:vAlign w:val="bottom"/>
          </w:tcPr>
          <w:p>
            <w:pPr>
              <w:spacing w:after="0"/>
              <w:rPr>
                <w:sz w:val="21"/>
                <w:szCs w:val="21"/>
                <w:color w:val="auto"/>
              </w:rPr>
            </w:pPr>
          </w:p>
        </w:tc>
        <w:tc>
          <w:tcPr>
            <w:tcW w:w="186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40" w:type="dxa"/>
            <w:vAlign w:val="bottom"/>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60" w:type="dxa"/>
            <w:vAlign w:val="bottom"/>
            <w:gridSpan w:val="7"/>
          </w:tcPr>
          <w:p>
            <w:pPr>
              <w:spacing w:after="0"/>
              <w:rPr>
                <w:rFonts w:ascii="Arial" w:cs="Arial" w:eastAsia="Arial" w:hAnsi="Arial"/>
                <w:sz w:val="18"/>
                <w:szCs w:val="18"/>
                <w:color w:val="auto"/>
                <w:w w:val="88"/>
              </w:rPr>
            </w:pPr>
            <w:hyperlink w:anchor="page43">
              <w:r>
                <w:rPr>
                  <w:rFonts w:ascii="Arial" w:cs="Arial" w:eastAsia="Arial" w:hAnsi="Arial"/>
                  <w:sz w:val="18"/>
                  <w:szCs w:val="18"/>
                  <w:color w:val="auto"/>
                  <w:w w:val="88"/>
                </w:rPr>
                <w:t xml:space="preserve">Consolidated Statements of Cash Flows for the years ended December 31, </w:t>
              </w:r>
            </w:hyperlink>
            <w:r>
              <w:rPr>
                <w:rFonts w:ascii="Arial" w:cs="Arial" w:eastAsia="Arial" w:hAnsi="Arial"/>
                <w:sz w:val="18"/>
                <w:szCs w:val="18"/>
                <w:color w:val="auto"/>
                <w:w w:val="88"/>
              </w:rPr>
              <w:t>2018, 2017 and 2016</w:t>
            </w:r>
          </w:p>
        </w:tc>
        <w:tc>
          <w:tcPr>
            <w:tcW w:w="2620" w:type="dxa"/>
            <w:vAlign w:val="bottom"/>
            <w:gridSpan w:val="3"/>
          </w:tcPr>
          <w:p>
            <w:pPr>
              <w:spacing w:after="0"/>
              <w:rPr>
                <w:sz w:val="21"/>
                <w:szCs w:val="21"/>
                <w:color w:val="auto"/>
              </w:rPr>
            </w:pPr>
          </w:p>
        </w:tc>
        <w:tc>
          <w:tcPr>
            <w:tcW w:w="186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gridSpan w:val="2"/>
          </w:tcPr>
          <w:p>
            <w:pPr>
              <w:spacing w:after="0"/>
              <w:rPr>
                <w:rFonts w:ascii="Arial" w:cs="Arial" w:eastAsia="Arial" w:hAnsi="Arial"/>
                <w:sz w:val="18"/>
                <w:szCs w:val="18"/>
                <w:color w:val="auto"/>
                <w:w w:val="89"/>
              </w:rPr>
            </w:pPr>
            <w:hyperlink w:anchor="page45">
              <w:r>
                <w:rPr>
                  <w:rFonts w:ascii="Arial" w:cs="Arial" w:eastAsia="Arial" w:hAnsi="Arial"/>
                  <w:sz w:val="18"/>
                  <w:szCs w:val="18"/>
                  <w:color w:val="auto"/>
                  <w:w w:val="89"/>
                </w:rPr>
                <w:t>Notes to Consolidated Financial Statements</w:t>
              </w:r>
            </w:hyperlink>
          </w:p>
        </w:tc>
        <w:tc>
          <w:tcPr>
            <w:tcW w:w="3700" w:type="dxa"/>
            <w:vAlign w:val="bottom"/>
            <w:gridSpan w:val="5"/>
          </w:tcPr>
          <w:p>
            <w:pPr>
              <w:spacing w:after="0"/>
              <w:rPr>
                <w:sz w:val="21"/>
                <w:szCs w:val="21"/>
                <w:color w:val="auto"/>
              </w:rPr>
            </w:pPr>
          </w:p>
        </w:tc>
        <w:tc>
          <w:tcPr>
            <w:tcW w:w="2620" w:type="dxa"/>
            <w:vAlign w:val="bottom"/>
            <w:gridSpan w:val="3"/>
          </w:tcPr>
          <w:p>
            <w:pPr>
              <w:spacing w:after="0"/>
              <w:rPr>
                <w:sz w:val="21"/>
                <w:szCs w:val="21"/>
                <w:color w:val="auto"/>
              </w:rPr>
            </w:pPr>
          </w:p>
        </w:tc>
        <w:tc>
          <w:tcPr>
            <w:tcW w:w="186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91"/>
        </w:trPr>
        <w:tc>
          <w:tcPr>
            <w:tcW w:w="40" w:type="dxa"/>
            <w:vAlign w:val="bottom"/>
          </w:tcPr>
          <w:p>
            <w:pPr>
              <w:spacing w:after="0"/>
              <w:rPr>
                <w:sz w:val="24"/>
                <w:szCs w:val="24"/>
                <w:color w:val="auto"/>
              </w:rPr>
            </w:pPr>
          </w:p>
        </w:tc>
        <w:tc>
          <w:tcPr>
            <w:tcW w:w="3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Schedules</w:t>
            </w:r>
          </w:p>
        </w:tc>
        <w:tc>
          <w:tcPr>
            <w:tcW w:w="6320" w:type="dxa"/>
            <w:vAlign w:val="bottom"/>
            <w:gridSpan w:val="8"/>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7480" w:type="dxa"/>
            <w:vAlign w:val="bottom"/>
            <w:gridSpan w:val="8"/>
          </w:tcPr>
          <w:p>
            <w:pPr>
              <w:spacing w:after="0"/>
              <w:rPr>
                <w:rFonts w:ascii="Arial" w:cs="Arial" w:eastAsia="Arial" w:hAnsi="Arial"/>
                <w:sz w:val="18"/>
                <w:szCs w:val="18"/>
                <w:color w:val="auto"/>
                <w:w w:val="90"/>
              </w:rPr>
            </w:pPr>
            <w:hyperlink w:anchor="page70">
              <w:r>
                <w:rPr>
                  <w:rFonts w:ascii="Arial" w:cs="Arial" w:eastAsia="Arial" w:hAnsi="Arial"/>
                  <w:sz w:val="18"/>
                  <w:szCs w:val="18"/>
                  <w:color w:val="auto"/>
                  <w:w w:val="90"/>
                </w:rPr>
                <w:t xml:space="preserve">Schedule II-Valuation and Qualifying Accounts for the years ended December 31, </w:t>
              </w:r>
            </w:hyperlink>
            <w:r>
              <w:rPr>
                <w:rFonts w:ascii="Arial" w:cs="Arial" w:eastAsia="Arial" w:hAnsi="Arial"/>
                <w:sz w:val="18"/>
                <w:szCs w:val="18"/>
                <w:color w:val="auto"/>
                <w:w w:val="90"/>
              </w:rPr>
              <w:t>2018, 2017 and 2016</w:t>
            </w:r>
          </w:p>
        </w:tc>
        <w:tc>
          <w:tcPr>
            <w:tcW w:w="2000" w:type="dxa"/>
            <w:vAlign w:val="bottom"/>
            <w:gridSpan w:val="2"/>
          </w:tcPr>
          <w:p>
            <w:pPr>
              <w:spacing w:after="0"/>
              <w:rPr>
                <w:sz w:val="19"/>
                <w:szCs w:val="19"/>
                <w:color w:val="auto"/>
              </w:rPr>
            </w:pPr>
          </w:p>
        </w:tc>
        <w:tc>
          <w:tcPr>
            <w:tcW w:w="186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80" w:type="dxa"/>
            <w:vAlign w:val="bottom"/>
            <w:gridSpan w:val="8"/>
          </w:tcPr>
          <w:p>
            <w:pPr>
              <w:spacing w:after="0"/>
              <w:rPr>
                <w:rFonts w:ascii="Arial" w:cs="Arial" w:eastAsia="Arial" w:hAnsi="Arial"/>
                <w:sz w:val="18"/>
                <w:szCs w:val="18"/>
                <w:color w:val="auto"/>
              </w:rPr>
            </w:pPr>
            <w:hyperlink w:anchor="page71">
              <w:r>
                <w:rPr>
                  <w:rFonts w:ascii="Arial" w:cs="Arial" w:eastAsia="Arial" w:hAnsi="Arial"/>
                  <w:sz w:val="18"/>
                  <w:szCs w:val="18"/>
                  <w:color w:val="auto"/>
                </w:rPr>
                <w:t xml:space="preserve">Schedule III-Real Estate and Accumulated Depreciation as of December 31, </w:t>
              </w:r>
            </w:hyperlink>
            <w:r>
              <w:rPr>
                <w:rFonts w:ascii="Arial" w:cs="Arial" w:eastAsia="Arial" w:hAnsi="Arial"/>
                <w:sz w:val="18"/>
                <w:szCs w:val="18"/>
                <w:color w:val="auto"/>
              </w:rPr>
              <w:t>2018</w:t>
            </w:r>
          </w:p>
        </w:tc>
        <w:tc>
          <w:tcPr>
            <w:tcW w:w="2000" w:type="dxa"/>
            <w:vAlign w:val="bottom"/>
            <w:gridSpan w:val="2"/>
          </w:tcPr>
          <w:p>
            <w:pPr>
              <w:spacing w:after="0"/>
              <w:rPr>
                <w:sz w:val="21"/>
                <w:szCs w:val="21"/>
                <w:color w:val="auto"/>
              </w:rPr>
            </w:pPr>
          </w:p>
        </w:tc>
        <w:tc>
          <w:tcPr>
            <w:tcW w:w="1860" w:type="dxa"/>
            <w:vAlign w:val="bottom"/>
            <w:gridSpan w:val="2"/>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r>
        <w:trPr>
          <w:trHeight w:val="20"/>
        </w:trPr>
        <w:tc>
          <w:tcPr>
            <w:tcW w:w="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other schedules are omitted because they are not required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08" w:right="2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Reckson Operating Partnership,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audited the accompanying consolidated balance sheets of Reckson Operating Partnership, L.P. (the Company) as of December 31, 2018 and 2017, the related consolidated statements of operations, comprehensive income, capital and cash flows for each of the three years in the period ended December 31, 2018,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4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Commercial real estate properties, at cost:</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Land and land interests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1,214,535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1,704,142</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Building and improvements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3,171,132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4,251,610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Building leasehold and improvements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1,073,703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1,073,703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5,459,370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7,029,455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(1,316,217)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(1,492,603)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4,143,153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5,536,852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67,228</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34,480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36,013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41,117</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Tenant and other receivables, net of allowance of $6,795 and $7,237 in 2018 and 2017, respectively</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23,085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31,006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Deferred rents receivable, net of allowance of $9,535 and $11,189 in 2018 and 2017,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180,253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233,300</w:t>
            </w:r>
          </w:p>
        </w:tc>
        <w:tc>
          <w:tcPr>
            <w:tcW w:w="0" w:type="dxa"/>
            <w:vAlign w:val="bottom"/>
          </w:tcPr>
          <w:p>
            <w:pPr>
              <w:spacing w:after="0"/>
              <w:rPr>
                <w:sz w:val="1"/>
                <w:szCs w:val="1"/>
                <w:color w:val="auto"/>
              </w:rPr>
            </w:pPr>
          </w:p>
        </w:tc>
      </w:tr>
      <w:tr>
        <w:trPr>
          <w:trHeight w:val="220"/>
        </w:trPr>
        <w:tc>
          <w:tcPr>
            <w:tcW w:w="7200" w:type="dxa"/>
            <w:vAlign w:val="bottom"/>
            <w:gridSpan w:val="4"/>
          </w:tcPr>
          <w:p>
            <w:pPr>
              <w:ind w:left="40"/>
              <w:spacing w:after="0"/>
              <w:rPr>
                <w:sz w:val="20"/>
                <w:szCs w:val="20"/>
                <w:color w:val="auto"/>
              </w:rPr>
            </w:pPr>
            <w:r>
              <w:rPr>
                <w:rFonts w:ascii="Arial" w:cs="Arial" w:eastAsia="Arial" w:hAnsi="Arial"/>
                <w:sz w:val="16"/>
                <w:szCs w:val="16"/>
                <w:color w:val="auto"/>
                <w:w w:val="92"/>
              </w:rPr>
              <w:t>Debt and preferred equity investments, net of discounts and deferred origination fees of $17,000 and $25,507</w:t>
            </w:r>
          </w:p>
        </w:tc>
        <w:tc>
          <w:tcPr>
            <w:tcW w:w="240" w:type="dxa"/>
            <w:vAlign w:val="bottom"/>
          </w:tcPr>
          <w:p>
            <w:pPr>
              <w:spacing w:after="0"/>
              <w:rPr>
                <w:sz w:val="19"/>
                <w:szCs w:val="19"/>
                <w:color w:val="auto"/>
              </w:rPr>
            </w:pPr>
          </w:p>
        </w:tc>
        <w:tc>
          <w:tcPr>
            <w:tcW w:w="1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1,956,119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in 2018 and 2017, respectively, and allowance of $5,750 in 2018</w:t>
            </w:r>
          </w:p>
        </w:tc>
        <w:tc>
          <w:tcPr>
            <w:tcW w:w="24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2,114,041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339,302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130,217</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w w:val="97"/>
              </w:rPr>
              <w:t>Deferred costs, net of accumulated amortization of $84,741 and $77,176 in 2018 and 2017, respectively</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81,863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106,136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217,967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245,598</w:t>
            </w:r>
          </w:p>
        </w:tc>
        <w:tc>
          <w:tcPr>
            <w:tcW w:w="0" w:type="dxa"/>
            <w:vAlign w:val="bottom"/>
          </w:tcPr>
          <w:p>
            <w:pPr>
              <w:spacing w:after="0"/>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71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(1)</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7,009,297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8,541,508</w:t>
            </w:r>
          </w:p>
        </w:tc>
        <w:tc>
          <w:tcPr>
            <w:tcW w:w="0" w:type="dxa"/>
            <w:vAlign w:val="bottom"/>
          </w:tcPr>
          <w:p>
            <w:pPr>
              <w:spacing w:after="0"/>
              <w:rPr>
                <w:sz w:val="1"/>
                <w:szCs w:val="1"/>
                <w:color w:val="auto"/>
              </w:rPr>
            </w:pPr>
          </w:p>
        </w:tc>
      </w:tr>
      <w:tr>
        <w:trPr>
          <w:trHeight w:val="170"/>
        </w:trPr>
        <w:tc>
          <w:tcPr>
            <w:tcW w:w="7200" w:type="dxa"/>
            <w:vAlign w:val="bottom"/>
            <w:gridSpan w:val="4"/>
            <w:shd w:val="clear" w:color="auto" w:fill="CCEEFF"/>
          </w:tcPr>
          <w:p>
            <w:pPr>
              <w:ind w:left="40"/>
              <w:spacing w:after="0" w:line="170" w:lineRule="exact"/>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64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Mortgages and other loans payable, net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607,569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829,648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Unsecured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901,067</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Accrued interest payable</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7,680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14,999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87,077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92,514</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57,608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60,819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Related party payables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23,808</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18,302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134,650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Deferred land leases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807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Security deposits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39,085</w:t>
            </w:r>
          </w:p>
        </w:tc>
        <w:tc>
          <w:tcPr>
            <w:tcW w:w="0" w:type="dxa"/>
            <w:vAlign w:val="bottom"/>
          </w:tcPr>
          <w:p>
            <w:pPr>
              <w:spacing w:after="0"/>
              <w:rPr>
                <w:sz w:val="1"/>
                <w:szCs w:val="1"/>
                <w:color w:val="auto"/>
              </w:rPr>
            </w:pPr>
          </w:p>
        </w:tc>
      </w:tr>
      <w:tr>
        <w:trPr>
          <w:trHeight w:val="237"/>
        </w:trPr>
        <w:tc>
          <w:tcPr>
            <w:tcW w:w="7200" w:type="dxa"/>
            <w:vAlign w:val="bottom"/>
            <w:gridSpan w:val="4"/>
          </w:tcPr>
          <w:p>
            <w:pPr>
              <w:ind w:left="40"/>
              <w:spacing w:after="0"/>
              <w:rPr>
                <w:sz w:val="20"/>
                <w:szCs w:val="20"/>
                <w:color w:val="auto"/>
              </w:rPr>
            </w:pPr>
            <w:r>
              <w:rPr>
                <w:rFonts w:ascii="Arial" w:cs="Arial" w:eastAsia="Arial" w:hAnsi="Arial"/>
                <w:sz w:val="16"/>
                <w:szCs w:val="16"/>
                <w:color w:val="auto"/>
              </w:rPr>
              <w:t>Liabilities related to assets held for sale</w:t>
            </w:r>
          </w:p>
        </w:tc>
        <w:tc>
          <w:tcPr>
            <w:tcW w:w="240" w:type="dxa"/>
            <w:vAlign w:val="bottom"/>
          </w:tcPr>
          <w:p>
            <w:pPr>
              <w:spacing w:after="0"/>
              <w:rPr>
                <w:sz w:val="20"/>
                <w:szCs w:val="20"/>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71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Total liabilities</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819,028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2,099,327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91"/>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Preferred units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109,161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109,161</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Capital</w:t>
            </w:r>
          </w:p>
        </w:tc>
        <w:tc>
          <w:tcPr>
            <w:tcW w:w="2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6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General partner capital</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6,056,226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6,012,134</w:t>
            </w: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Limited partner capital</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(1,259)</w:t>
            </w:r>
          </w:p>
        </w:tc>
      </w:tr>
      <w:tr>
        <w:trPr>
          <w:trHeight w:val="33"/>
        </w:trPr>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ROP partner's capital</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6,056,226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6,010,875</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Noncontrolling interests in other partnerships</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b w:val="1"/>
                <w:bCs w:val="1"/>
                <w:color w:val="auto"/>
              </w:rPr>
              <w:t>24,882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322,145</w:t>
            </w:r>
          </w:p>
        </w:tc>
      </w:tr>
      <w:tr>
        <w:trPr>
          <w:trHeight w:val="33"/>
        </w:trPr>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capital</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6,081,108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6,333,020</w:t>
            </w:r>
          </w:p>
        </w:tc>
      </w:tr>
      <w:tr>
        <w:trPr>
          <w:trHeight w:val="244"/>
        </w:trPr>
        <w:tc>
          <w:tcPr>
            <w:tcW w:w="40" w:type="dxa"/>
            <w:vAlign w:val="bottom"/>
          </w:tcPr>
          <w:p>
            <w:pPr>
              <w:spacing w:after="0"/>
              <w:rPr>
                <w:sz w:val="21"/>
                <w:szCs w:val="21"/>
                <w:color w:val="auto"/>
              </w:rPr>
            </w:pPr>
          </w:p>
        </w:tc>
        <w:tc>
          <w:tcPr>
            <w:tcW w:w="7160" w:type="dxa"/>
            <w:vAlign w:val="bottom"/>
            <w:gridSpan w:val="2"/>
          </w:tcPr>
          <w:p>
            <w:pPr>
              <w:ind w:left="340"/>
              <w:spacing w:after="0"/>
              <w:rPr>
                <w:sz w:val="20"/>
                <w:szCs w:val="20"/>
                <w:color w:val="auto"/>
              </w:rPr>
            </w:pPr>
            <w:r>
              <w:rPr>
                <w:rFonts w:ascii="Arial" w:cs="Arial" w:eastAsia="Arial" w:hAnsi="Arial"/>
                <w:sz w:val="16"/>
                <w:szCs w:val="16"/>
                <w:color w:val="auto"/>
              </w:rPr>
              <w:t>Total liabilities and capital</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7,009,297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8,541,508</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40" w:right="100" w:hanging="5"/>
        <w:spacing w:after="0" w:line="256" w:lineRule="auto"/>
        <w:tabs>
          <w:tab w:leader="none" w:pos="196"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Company's consolidated balance sheets include assets and liabilities of consolidated variable interest entities ("VIEs"). See Note 2. The consolidated balance sheets include the following amounts related to our consolidated VIEs: $45.1 million and $268.6 million of land, $0.2 billion and $1.3 billion of building and improvements, $23.7 million and $319.1 million of accumulated depreciation, $626.2 million and $143.9 million of other assets included in other line items, $0.0 million and $495.0 million of real estate debt, net, $0.0 million and $2.1 million of accrued interest payable, and $9.3 million and $48.8 million of other liabilities included in other line items as of December 31, 2018 and December 31, 2017,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Rental revenue, net</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531,844</w:t>
            </w:r>
          </w:p>
        </w:tc>
        <w:tc>
          <w:tcPr>
            <w:tcW w:w="52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668,068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652,629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Escalation and reimbursement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82,583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104,683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Investment income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190,408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193,977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214,102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11,268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217"/>
        </w:trPr>
        <w:tc>
          <w:tcPr>
            <w:tcW w:w="674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816,103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967,538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975,416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40" w:type="dxa"/>
            <w:vAlign w:val="bottom"/>
          </w:tcPr>
          <w:p>
            <w:pPr>
              <w:ind w:left="40"/>
              <w:spacing w:after="0"/>
              <w:rPr>
                <w:sz w:val="20"/>
                <w:szCs w:val="20"/>
                <w:color w:val="auto"/>
              </w:rPr>
            </w:pPr>
            <w:r>
              <w:rPr>
                <w:rFonts w:ascii="Arial" w:cs="Arial" w:eastAsia="Arial" w:hAnsi="Arial"/>
                <w:sz w:val="16"/>
                <w:szCs w:val="16"/>
                <w:color w:val="auto"/>
                <w:w w:val="92"/>
              </w:rPr>
              <w:t>Operating expenses, including $24,418 in 2018, $27,929 in 2017, and $25,193 in 2016 of related party</w:t>
            </w:r>
          </w:p>
        </w:tc>
        <w:tc>
          <w:tcPr>
            <w:tcW w:w="3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131,212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20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164,219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166,137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130,532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156,967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Ground rent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19,798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20,971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62,081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109,208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4,532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7,918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166,372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212,514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Loan loss and other investment reserves, net of recoveries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5,750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Transaction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general and administrative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521,187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681,703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669,716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Equity in net income from unconsolidated joint ventures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4,198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14,509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Purchase price and other fair value adjustment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54,860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Depreciable real estate reserves and impairment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(106,376)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(172,071)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199,484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313,300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 in other partnerships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17,440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units dividend</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(3,821)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ROP common unitholder</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194,945</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212,075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305,055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2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w w:val="92"/>
              </w:rPr>
              <w:t>Year Ended December 31,</w:t>
            </w:r>
          </w:p>
        </w:tc>
        <w:tc>
          <w:tcPr>
            <w:tcW w:w="112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ROP common unitholder</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194,945</w:t>
            </w:r>
          </w:p>
        </w:tc>
        <w:tc>
          <w:tcPr>
            <w:tcW w:w="54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305,055</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 in net unrealized gain on derivative instruments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r>
      <w:tr>
        <w:trPr>
          <w:trHeight w:val="244"/>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attributable to ROP common unitholder</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194,945</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212,434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305,653</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General</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Partner's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Noncontrolling</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Class A</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Limited Partner's</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In Other</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300" w:type="dxa"/>
            <w:vAlign w:val="bottom"/>
          </w:tcPr>
          <w:p>
            <w:pPr>
              <w:spacing w:after="0"/>
              <w:rPr>
                <w:sz w:val="17"/>
                <w:szCs w:val="17"/>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10"/>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1500" w:type="dxa"/>
            <w:vAlign w:val="bottom"/>
            <w:gridSpan w:val="2"/>
          </w:tcPr>
          <w:p>
            <w:pPr>
              <w:ind w:left="38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Partnerships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(Loss) Income</w:t>
            </w:r>
          </w:p>
        </w:tc>
        <w:tc>
          <w:tcPr>
            <w:tcW w:w="30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Capital</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4,201,872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387,296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4,586,952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4,490,682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4,490,682</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(3,857,767)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(3,858,888)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305,055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309,479</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5,139,842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390,599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5,528,823</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4,664,031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4,664,131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Distributions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(4,003,814)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(51,114)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(4,054,928)</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212,075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194,635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359</w:t>
            </w:r>
          </w:p>
        </w:tc>
      </w:tr>
      <w:tr>
        <w:trPr>
          <w:trHeight w:val="33"/>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6,012,134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322,145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6,333,020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2,585,954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2,587,213</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(2,736,807)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(2,737,648)</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Deconsolidation</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(297,140)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(297,140)</w:t>
            </w: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194,945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195,663</w:t>
            </w: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6,056,226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24,882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6,081,108</w:t>
            </w: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199,484</w:t>
            </w:r>
          </w:p>
        </w:tc>
        <w:tc>
          <w:tcPr>
            <w:tcW w:w="5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198,454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313,300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170,904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215,108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220,432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in net gain on sale of interest in unconsolidated joint venture/real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Equity in net income from unconsolidated joint ventures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(4,198)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(14,509)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10,430</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Loan loss and other investment reserves, net of recoveries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5,750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 price and other fair value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(54,860)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Depreciable real estate reserves and impairment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106,376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172,071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(Gain) loss on sale of real estate,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6,909</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Deferred rents receivable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6,037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(23,768)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non-cash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(40,387)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(53,206)</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Tenant and 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1,511</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Deferred lease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(21,077)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(27,625)</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12,872</w:t>
            </w:r>
          </w:p>
        </w:tc>
      </w:tr>
      <w:tr>
        <w:trPr>
          <w:trHeight w:val="237"/>
        </w:trPr>
        <w:tc>
          <w:tcPr>
            <w:tcW w:w="6720" w:type="dxa"/>
            <w:vAlign w:val="bottom"/>
          </w:tcPr>
          <w:p>
            <w:pPr>
              <w:ind w:left="16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(2,937)</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revenue and land leases payable</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415,114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428,097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445,093</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Acquisitions of real estate property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to land, buildings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(137,414)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(127,200)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Investments in unconsolidated joint venture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(20,449)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(25,373)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116,381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328,256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344,443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42,316</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(40,776)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14,292</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Origination of debt and preferred equity investments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(814,334)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(1,129,493)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(977,699)</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or redemption of preferred equity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689,346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782,914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904,517</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121,010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(16,693)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(167,843)</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Proceeds from mortgages and other loans payable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306,638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340,809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50,383</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mortgages and other loans payable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(119,165)</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Proceeds from revolving credit facility, term loan and senior unsecured notes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1,898,134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1,325,300</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revolving credit facility term loan and senior unsecured notes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(2,324,608)</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Contributions from common unitholder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1,777,090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3,348,730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4,490,682</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Contributions from noncontrolling interests in other partnerships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 in other partnerships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(1,121)</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to common and preferred unitholder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(2,374,759)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(4,007,580)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(3,738,853)</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Deferred loan costs and capitalized lease obligation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(3,936)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(5,058)</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obligation related to mortgage loan participation</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59,150</w:t>
            </w: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(545,699)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(437,693)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(263,290)</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restricted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(9,575)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13,960</w:t>
            </w: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at beginning of year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77,130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103,419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89,459</w:t>
            </w:r>
          </w:p>
        </w:tc>
      </w:tr>
      <w:tr>
        <w:trPr>
          <w:trHeight w:val="33"/>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restricted cash, and cash equivalents at end of year</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67,555</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77,130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103,419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58,350</w:t>
            </w:r>
          </w:p>
        </w:tc>
        <w:tc>
          <w:tcPr>
            <w:tcW w:w="5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125,289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110,656</w:t>
            </w: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6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 and capital expenditures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4,029</w:t>
            </w:r>
          </w:p>
        </w:tc>
      </w:tr>
      <w:tr>
        <w:trPr>
          <w:trHeight w:val="33"/>
        </w:trPr>
        <w:tc>
          <w:tcPr>
            <w:tcW w:w="6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125" w:right="259" w:bottom="0" w:gutter="0" w:footer="0" w:header="0"/>
        </w:sectPr>
      </w:pPr>
    </w:p>
    <w:bookmarkStart w:id="43" w:name="page44"/>
    <w:bookmarkEnd w:id="43"/>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Transfer of assets to assets held for sale</w:t>
            </w:r>
          </w:p>
        </w:tc>
        <w:tc>
          <w:tcPr>
            <w:tcW w:w="25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479"/>
              <w:spacing w:after="0"/>
              <w:rPr>
                <w:sz w:val="20"/>
                <w:szCs w:val="20"/>
                <w:color w:val="auto"/>
              </w:rPr>
            </w:pPr>
            <w:r>
              <w:rPr>
                <w:rFonts w:ascii="Arial" w:cs="Arial" w:eastAsia="Arial" w:hAnsi="Arial"/>
                <w:sz w:val="16"/>
                <w:szCs w:val="16"/>
                <w:color w:val="auto"/>
              </w:rPr>
              <w:t>340,683</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60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Transfer of liabilities related to assets held for sale</w:t>
            </w:r>
          </w:p>
        </w:tc>
        <w:tc>
          <w:tcPr>
            <w:tcW w:w="25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1,332</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Contributions from common unitholder</w:t>
            </w:r>
          </w:p>
        </w:tc>
        <w:tc>
          <w:tcPr>
            <w:tcW w:w="2560" w:type="dxa"/>
            <w:vAlign w:val="bottom"/>
          </w:tcPr>
          <w:p>
            <w:pPr>
              <w:jc w:val="right"/>
              <w:ind w:right="399"/>
              <w:spacing w:after="0"/>
              <w:rPr>
                <w:sz w:val="20"/>
                <w:szCs w:val="20"/>
                <w:color w:val="auto"/>
              </w:rPr>
            </w:pPr>
            <w:r>
              <w:rPr>
                <w:rFonts w:ascii="Arial" w:cs="Arial" w:eastAsia="Arial" w:hAnsi="Arial"/>
                <w:sz w:val="16"/>
                <w:szCs w:val="16"/>
                <w:b w:val="1"/>
                <w:bCs w:val="1"/>
                <w:color w:val="auto"/>
              </w:rPr>
              <w:t>808,864</w:t>
            </w:r>
          </w:p>
        </w:tc>
        <w:tc>
          <w:tcPr>
            <w:tcW w:w="1700" w:type="dxa"/>
            <w:vAlign w:val="bottom"/>
          </w:tcPr>
          <w:p>
            <w:pPr>
              <w:jc w:val="right"/>
              <w:ind w:right="479"/>
              <w:spacing w:after="0"/>
              <w:rPr>
                <w:sz w:val="20"/>
                <w:szCs w:val="20"/>
                <w:color w:val="auto"/>
              </w:rPr>
            </w:pPr>
            <w:r>
              <w:rPr>
                <w:rFonts w:ascii="Arial" w:cs="Arial" w:eastAsia="Arial" w:hAnsi="Arial"/>
                <w:sz w:val="16"/>
                <w:szCs w:val="16"/>
                <w:color w:val="auto"/>
              </w:rPr>
              <w:t>1,315,301</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to common unitholder</w:t>
            </w:r>
          </w:p>
        </w:tc>
        <w:tc>
          <w:tcPr>
            <w:tcW w:w="25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365,869</w:t>
            </w:r>
          </w:p>
        </w:tc>
        <w:tc>
          <w:tcPr>
            <w:tcW w:w="17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Distribution of land to common unitholder</w:t>
            </w:r>
          </w:p>
        </w:tc>
        <w:tc>
          <w:tcPr>
            <w:tcW w:w="25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8,980</w:t>
            </w:r>
          </w:p>
        </w:tc>
      </w:tr>
      <w:tr>
        <w:trPr>
          <w:trHeight w:val="33"/>
        </w:trPr>
        <w:tc>
          <w:tcPr>
            <w:tcW w:w="6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Deconsolidation of a subsidiary</w:t>
            </w:r>
          </w:p>
        </w:tc>
        <w:tc>
          <w:tcPr>
            <w:tcW w:w="25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280,718</w:t>
            </w:r>
          </w:p>
        </w:tc>
        <w:tc>
          <w:tcPr>
            <w:tcW w:w="17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3,520</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Exchange of debt investment for equity in joint venture</w:t>
            </w:r>
          </w:p>
        </w:tc>
        <w:tc>
          <w:tcPr>
            <w:tcW w:w="25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68,581</w:t>
            </w:r>
          </w:p>
        </w:tc>
      </w:tr>
      <w:tr>
        <w:trPr>
          <w:trHeight w:val="33"/>
        </w:trPr>
        <w:tc>
          <w:tcPr>
            <w:tcW w:w="6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Removal of fully depreciated commercial real estate properties</w:t>
            </w:r>
          </w:p>
        </w:tc>
        <w:tc>
          <w:tcPr>
            <w:tcW w:w="25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15,571</w:t>
            </w:r>
          </w:p>
        </w:tc>
        <w:tc>
          <w:tcPr>
            <w:tcW w:w="17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12,326</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Settlement of related party receivable with SL Green common stock</w:t>
            </w:r>
          </w:p>
        </w:tc>
        <w:tc>
          <w:tcPr>
            <w:tcW w:w="256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90,000</w:t>
            </w:r>
          </w:p>
        </w:tc>
      </w:tr>
      <w:tr>
        <w:trPr>
          <w:trHeight w:val="33"/>
        </w:trPr>
        <w:tc>
          <w:tcPr>
            <w:tcW w:w="6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related party payable for SL Green common stock</w:t>
            </w:r>
          </w:p>
        </w:tc>
        <w:tc>
          <w:tcPr>
            <w:tcW w:w="256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7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23,808</w:t>
            </w:r>
          </w:p>
        </w:tc>
      </w:tr>
      <w:tr>
        <w:trPr>
          <w:trHeight w:val="33"/>
        </w:trPr>
        <w:tc>
          <w:tcPr>
            <w:tcW w:w="60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238"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33"/>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34,480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59,930</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33,075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43,489</w:t>
            </w:r>
          </w:p>
        </w:tc>
      </w:tr>
      <w:tr>
        <w:trPr>
          <w:trHeight w:val="33"/>
        </w:trPr>
        <w:tc>
          <w:tcPr>
            <w:tcW w:w="6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cash, cash equivalents, and restricted cash</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67,555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77,130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103,419</w:t>
            </w:r>
          </w:p>
        </w:tc>
      </w:tr>
      <w:tr>
        <w:trPr>
          <w:trHeight w:val="33"/>
        </w:trPr>
        <w:tc>
          <w:tcPr>
            <w:tcW w:w="6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6"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Reckson Operating Partnership, L.P., or ROP, commenced operations on June 2, 1995. The sole general partner of ROP is Wyoming Acquisition GP LLC., or WAGP, a wholly-owned subsidiary of SL Green Operating Partnership, L.P., or the Operating Partnership. The sole limited partner of ROP is the Operating Partnership. The Operating Partnership is 95.30% owned by SL Green Realty Corp., or SL Green, as of December 31, 2018. SL Green is a self-administered and self-managed real estate investment trust, and is the sole managing general partner of the Operating Partnership. Unless the context requires otherwise, all references to "we," "our," "us" and the "Company" means ROP and all entities owned or controlled by ROP.</w:t>
      </w:r>
    </w:p>
    <w:p>
      <w:pPr>
        <w:spacing w:after="0" w:line="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engaged in the acquisition, ownership, management and operation of commercial and residential real estate properties, principally office properties, and also own land for future development, in the New York metropolitan area.</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SL Green and the Operating Partnership were formed in June 1997. SL Green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January 25, 2007, SL Green completed the acquisition of all of the outstanding shares of common stock of Reckson Associates Realty Corp., or RARC, our prior general partner. This transaction is referred to herein as the Merger.</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we owned the following interests in properties in the New York metropolitan area, primarily in midtown Manhattan. Our investments located outside of Manhattan are referred to as the Suburban properties: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ind w:left="480"/>
              <w:spacing w:after="0"/>
              <w:rPr>
                <w:sz w:val="20"/>
                <w:szCs w:val="20"/>
                <w:color w:val="auto"/>
              </w:rPr>
            </w:pPr>
            <w:r>
              <w:rPr>
                <w:rFonts w:ascii="Arial" w:cs="Arial" w:eastAsia="Arial" w:hAnsi="Arial"/>
                <w:sz w:val="16"/>
                <w:szCs w:val="16"/>
                <w:b w:val="1"/>
                <w:bCs w:val="1"/>
                <w:color w:val="auto"/>
              </w:rPr>
              <w:t>Number of</w:t>
            </w:r>
          </w:p>
        </w:tc>
        <w:tc>
          <w:tcPr>
            <w:tcW w:w="17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Approximate Square</w:t>
            </w:r>
          </w:p>
        </w:tc>
        <w:tc>
          <w:tcPr>
            <w:tcW w:w="100" w:type="dxa"/>
            <w:vAlign w:val="bottom"/>
          </w:tcPr>
          <w:p>
            <w:pPr>
              <w:spacing w:after="0"/>
              <w:rPr>
                <w:sz w:val="17"/>
                <w:szCs w:val="17"/>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Weighted Average</w:t>
            </w:r>
          </w:p>
        </w:tc>
      </w:tr>
      <w:tr>
        <w:trPr>
          <w:trHeight w:val="243"/>
        </w:trPr>
        <w:tc>
          <w:tcPr>
            <w:tcW w:w="280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Location</w:t>
            </w:r>
          </w:p>
        </w:tc>
        <w:tc>
          <w:tcPr>
            <w:tcW w:w="12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Type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Properties</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Feet (unaudited)</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Occupancy</w:t>
            </w:r>
            <w:r>
              <w:rPr>
                <w:rFonts w:ascii="Arial" w:cs="Arial" w:eastAsia="Arial" w:hAnsi="Arial"/>
                <w:sz w:val="21"/>
                <w:szCs w:val="21"/>
                <w:b w:val="1"/>
                <w:bCs w:val="1"/>
                <w:color w:val="auto"/>
                <w:w w:val="92"/>
                <w:vertAlign w:val="superscript"/>
              </w:rPr>
              <w:t>(1)</w:t>
            </w:r>
            <w:r>
              <w:rPr>
                <w:rFonts w:ascii="Arial" w:cs="Arial" w:eastAsia="Arial" w:hAnsi="Arial"/>
                <w:sz w:val="16"/>
                <w:szCs w:val="16"/>
                <w:b w:val="1"/>
                <w:bCs w:val="1"/>
                <w:color w:val="auto"/>
                <w:w w:val="92"/>
              </w:rPr>
              <w:t xml:space="preserve"> (unaudited)</w:t>
            </w:r>
          </w:p>
        </w:tc>
      </w:tr>
      <w:tr>
        <w:trPr>
          <w:trHeight w:val="24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Commercial:</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70"/>
        </w:trPr>
        <w:tc>
          <w:tcPr>
            <w:tcW w:w="2920" w:type="dxa"/>
            <w:vAlign w:val="bottom"/>
            <w:gridSpan w:val="2"/>
          </w:tcPr>
          <w:p>
            <w:pPr>
              <w:ind w:left="180"/>
              <w:spacing w:after="0"/>
              <w:rPr>
                <w:sz w:val="20"/>
                <w:szCs w:val="20"/>
                <w:color w:val="auto"/>
              </w:rPr>
            </w:pPr>
            <w:r>
              <w:rPr>
                <w:rFonts w:ascii="Arial" w:cs="Arial" w:eastAsia="Arial" w:hAnsi="Arial"/>
                <w:sz w:val="16"/>
                <w:szCs w:val="16"/>
                <w:color w:val="auto"/>
              </w:rPr>
              <w:t>Manhattan</w:t>
            </w: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Office</w:t>
            </w:r>
            <w:r>
              <w:rPr>
                <w:rFonts w:ascii="Arial" w:cs="Arial" w:eastAsia="Arial" w:hAnsi="Arial"/>
                <w:sz w:val="21"/>
                <w:szCs w:val="21"/>
                <w:color w:val="auto"/>
                <w:w w:val="91"/>
                <w:vertAlign w:val="superscript"/>
              </w:rPr>
              <w:t>(2)</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8,303,245</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94.9%</w:t>
            </w:r>
          </w:p>
        </w:tc>
      </w:tr>
      <w:tr>
        <w:trPr>
          <w:trHeight w:val="270"/>
        </w:trPr>
        <w:tc>
          <w:tcPr>
            <w:tcW w:w="2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5"/>
              </w:rPr>
              <w:t>Retail</w:t>
            </w:r>
            <w:r>
              <w:rPr>
                <w:rFonts w:ascii="Arial" w:cs="Arial" w:eastAsia="Arial" w:hAnsi="Arial"/>
                <w:sz w:val="21"/>
                <w:szCs w:val="21"/>
                <w:color w:val="auto"/>
                <w:w w:val="85"/>
                <w:vertAlign w:val="superscript"/>
              </w:rPr>
              <w:t>(3)(4)</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364,816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99.4%</w:t>
            </w:r>
          </w:p>
        </w:tc>
      </w:tr>
      <w:tr>
        <w:trPr>
          <w:trHeight w:val="237"/>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Development/Redevelopment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160,000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96.0%</w:t>
            </w:r>
          </w:p>
        </w:tc>
      </w:tr>
      <w:tr>
        <w:trPr>
          <w:trHeight w:val="33"/>
        </w:trPr>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8,828,061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95.1%</w:t>
            </w:r>
          </w:p>
        </w:tc>
      </w:tr>
      <w:tr>
        <w:trPr>
          <w:trHeight w:val="217"/>
        </w:trPr>
        <w:tc>
          <w:tcPr>
            <w:tcW w:w="2920" w:type="dxa"/>
            <w:vAlign w:val="bottom"/>
            <w:gridSpan w:val="2"/>
          </w:tcPr>
          <w:p>
            <w:pPr>
              <w:ind w:left="180"/>
              <w:spacing w:after="0"/>
              <w:rPr>
                <w:sz w:val="20"/>
                <w:szCs w:val="20"/>
                <w:color w:val="auto"/>
              </w:rPr>
            </w:pPr>
            <w:r>
              <w:rPr>
                <w:rFonts w:ascii="Arial" w:cs="Arial" w:eastAsia="Arial" w:hAnsi="Arial"/>
                <w:sz w:val="16"/>
                <w:szCs w:val="16"/>
                <w:color w:val="auto"/>
              </w:rPr>
              <w:t>Suburban</w:t>
            </w:r>
          </w:p>
        </w:tc>
        <w:tc>
          <w:tcPr>
            <w:tcW w:w="30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Office</w:t>
            </w: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1,432,400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94.3%</w:t>
            </w:r>
          </w:p>
        </w:tc>
      </w:tr>
      <w:tr>
        <w:trPr>
          <w:trHeight w:val="33"/>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Retail</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52,000</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1,484,400</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94.5%</w:t>
            </w:r>
          </w:p>
        </w:tc>
      </w:tr>
      <w:tr>
        <w:trPr>
          <w:trHeight w:val="33"/>
        </w:trPr>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commercial properties</w:t>
            </w:r>
          </w:p>
        </w:tc>
        <w:tc>
          <w:tcPr>
            <w:tcW w:w="2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10,312,461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95.0%</w:t>
            </w:r>
          </w:p>
        </w:tc>
      </w:tr>
      <w:tr>
        <w:trPr>
          <w:trHeight w:val="231"/>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Residential:</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Manhattan</w:t>
            </w:r>
          </w:p>
        </w:tc>
        <w:tc>
          <w:tcPr>
            <w:tcW w:w="3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Residential</w:t>
            </w:r>
            <w:r>
              <w:rPr>
                <w:rFonts w:ascii="Arial" w:cs="Arial" w:eastAsia="Arial" w:hAnsi="Arial"/>
                <w:sz w:val="21"/>
                <w:szCs w:val="21"/>
                <w:color w:val="auto"/>
                <w:w w:val="89"/>
                <w:vertAlign w:val="superscript"/>
              </w:rPr>
              <w:t>(3)</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222,855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31"/>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Total portfolio</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10,535,316</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12700</wp:posOffset>
            </wp:positionV>
            <wp:extent cx="222123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1230" cy="2603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w:t>
      </w:r>
    </w:p>
    <w:p>
      <w:pPr>
        <w:spacing w:after="0" w:line="28" w:lineRule="exact"/>
        <w:rPr>
          <w:sz w:val="20"/>
          <w:szCs w:val="20"/>
          <w:color w:val="auto"/>
        </w:rPr>
      </w:pPr>
    </w:p>
    <w:p>
      <w:pPr>
        <w:ind w:left="420" w:right="360" w:hanging="412"/>
        <w:spacing w:after="0" w:line="250" w:lineRule="auto"/>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feet divided by total square footage at acquisition. The weighted average occupancy for residential properties represents the total occupied units divided by total available units.</w:t>
      </w:r>
    </w:p>
    <w:p>
      <w:pPr>
        <w:ind w:left="420" w:hanging="41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one unconsolidated joint venture property at 919 Third Avenue comprised of approximately 1,454,000 square feet.</w:t>
      </w:r>
    </w:p>
    <w:p>
      <w:pPr>
        <w:spacing w:after="0" w:line="1" w:lineRule="exact"/>
        <w:rPr>
          <w:rFonts w:ascii="Arial" w:cs="Arial" w:eastAsia="Arial" w:hAnsi="Arial"/>
          <w:sz w:val="14"/>
          <w:szCs w:val="14"/>
          <w:color w:val="auto"/>
        </w:rPr>
      </w:pPr>
    </w:p>
    <w:p>
      <w:pPr>
        <w:jc w:val="both"/>
        <w:ind w:left="420" w:hanging="412"/>
        <w:spacing w:after="0" w:line="260" w:lineRule="auto"/>
        <w:tabs>
          <w:tab w:leader="none" w:pos="4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As of December 31, 2018, we owned a building at 315 West 33rd Street, also known as The Olivia, that was comprised of approximately 270,132 square feet (unaudited) of retail space and approximately 222,855 square feet (unaudited) of residential space. For the purpose of this report, we have included this building in the number of retail properties we own. However, we have included only the retail square footage in the retail approximate square footage, and have listed the balance of the square footage as residential square footage.</w:t>
      </w:r>
    </w:p>
    <w:p>
      <w:pPr>
        <w:ind w:left="420" w:hanging="41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two unconsolidated joint venture retail properties at 131-137 Spring Street comprised of approximately 68,342 square feet (unaudited).</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we also held debt and preferred equity investments with a book value of $2.0 billion.</w:t>
      </w:r>
    </w:p>
    <w:p>
      <w:pPr>
        <w:spacing w:after="0" w:line="113" w:lineRule="exact"/>
        <w:rPr>
          <w:sz w:val="20"/>
          <w:szCs w:val="20"/>
          <w:color w:val="auto"/>
        </w:rPr>
      </w:pPr>
    </w:p>
    <w:p>
      <w:pPr>
        <w:ind w:right="8860" w:firstLine="8"/>
        <w:spacing w:after="0" w:line="453" w:lineRule="auto"/>
        <w:tabs>
          <w:tab w:leader="none" w:pos="180"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Principles of Consolidation</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consolidated financial statements include our accounts and those of our subsidiaries, which are wholly-owned or controlled by us. Entities which we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consolidate a variable interest entity, or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7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 noncontrolling interest in a consolidated subsidiary is defined as the portion of the equity (net assets) in a subsidiary not attributable, directly or indirectly, to us. Noncontrolling interests are required to be presented as a separate component of equity in the consolidated balance sheet and the presentation of net income is modified to present earnings and other comprehensive income attributed to controlling and noncontrolling interests.</w:t>
      </w:r>
    </w:p>
    <w:p>
      <w:pPr>
        <w:spacing w:after="0" w:line="5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assess the accounting treatment for each joint venture and debt and preferred equity investment. This assessment includes a review of each joint venture or limited liability company agreement to determine the rights provided to each party and whether those rights are protective or participating. For all VIEs, we review such agreements in order to determine which party has the power to direct the activities that most significantly impact the entity's economic performance. In situations where we and our partner approve, among other things, the annual budget, receive a detailed monthly reporting package, meet on a quarterly basis to review the results of the joint venture, review and approve the joint venture's tax return before filing, and approve all leases that cover more than a nominal amount of space relative to the total rentable space at each property, we do not consolidate the joint venture as we consider these to be substantive participation rights that result in shared power of the activities that most significantly impact the performance of the joint venture. Our joint venture agreements typically contain certain protective rights such as requiring partner approval to sell, finance or refinance the property and the payment of capital expenditures and operating expenditures outside of the approved budget or operating plan.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Commercial Real Estate Properties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Real estate properties are presented at cost less accumulated depreciation and amortization. Costs directly related to the development or redevelopment of properties are capitalized. Ordinary repairs and maintenance are expensed as incurred; major replacements and betterments, which improve or extend the life of the asset, are capitalized and depreciated over their estimated useful lives.</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recognize the assets acquired, liabilities assumed (including contingencies) and any noncontrolling interests in an acquired entity at their respective fair values on the acquisition date. When we acquire our partner's equity interest in an existing unconsolidated joint venture and gain control over the investment, we record the consolidated investment at fair value. The difference between the book value of our equity investment on the purchase date and our share of the fair value of the investment's purchase price is recorded as a purchase price fair value adjustment in our consolidated statements of operations. See Note 3, "Property Acquisitions."</w:t>
      </w:r>
    </w:p>
    <w:p>
      <w:pPr>
        <w:spacing w:after="0" w:line="80"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three to 40 years. We amortize the amount allocated to the above- and below-market leases over the remaining term of the associated lease, which generally range from one to 14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one to 14 years.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its contractual expiration date). We assess fair value of the leases based on estimated cash flow projections that utilize appropriate discount and capitalization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 As of December 31, 2018, the weighted average amortization period for above-market leases, below-market leases, and in-place lease costs is 4.2 years, 7.7 years, and 4.6 years, respectively.</w:t>
      </w:r>
    </w:p>
    <w:p>
      <w:pPr>
        <w:spacing w:after="0" w:line="7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incur a variety of costs in the development and leasing of our properties. After the determination is made to capitalize a cost, it is allocated to the specific component of a project that is benefited. Determination of when a development project is substantially complete and capitalization must cease involves a degree of judgment. The costs of land and building under development include specifically identifiable costs. The capitalized costs include, but are not limited to,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after major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activity ceases. We cease capitalization on the portions substantially completed and occupied or held available for occupancy, and capitalize only those costs associated with the portions under construction.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Properties are depreciated using the straight-line method over the estimated useful lives of the assets. The estimated useful lives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Category</w:t>
            </w:r>
          </w:p>
        </w:tc>
        <w:tc>
          <w:tcPr>
            <w:tcW w:w="6380" w:type="dxa"/>
            <w:vAlign w:val="bottom"/>
          </w:tcPr>
          <w:p>
            <w:pPr>
              <w:ind w:left="3000"/>
              <w:spacing w:after="0"/>
              <w:rPr>
                <w:sz w:val="20"/>
                <w:szCs w:val="20"/>
                <w:color w:val="auto"/>
              </w:rPr>
            </w:pPr>
            <w:r>
              <w:rPr>
                <w:rFonts w:ascii="Arial" w:cs="Arial" w:eastAsia="Arial" w:hAnsi="Arial"/>
                <w:sz w:val="16"/>
                <w:szCs w:val="16"/>
                <w:b w:val="1"/>
                <w:bCs w:val="1"/>
                <w:color w:val="auto"/>
              </w:rPr>
              <w:t>Term</w:t>
            </w:r>
          </w:p>
        </w:tc>
      </w:tr>
      <w:tr>
        <w:trPr>
          <w:trHeight w:val="33"/>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 (fee ownership)</w:t>
            </w: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40 years</w:t>
            </w:r>
          </w:p>
        </w:tc>
      </w:tr>
      <w:tr>
        <w:trPr>
          <w:trHeight w:val="224"/>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Building improvements</w:t>
            </w:r>
          </w:p>
        </w:tc>
        <w:tc>
          <w:tcPr>
            <w:tcW w:w="6380" w:type="dxa"/>
            <w:vAlign w:val="bottom"/>
          </w:tcPr>
          <w:p>
            <w:pPr>
              <w:ind w:left="20"/>
              <w:spacing w:after="0"/>
              <w:rPr>
                <w:sz w:val="20"/>
                <w:szCs w:val="20"/>
                <w:color w:val="auto"/>
              </w:rPr>
            </w:pPr>
            <w:r>
              <w:rPr>
                <w:rFonts w:ascii="Arial" w:cs="Arial" w:eastAsia="Arial" w:hAnsi="Arial"/>
                <w:sz w:val="16"/>
                <w:szCs w:val="16"/>
                <w:color w:val="auto"/>
              </w:rPr>
              <w:t>shorter of remaining life of the building or useful life</w:t>
            </w:r>
          </w:p>
        </w:tc>
      </w:tr>
      <w:tr>
        <w:trPr>
          <w:trHeight w:val="47"/>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38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 (leasehold interest)</w:t>
            </w: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lesser of 40 years or remaining term of the lease</w:t>
            </w:r>
          </w:p>
        </w:tc>
      </w:tr>
      <w:tr>
        <w:trPr>
          <w:trHeight w:val="224"/>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Property under capital lease</w:t>
            </w:r>
          </w:p>
        </w:tc>
        <w:tc>
          <w:tcPr>
            <w:tcW w:w="6380" w:type="dxa"/>
            <w:vAlign w:val="bottom"/>
          </w:tcPr>
          <w:p>
            <w:pPr>
              <w:ind w:left="20"/>
              <w:spacing w:after="0"/>
              <w:rPr>
                <w:sz w:val="20"/>
                <w:szCs w:val="20"/>
                <w:color w:val="auto"/>
              </w:rPr>
            </w:pPr>
            <w:r>
              <w:rPr>
                <w:rFonts w:ascii="Arial" w:cs="Arial" w:eastAsia="Arial" w:hAnsi="Arial"/>
                <w:sz w:val="16"/>
                <w:szCs w:val="16"/>
                <w:color w:val="auto"/>
              </w:rPr>
              <w:t>remaining lease term</w:t>
            </w:r>
          </w:p>
        </w:tc>
      </w:tr>
      <w:tr>
        <w:trPr>
          <w:trHeight w:val="47"/>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38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four to seven years</w:t>
            </w:r>
          </w:p>
        </w:tc>
      </w:tr>
      <w:tr>
        <w:trPr>
          <w:trHeight w:val="224"/>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Tenant improvements</w:t>
            </w:r>
          </w:p>
        </w:tc>
        <w:tc>
          <w:tcPr>
            <w:tcW w:w="6380" w:type="dxa"/>
            <w:vAlign w:val="bottom"/>
          </w:tcPr>
          <w:p>
            <w:pPr>
              <w:ind w:left="20"/>
              <w:spacing w:after="0"/>
              <w:rPr>
                <w:sz w:val="20"/>
                <w:szCs w:val="20"/>
                <w:color w:val="auto"/>
              </w:rPr>
            </w:pPr>
            <w:r>
              <w:rPr>
                <w:rFonts w:ascii="Arial" w:cs="Arial" w:eastAsia="Arial" w:hAnsi="Arial"/>
                <w:sz w:val="16"/>
                <w:szCs w:val="16"/>
                <w:color w:val="auto"/>
              </w:rPr>
              <w:t>shorter of remaining term of the lease or useful life</w:t>
            </w:r>
          </w:p>
        </w:tc>
      </w:tr>
    </w:tbl>
    <w:p>
      <w:pPr>
        <w:spacing w:after="0" w:line="14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expense (including amortization of capital lease assets) totaled $150.8 million, $188.9 million, and $196.2 million for the years ended December 31, 2018, 2017 and 2016, respectively.</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 periodic basis, we assess whether there are any indications that the value of our real estate properties may be impaired or that their carrying value may not be recoverable. A property's value is considered impaired if management's estimate of the aggregate future cash flows (undiscounted) to be generated by the property is less than the carrying value of the property. To the extent impairment has occurred, the loss will be measured as the excess of the carrying amount of the property over the calculated fair value of the property.</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also evaluate our real estate properties for impairment when a property has been classified as held for sale. Real estate assets held for sale are valued at the lower of their carrying value or fair value less costs to sell and depreciation expense is no longer recorded. See Note 4, "Properties Held for Sale and Dispositions."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recognized $6.7 million, $17.0 million, and $20.2 million of rental revenue for the years ended December 31, 2018, 2017, and 2016, respectively, for the amortization of aggregate below-market leases in excess of above-market leases and a reduction in lease origination costs, resulting from the allocation of the purchase price of the applicable properties.</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summarizes our identified intangible assets (acquired above-market leases and in-place leases) and intangible liabilities (acquired below-market leases) as of December 31, 2018 and 2017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91"/>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assets (included in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Gross amount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b w:val="1"/>
                <w:bCs w:val="1"/>
                <w:color w:val="auto"/>
              </w:rPr>
              <w:t>213,421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276,163</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(201,010)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(236,737)</w:t>
            </w:r>
          </w:p>
        </w:tc>
      </w:tr>
      <w:tr>
        <w:trPr>
          <w:trHeight w:val="29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w:t>
            </w:r>
            <w:r>
              <w:rPr>
                <w:rFonts w:ascii="Arial" w:cs="Arial" w:eastAsia="Arial" w:hAnsi="Arial"/>
                <w:sz w:val="21"/>
                <w:szCs w:val="21"/>
                <w:color w:val="auto"/>
                <w:vertAlign w:val="superscript"/>
              </w:rPr>
              <w:t>(1)</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12,411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39,426</w:t>
            </w:r>
          </w:p>
        </w:tc>
      </w:tr>
      <w:tr>
        <w:trPr>
          <w:trHeight w:val="21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liabilities (included in deferred revenue):</w:t>
            </w: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Gross amount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b w:val="1"/>
                <w:bCs w:val="1"/>
                <w:color w:val="auto"/>
              </w:rPr>
              <w:t>230,275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496,438</w:t>
            </w:r>
          </w:p>
        </w:tc>
      </w:tr>
      <w:tr>
        <w:trPr>
          <w:trHeight w:val="33"/>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(216,362)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(366,091)</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Net</w:t>
            </w:r>
            <w:r>
              <w:rPr>
                <w:rFonts w:ascii="Arial" w:cs="Arial" w:eastAsia="Arial" w:hAnsi="Arial"/>
                <w:sz w:val="21"/>
                <w:szCs w:val="21"/>
                <w:color w:val="auto"/>
                <w:vertAlign w:val="superscript"/>
              </w:rPr>
              <w:t>(1)</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13,913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130,347</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right="280" w:hanging="412"/>
        <w:spacing w:after="0" w:line="312" w:lineRule="auto"/>
        <w:tabs>
          <w:tab w:leader="none" w:pos="4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 of December 31, 2018, no net intangible assets and no net intangible liabilities were reclassified to assets held for sale and liabilities related to assets held for sale. As of December 31, 2017, $0.1 million net intangible assets and $0.1 million net intangible liabilities were reclassified to assets held for sale and liabilities related to assets held for sale.</w:t>
      </w:r>
    </w:p>
    <w:p>
      <w:pPr>
        <w:spacing w:after="0" w:line="4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estimated annual amortization of acquired above-market leases, net of acquired (below-market) leases (a component of rental revenue), for each of the five succeeding years is as follows (in thousands):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8520" w:type="dxa"/>
            <w:vAlign w:val="bottom"/>
          </w:tcPr>
          <w:p>
            <w:pPr>
              <w:jc w:val="center"/>
              <w:ind w:right="1112"/>
              <w:spacing w:after="0"/>
              <w:rPr>
                <w:sz w:val="20"/>
                <w:szCs w:val="20"/>
                <w:color w:val="auto"/>
              </w:rPr>
            </w:pPr>
            <w:r>
              <w:rPr>
                <w:rFonts w:ascii="Arial" w:cs="Arial" w:eastAsia="Arial" w:hAnsi="Arial"/>
                <w:sz w:val="18"/>
                <w:szCs w:val="18"/>
                <w:b w:val="1"/>
                <w:bCs w:val="1"/>
                <w:color w:val="auto"/>
                <w:w w:val="90"/>
              </w:rPr>
              <w:t>Reckson Operating Partnership, L.P.</w:t>
            </w:r>
          </w:p>
        </w:tc>
        <w:tc>
          <w:tcPr>
            <w:tcW w:w="8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8520" w:type="dxa"/>
            <w:vAlign w:val="bottom"/>
          </w:tcPr>
          <w:p>
            <w:pPr>
              <w:jc w:val="center"/>
              <w:ind w:right="1112"/>
              <w:spacing w:after="0"/>
              <w:rPr>
                <w:sz w:val="20"/>
                <w:szCs w:val="20"/>
                <w:color w:val="auto"/>
              </w:rPr>
            </w:pPr>
            <w:r>
              <w:rPr>
                <w:rFonts w:ascii="Arial" w:cs="Arial" w:eastAsia="Arial" w:hAnsi="Arial"/>
                <w:sz w:val="18"/>
                <w:szCs w:val="18"/>
                <w:b w:val="1"/>
                <w:bCs w:val="1"/>
                <w:color w:val="auto"/>
                <w:w w:val="88"/>
              </w:rPr>
              <w:t>Notes to Consolidated Financial Statements (cont.)</w:t>
            </w:r>
          </w:p>
        </w:tc>
        <w:tc>
          <w:tcPr>
            <w:tcW w:w="840" w:type="dxa"/>
            <w:vAlign w:val="bottom"/>
          </w:tcPr>
          <w:p>
            <w:pPr>
              <w:spacing w:after="0"/>
              <w:rPr>
                <w:sz w:val="18"/>
                <w:szCs w:val="18"/>
                <w:color w:val="auto"/>
              </w:rPr>
            </w:pPr>
          </w:p>
        </w:tc>
      </w:tr>
      <w:tr>
        <w:trPr>
          <w:trHeight w:val="234"/>
        </w:trPr>
        <w:tc>
          <w:tcPr>
            <w:tcW w:w="2060" w:type="dxa"/>
            <w:vAlign w:val="bottom"/>
          </w:tcPr>
          <w:p>
            <w:pPr>
              <w:spacing w:after="0"/>
              <w:rPr>
                <w:sz w:val="20"/>
                <w:szCs w:val="20"/>
                <w:color w:val="auto"/>
              </w:rPr>
            </w:pPr>
          </w:p>
        </w:tc>
        <w:tc>
          <w:tcPr>
            <w:tcW w:w="8520" w:type="dxa"/>
            <w:vAlign w:val="bottom"/>
          </w:tcPr>
          <w:p>
            <w:pPr>
              <w:jc w:val="center"/>
              <w:ind w:right="1132"/>
              <w:spacing w:after="0"/>
              <w:rPr>
                <w:sz w:val="20"/>
                <w:szCs w:val="20"/>
                <w:color w:val="auto"/>
              </w:rPr>
            </w:pPr>
            <w:r>
              <w:rPr>
                <w:rFonts w:ascii="Arial" w:cs="Arial" w:eastAsia="Arial" w:hAnsi="Arial"/>
                <w:sz w:val="18"/>
                <w:szCs w:val="18"/>
                <w:b w:val="1"/>
                <w:bCs w:val="1"/>
                <w:color w:val="auto"/>
                <w:w w:val="90"/>
              </w:rPr>
              <w:t>December 31, 2018</w:t>
            </w:r>
          </w:p>
        </w:tc>
        <w:tc>
          <w:tcPr>
            <w:tcW w:w="840" w:type="dxa"/>
            <w:vAlign w:val="bottom"/>
          </w:tcPr>
          <w:p>
            <w:pPr>
              <w:spacing w:after="0"/>
              <w:rPr>
                <w:sz w:val="20"/>
                <w:szCs w:val="20"/>
                <w:color w:val="auto"/>
              </w:rPr>
            </w:pPr>
          </w:p>
        </w:tc>
      </w:tr>
      <w:tr>
        <w:trPr>
          <w:trHeight w:val="594"/>
        </w:trPr>
        <w:tc>
          <w:tcPr>
            <w:tcW w:w="20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060" w:type="dxa"/>
            <w:vAlign w:val="bottom"/>
            <w:tcBorders>
              <w:bottom w:val="single" w:sz="8" w:color="CCEEFF"/>
            </w:tcBorders>
            <w:shd w:val="clear" w:color="auto" w:fill="CCEEFF"/>
          </w:tcPr>
          <w:p>
            <w:pPr>
              <w:jc w:val="right"/>
              <w:ind w:right="1619"/>
              <w:spacing w:after="0"/>
              <w:rPr>
                <w:sz w:val="20"/>
                <w:szCs w:val="20"/>
                <w:color w:val="auto"/>
              </w:rPr>
            </w:pPr>
            <w:r>
              <w:rPr>
                <w:rFonts w:ascii="Arial" w:cs="Arial" w:eastAsia="Arial" w:hAnsi="Arial"/>
                <w:sz w:val="16"/>
                <w:szCs w:val="16"/>
                <w:color w:val="auto"/>
                <w:w w:val="95"/>
              </w:rPr>
              <w:t>2019</w:t>
            </w:r>
          </w:p>
        </w:tc>
        <w:tc>
          <w:tcPr>
            <w:tcW w:w="8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(5,166)</w:t>
            </w:r>
          </w:p>
        </w:tc>
      </w:tr>
      <w:tr>
        <w:trPr>
          <w:trHeight w:val="237"/>
        </w:trPr>
        <w:tc>
          <w:tcPr>
            <w:tcW w:w="2060" w:type="dxa"/>
            <w:vAlign w:val="bottom"/>
          </w:tcPr>
          <w:p>
            <w:pPr>
              <w:jc w:val="right"/>
              <w:ind w:right="1619"/>
              <w:spacing w:after="0"/>
              <w:rPr>
                <w:sz w:val="20"/>
                <w:szCs w:val="20"/>
                <w:color w:val="auto"/>
              </w:rPr>
            </w:pPr>
            <w:r>
              <w:rPr>
                <w:rFonts w:ascii="Arial" w:cs="Arial" w:eastAsia="Arial" w:hAnsi="Arial"/>
                <w:sz w:val="16"/>
                <w:szCs w:val="16"/>
                <w:color w:val="auto"/>
                <w:w w:val="95"/>
              </w:rPr>
              <w:t>2020</w:t>
            </w:r>
          </w:p>
        </w:tc>
        <w:tc>
          <w:tcPr>
            <w:tcW w:w="8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(4,398)</w:t>
            </w:r>
          </w:p>
        </w:tc>
      </w:tr>
      <w:tr>
        <w:trPr>
          <w:trHeight w:val="33"/>
        </w:trPr>
        <w:tc>
          <w:tcPr>
            <w:tcW w:w="2060" w:type="dxa"/>
            <w:vAlign w:val="bottom"/>
          </w:tcPr>
          <w:p>
            <w:pPr>
              <w:spacing w:after="0"/>
              <w:rPr>
                <w:sz w:val="2"/>
                <w:szCs w:val="2"/>
                <w:color w:val="auto"/>
              </w:rPr>
            </w:pPr>
          </w:p>
        </w:tc>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jc w:val="right"/>
              <w:ind w:right="1619"/>
              <w:spacing w:after="0"/>
              <w:rPr>
                <w:sz w:val="20"/>
                <w:szCs w:val="20"/>
                <w:color w:val="auto"/>
              </w:rPr>
            </w:pPr>
            <w:r>
              <w:rPr>
                <w:rFonts w:ascii="Arial" w:cs="Arial" w:eastAsia="Arial" w:hAnsi="Arial"/>
                <w:sz w:val="16"/>
                <w:szCs w:val="16"/>
                <w:color w:val="auto"/>
                <w:w w:val="95"/>
              </w:rPr>
              <w:t>2021</w:t>
            </w:r>
          </w:p>
        </w:tc>
        <w:tc>
          <w:tcPr>
            <w:tcW w:w="8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w:t>
            </w:r>
          </w:p>
        </w:tc>
      </w:tr>
      <w:tr>
        <w:trPr>
          <w:trHeight w:val="237"/>
        </w:trPr>
        <w:tc>
          <w:tcPr>
            <w:tcW w:w="2060" w:type="dxa"/>
            <w:vAlign w:val="bottom"/>
          </w:tcPr>
          <w:p>
            <w:pPr>
              <w:jc w:val="right"/>
              <w:ind w:right="1619"/>
              <w:spacing w:after="0"/>
              <w:rPr>
                <w:sz w:val="20"/>
                <w:szCs w:val="20"/>
                <w:color w:val="auto"/>
              </w:rPr>
            </w:pPr>
            <w:r>
              <w:rPr>
                <w:rFonts w:ascii="Arial" w:cs="Arial" w:eastAsia="Arial" w:hAnsi="Arial"/>
                <w:sz w:val="16"/>
                <w:szCs w:val="16"/>
                <w:color w:val="auto"/>
                <w:w w:val="95"/>
              </w:rPr>
              <w:t>2022</w:t>
            </w:r>
          </w:p>
        </w:tc>
        <w:tc>
          <w:tcPr>
            <w:tcW w:w="8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(1,192)</w:t>
            </w:r>
          </w:p>
        </w:tc>
      </w:tr>
      <w:tr>
        <w:trPr>
          <w:trHeight w:val="33"/>
        </w:trPr>
        <w:tc>
          <w:tcPr>
            <w:tcW w:w="2060" w:type="dxa"/>
            <w:vAlign w:val="bottom"/>
          </w:tcPr>
          <w:p>
            <w:pPr>
              <w:spacing w:after="0"/>
              <w:rPr>
                <w:sz w:val="2"/>
                <w:szCs w:val="2"/>
                <w:color w:val="auto"/>
              </w:rPr>
            </w:pPr>
          </w:p>
        </w:tc>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2060" w:type="dxa"/>
            <w:vAlign w:val="bottom"/>
            <w:shd w:val="clear" w:color="auto" w:fill="CCEEFF"/>
          </w:tcPr>
          <w:p>
            <w:pPr>
              <w:jc w:val="right"/>
              <w:ind w:right="1619"/>
              <w:spacing w:after="0"/>
              <w:rPr>
                <w:sz w:val="20"/>
                <w:szCs w:val="20"/>
                <w:color w:val="auto"/>
              </w:rPr>
            </w:pPr>
            <w:r>
              <w:rPr>
                <w:rFonts w:ascii="Arial" w:cs="Arial" w:eastAsia="Arial" w:hAnsi="Arial"/>
                <w:sz w:val="16"/>
                <w:szCs w:val="16"/>
                <w:color w:val="auto"/>
                <w:w w:val="95"/>
              </w:rPr>
              <w:t>2023</w:t>
            </w:r>
          </w:p>
        </w:tc>
        <w:tc>
          <w:tcPr>
            <w:tcW w:w="8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33"/>
        </w:trPr>
        <w:tc>
          <w:tcPr>
            <w:tcW w:w="2060" w:type="dxa"/>
            <w:vAlign w:val="bottom"/>
            <w:shd w:val="clear" w:color="auto" w:fill="CCEEFF"/>
          </w:tcPr>
          <w:p>
            <w:pPr>
              <w:spacing w:after="0"/>
              <w:rPr>
                <w:sz w:val="2"/>
                <w:szCs w:val="2"/>
                <w:color w:val="auto"/>
              </w:rPr>
            </w:pPr>
          </w:p>
        </w:tc>
        <w:tc>
          <w:tcPr>
            <w:tcW w:w="8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color w:val="auto"/>
        </w:rPr>
        <w:t>The estimated annual amortization of all other identifiable assets (a component of depreciation and amortization expense) including tenant improvements for each of the five succeeding years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80" w:type="dxa"/>
            <w:vAlign w:val="bottom"/>
            <w:tcBorders>
              <w:bottom w:val="single" w:sz="8" w:color="CCEEFF"/>
            </w:tcBorders>
            <w:shd w:val="clear" w:color="auto" w:fill="CCEEFF"/>
          </w:tcPr>
          <w:p>
            <w:pPr>
              <w:jc w:val="right"/>
              <w:ind w:right="4839"/>
              <w:spacing w:after="0"/>
              <w:rPr>
                <w:sz w:val="20"/>
                <w:szCs w:val="20"/>
                <w:color w:val="auto"/>
              </w:rPr>
            </w:pPr>
            <w:r>
              <w:rPr>
                <w:rFonts w:ascii="Arial" w:cs="Arial" w:eastAsia="Arial" w:hAnsi="Arial"/>
                <w:sz w:val="16"/>
                <w:szCs w:val="16"/>
                <w:color w:val="auto"/>
                <w:w w:val="95"/>
              </w:rPr>
              <w:t>2019</w:t>
            </w:r>
          </w:p>
        </w:tc>
        <w:tc>
          <w:tcPr>
            <w:tcW w:w="53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5,486</w:t>
            </w:r>
          </w:p>
        </w:tc>
      </w:tr>
      <w:tr>
        <w:trPr>
          <w:trHeight w:val="237"/>
        </w:trPr>
        <w:tc>
          <w:tcPr>
            <w:tcW w:w="5280" w:type="dxa"/>
            <w:vAlign w:val="bottom"/>
          </w:tcPr>
          <w:p>
            <w:pPr>
              <w:jc w:val="right"/>
              <w:ind w:right="4839"/>
              <w:spacing w:after="0"/>
              <w:rPr>
                <w:sz w:val="20"/>
                <w:szCs w:val="20"/>
                <w:color w:val="auto"/>
              </w:rPr>
            </w:pPr>
            <w:r>
              <w:rPr>
                <w:rFonts w:ascii="Arial" w:cs="Arial" w:eastAsia="Arial" w:hAnsi="Arial"/>
                <w:sz w:val="16"/>
                <w:szCs w:val="16"/>
                <w:color w:val="auto"/>
                <w:w w:val="95"/>
              </w:rPr>
              <w:t>2020</w:t>
            </w:r>
          </w:p>
        </w:tc>
        <w:tc>
          <w:tcPr>
            <w:tcW w:w="53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4,728</w:t>
            </w:r>
          </w:p>
        </w:tc>
      </w:tr>
      <w:tr>
        <w:trPr>
          <w:trHeight w:val="33"/>
        </w:trPr>
        <w:tc>
          <w:tcPr>
            <w:tcW w:w="5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jc w:val="right"/>
              <w:ind w:right="4839"/>
              <w:spacing w:after="0"/>
              <w:rPr>
                <w:sz w:val="20"/>
                <w:szCs w:val="20"/>
                <w:color w:val="auto"/>
              </w:rPr>
            </w:pPr>
            <w:r>
              <w:rPr>
                <w:rFonts w:ascii="Arial" w:cs="Arial" w:eastAsia="Arial" w:hAnsi="Arial"/>
                <w:sz w:val="16"/>
                <w:szCs w:val="16"/>
                <w:color w:val="auto"/>
                <w:w w:val="95"/>
              </w:rPr>
              <w:t>2021</w:t>
            </w:r>
          </w:p>
        </w:tc>
        <w:tc>
          <w:tcPr>
            <w:tcW w:w="5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3,376</w:t>
            </w:r>
          </w:p>
        </w:tc>
      </w:tr>
      <w:tr>
        <w:trPr>
          <w:trHeight w:val="237"/>
        </w:trPr>
        <w:tc>
          <w:tcPr>
            <w:tcW w:w="5280" w:type="dxa"/>
            <w:vAlign w:val="bottom"/>
          </w:tcPr>
          <w:p>
            <w:pPr>
              <w:jc w:val="right"/>
              <w:ind w:right="4839"/>
              <w:spacing w:after="0"/>
              <w:rPr>
                <w:sz w:val="20"/>
                <w:szCs w:val="20"/>
                <w:color w:val="auto"/>
              </w:rPr>
            </w:pPr>
            <w:r>
              <w:rPr>
                <w:rFonts w:ascii="Arial" w:cs="Arial" w:eastAsia="Arial" w:hAnsi="Arial"/>
                <w:sz w:val="16"/>
                <w:szCs w:val="16"/>
                <w:color w:val="auto"/>
                <w:w w:val="95"/>
              </w:rPr>
              <w:t>2022</w:t>
            </w:r>
          </w:p>
        </w:tc>
        <w:tc>
          <w:tcPr>
            <w:tcW w:w="53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1,813</w:t>
            </w:r>
          </w:p>
        </w:tc>
      </w:tr>
      <w:tr>
        <w:trPr>
          <w:trHeight w:val="33"/>
        </w:trPr>
        <w:tc>
          <w:tcPr>
            <w:tcW w:w="5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5280" w:type="dxa"/>
            <w:vAlign w:val="bottom"/>
            <w:shd w:val="clear" w:color="auto" w:fill="CCEEFF"/>
          </w:tcPr>
          <w:p>
            <w:pPr>
              <w:jc w:val="right"/>
              <w:ind w:right="4839"/>
              <w:spacing w:after="0"/>
              <w:rPr>
                <w:sz w:val="20"/>
                <w:szCs w:val="20"/>
                <w:color w:val="auto"/>
              </w:rPr>
            </w:pPr>
            <w:r>
              <w:rPr>
                <w:rFonts w:ascii="Arial" w:cs="Arial" w:eastAsia="Arial" w:hAnsi="Arial"/>
                <w:sz w:val="16"/>
                <w:szCs w:val="16"/>
                <w:color w:val="auto"/>
                <w:w w:val="95"/>
              </w:rPr>
              <w:t>2023</w:t>
            </w:r>
          </w:p>
        </w:tc>
        <w:tc>
          <w:tcPr>
            <w:tcW w:w="5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r>
      <w:tr>
        <w:trPr>
          <w:trHeight w:val="33"/>
        </w:trPr>
        <w:tc>
          <w:tcPr>
            <w:tcW w:w="528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consider all highly liquid investments with maturity of three months or less when purchased to be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Restricted cash primarily consists of security deposits held on behalf of our tenants, interest reserves, as well as capital improvement and real estate tax escrows required under certain loan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11, "Fair Value Measurements."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Joint Ventures</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account for our investments in unconsolidated joint ventures under the equity method of accounting in cases where we exercise significant influence over, but do not control, these entities and are not considered to be the primary beneficiary. We consolidate those joint ventures that we control or which are VIEs and where we are considered to be the primary beneficiary. In all these joint ventures, the rights of the joint venture partner are both protective as well as participating. Unless we are determined to be the primary beneficiary in a VIE, these participating rights preclude us from consolidating these VIE entities. These investments are recorded initially at cost, as investments in unconsolidated joint ventures, and subsequently adjusted for equity in net income (loss) and cash contributions and distributions. Equity in net income (loss) from unconsolidated joint ventures is allocated based on our ownership or economic interest in each joint venture and includes adjustments related to basis differences that were identified as part of the initial accounting for the investment. When a capital event (as defined in each joint venture agreement) such as a refinancing occurs, if return thresholds are met, future equity income will be allocated at our increased economic interest. We recognize incentive income from unconsolidated real estate joint ventures as income to the extent it is earned and not subject to a clawback feature. Distributions we receive from unconsolidated real estate joint ventures in excess of our basis in the investment are recorded as offsets to our investment balance if we remain liable for future obligations of the joint venture or may otherwise be committed to provide future additional financial support. None of the joint venture debt is recourse to us. See Note 6, "Investments in Unconsolidated Joint Ventures."</w:t>
      </w:r>
    </w:p>
    <w:p>
      <w:pPr>
        <w:spacing w:after="0" w:line="6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the joint ventures' projected discounted cash flows. We do not believe that the values of any of our equity investments were impaired at December 31, 2018.</w:t>
      </w:r>
    </w:p>
    <w:p>
      <w:pPr>
        <w:spacing w:after="0" w:line="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originate loans for real estate acquisition, development and construction, where we expect to receive some of the residual profit from such projects. When the risk and rewards of these arrangements are essentially the same as an investor or joint venture partner, we account for these arrangements as real estate investments under the equity method of accounting for investments. Otherwise, we account for these arrangements consistent with the accounting for our debt and preferred equity investments.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Costs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Deferred lease costs consist of fees and direct costs incurred to execute operating leases and are amortized on a straight-line basis over the related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Deferred financing costs represent commitment fees, legal, title and other third party costs associated with obtaining commitments for financing which result in a closing of such financing. These costs are amortized over the terms of the respective agreements. Unamortized deferred financing costs are expensed when the associated debt is refinanced or repaid before maturity. Costs incurred in seeking financing transactions, which do not close, are expensed in the period in which it is determined that the financing will not close. Deferred financing costs related to a recognized debt liability are presented in the balance sheet as a direct deduction from the carrying amount of that debt liability.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Rental revenue is recognized on a straight-line basis over the term of the lease. Rental revenue recognition commences when the tenant takes possession or controls the physical use of the leased space. In order for the tenant to take possession, the leased space must be substantially ready for its intended use. To determine whether the leased space is substantially ready for its intended use, management evaluates whether we are or the tenant is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(the tenant is the owner) of tenant improvements, rental revenue recognition begins when the tenant takes possession of or controls the space. When management concludes that we are the owner of tenant improvements for accounting purposes, we record amounts funded to construct the tenant improvements as a capital asset. For these tenant improvements, we record amounts reimbursed by tenants as a reduction of the capital asset. When management concludes that the tenant is the owner of tenant improvements for accounting purposes, we record our contribution towards those improvements as a lease incentive, which is included in deferred costs, net on our consolidated balance sheets and amortized as a reduction to rental revenue on a straight-line basis over the term of the lease. The excess of rents recognized over amounts contractually due pursuant to the underlying leases are included in deferred rents receivable on the consolidated balance sheets. We establish, on a current basis, an allowance for future potential tenant credit losses, which may occur against this account. The balance reflected on the consolidated balance sheets is net of such allowance.</w:t>
      </w:r>
    </w:p>
    <w:p>
      <w:pPr>
        <w:spacing w:after="0" w:line="6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addition to base rent, our tenants also generally will pay their pro rata share of increases in real estate taxes and operating expenses for the building over a base year. In some leases, in lieu of paying additional rent based upon increases 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6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record a gain on sale of real estate assets when we no longer hold a controlling financial interest in the entity holding the real estate, a contract exists with a third party and that third party has control of the assets acquired.</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Investment income on debt and preferred equity investments is accrued based on the contractual terms of the instruments and when, in the opinion of management, it is deemed collectible. Some debt and preferred equity investments provide for accrual of interest at specified rates, which differ from current payment terms. Interest is recognized on such loans at the accrual rate subject to management's determination that accrued interest is ultimately collectible, based on the underlying collateral and operations of the borrower. If management cannot make this determination, interest income above the current pay rate is recognized only upon actual receipt.</w:t>
      </w:r>
    </w:p>
    <w:p>
      <w:pPr>
        <w:spacing w:after="0" w:line="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Debt and preferred equity investments are placed on a non-accrual status at the earlier of the date at which payments become 90 days past due or when, in the opinion of management, a full recovery of interest income becomes doubtful. Interest income recognition on any non-accrual debt or preferred equity investment is resumed when such non-accrual debt or preferred equity investment becomes contractually current and performance is demonstrated to be resumed. Interest is recorded as income on impaired loans only to the extent cash is received.</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may syndicate a portion of the loans that we originate or sell the loans individually. When a transaction meets the criteria for sale accounting, we derecognize the loan sold and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management fees are recognized on a straight-line basis over the term of the asset management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maintain an allowance for doubtful accounts for estimated losses resulting from the inability of our tenants to make required payments. If the financial condition of a specific tenant were to deteriorate, resulting in an impairment of its ability to make payments, additional allowances may be required.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Loss and Other Investment Reserves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expense for loan loss and other investment reserves in connection with debt and preferred equity investments is the charge to earnings to adjust the allowance for possible losses to the level that we estimate to be adequate, based on Level 3 data, considering delinquencies, loss experience and collateral quality.</w:t>
      </w:r>
    </w:p>
    <w:p>
      <w:pPr>
        <w:spacing w:after="0" w:line="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debt and preferred equity investments that are classified as held to maturity for possible impairment or credit deterioration associated with the performance and/or value of the underlying collateral property as well as the financial and operating capability of the borrower/sponsor. Quarterly, the Company assigns each loan a risk rating. Based on a 3-point scale, loans are rated “1” through “3,” from less risk to greater risk, which ratings are defined as follows: 1 - Low Risk Assets - Low probability of loss, 2 - Watch List Assets - Higher potential for loss, 3 - High Risk Assets - Loss more likely than not.</w:t>
      </w:r>
    </w:p>
    <w:p>
      <w:pPr>
        <w:spacing w:after="0" w:line="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When it is probable that we will be unable to collect all amounts contractually due, the investment is considered impaired. A valuation allowance is measured based upon the excess of the recorded investment amount over the fair value of the collateral. Any deficiency between the carrying amount of an asset and the calculated value of the collateral is charged to expense. We continue to assess or adjust our estimates based on circumstances of a loan and the underlying collateral. If additional information reflects increased recovery of our investment, we will adjust our reserves accordingly.</w:t>
      </w:r>
    </w:p>
    <w:p>
      <w:pPr>
        <w:spacing w:after="0" w:line="6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Debt and preferred equity investments that are classified as held for sale are carried at the lower of cost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net carrying value to debt and preferred equity investments held to maturity. For these reclassified investments, the difference between the current carrying value and the expected cash to be collected at maturity will be accreted into income over the remaining term of the investment.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Expense</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Rent expense is recognized on a straight-line basis over the initial term of the lease. The excess of the rent expense recognized over the amounts contractually due pursuant to the underlying lease is included in the deferred lease payable on the consolidated balance sheets.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Exchangeable Debt Instruments</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initial proceeds from exchangeable debt that may be settled in cash, including partial cash settlements, are bifurcated between a liability component and an equity component associated with the embedded conversion option. The objective of the accounting guidance is to require the liability and equity components of exchangeable debt to be separately accounted for in a manner such that the interest expense on the exchangeable debt is not recorded at the stated rate of interest but rather at an effective rate that reflects the issuer's conventional debt borrowing rate at the date of issuance. We calculate the liability component of exchangeable debt based on the present value of the contractual cash flows discounted at our comparable market conventional debt borrowing rate at the date of issuance. The difference between the principal amount and the fair value of the liability component is reported as a discount on the exchangeable debt that is accreted as additional interest expense from the issuance date through the contractual maturity date using the effective interest method. A portion of this additional interest expense may be capitalized to the development and redevelopment balances qualifying for interest capitalization each period. The liability component of the exchangeable debt is reported net of discounts on our consolidated balance sheets. We calculate the equity component of exchangeable debt based on the difference between the initial proceeds received from the issuance of the exchangeable debt and the fair value of the liability component at the issuance date. The equity component is included in additional paid-in-capital, net of issuance costs, on our consolidated balance sheets. We allocate issuance costs for exchangeable debt between the liability and the equity components based on their relative values.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ROP is a disregarded entity of SL Green Operating Partnership, L.P. for federal income tax purposes, and, as a result, all income and losses of ROP are considered income and losses of SL Green Operating Partnership, L. P. No provision has been made for income taxes in the consolidated financial statements since such taxes, if any, are the responsibility of the individual partners of SL Green Operating Partnership, L.P.</w:t>
      </w:r>
    </w:p>
    <w:p>
      <w:pPr>
        <w:spacing w:after="0" w:line="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December 22, 2017, the Tax Cuts and Jobs Act (the ‘‘Tax Act’’) was signed into law and makes substantial changes to the Code. The Tax Act has not had a material impact on our financial statements for the years ended December 31, 2018 or December 31,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normal course of business, we use a variety of commonly used derivative instruments, such as interest rate swaps, caps, collars and floors, to manage, or hedge, interest rate risk. Effectiveness is essential for those derivatives that we intend to qualify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pacing w:after="0" w:line="6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To determine the fair values of derivative instruments, we use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normal course of business, we are exposed to the effect of interest rate changes and limit these risks by following established risk management policies and procedures including the use of derivatives. To address exposure to interest rates, derivatives are used primarily to fix the rate on debt based on floating-rate indices and manage the cost of borrowing obligations.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a variety of conventional derivative products. These derivatives typically include interest rate swaps, caps, collars and floors. We expressly prohibit the use of unconventional derivative instruments and using derivative instruments for trading or speculative purposes. Further, we have a policy of only entering into contracts with major financial institutions based upon their credit ratings and other factors.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employ swaps, forwards or purchased options to hedge qualifying forecasted transactions. Gains and losses related to these transactions are deferred and recognized in net income as interest expense in the same period or periods that the underlying transaction occurs, expires or is otherwise terminated.</w:t>
      </w:r>
    </w:p>
    <w:p>
      <w:pPr>
        <w:spacing w:after="0" w:line="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Hedges that are reported at fair value and presented on the balance sheet could be characterized as cash flow hedges or fair value hedges. Interest rate caps and collars are examples of cash flow hedges. Cash flow hedges address the risk associated with future cash flows of interest payments. For all hedges held by us and which were deemed to be fully effective in meeting the hedging objectives established by our corporate policy governing interest rate risk management, no net gains or losses were reported in earnings. The changes in fair value of hedge instruments are reflected in accumulated other comprehensive income. For derivative instruments not designated as hedging instruments, the gain or loss, resulting from the change in the estimated fair value of the derivative instruments, is recognized in current earnings during the period of change.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Contributed by Parent Company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 contributed shares of SL Green common stock as a reduction to general partner's capital in our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Earnings per unit was not computed in 2018, 2017 and 2016 as there were no outstanding common units held by third parties at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and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the New York metropolitan area. See Note 5, "Debt and Preferred Equity Investments."</w:t>
      </w:r>
    </w:p>
    <w:p>
      <w:pPr>
        <w:spacing w:after="0" w:line="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perform ongoing credit evaluations of our tenants and require most tenants to provide security deposits or letters of credit. Though these security deposits and letters of credit are insufficient to meet the total value of a tenant's lease obligation, they are a measure of good faith and a source of funds to offset the economic costs associated with lost revenue and the costs associated with re-tenanting a space. The properties in our real estate portfolio are located in the New York metropolitan area. The tenants located in our buildings operate in various industries. No tenant in the portfolio accounted for more than 5.0% of our share of annualized cash rent, including our share of joint venture annualized cash rent, at December 31, 2018.</w:t>
      </w:r>
    </w:p>
    <w:p>
      <w:pPr>
        <w:spacing w:after="0" w:line="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years ended December 31, 2018, 2017, and 2016, the following properties contributed more than 5.0% of our annualized cash rent, including our share of joint venture annualized cash rent: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w:t>
            </w:r>
          </w:p>
        </w:tc>
        <w:tc>
          <w:tcPr>
            <w:tcW w:w="1180" w:type="dxa"/>
            <w:vAlign w:val="bottom"/>
          </w:tcPr>
          <w:p>
            <w:pPr>
              <w:jc w:val="center"/>
              <w:ind w:left="459"/>
              <w:spacing w:after="0"/>
              <w:rPr>
                <w:sz w:val="20"/>
                <w:szCs w:val="20"/>
                <w:color w:val="auto"/>
              </w:rPr>
            </w:pPr>
            <w:r>
              <w:rPr>
                <w:rFonts w:ascii="Arial" w:cs="Arial" w:eastAsia="Arial" w:hAnsi="Arial"/>
                <w:sz w:val="16"/>
                <w:szCs w:val="16"/>
                <w:b w:val="1"/>
                <w:bCs w:val="1"/>
                <w:color w:val="auto"/>
                <w:w w:val="89"/>
              </w:rPr>
              <w:t>2018</w:t>
            </w:r>
          </w:p>
        </w:tc>
        <w:tc>
          <w:tcPr>
            <w:tcW w:w="26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Property</w:t>
            </w: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w w:val="89"/>
              </w:rPr>
              <w:t>2017</w:t>
            </w:r>
          </w:p>
        </w:tc>
        <w:tc>
          <w:tcPr>
            <w:tcW w:w="2640" w:type="dxa"/>
            <w:vAlign w:val="bottom"/>
            <w:gridSpan w:val="2"/>
          </w:tcPr>
          <w:p>
            <w:pPr>
              <w:ind w:left="120"/>
              <w:spacing w:after="0"/>
              <w:rPr>
                <w:sz w:val="20"/>
                <w:szCs w:val="20"/>
                <w:color w:val="auto"/>
              </w:rPr>
            </w:pPr>
            <w:r>
              <w:rPr>
                <w:rFonts w:ascii="Arial" w:cs="Arial" w:eastAsia="Arial" w:hAnsi="Arial"/>
                <w:sz w:val="16"/>
                <w:szCs w:val="16"/>
                <w:b w:val="1"/>
                <w:bCs w:val="1"/>
                <w:color w:val="auto"/>
              </w:rPr>
              <w:t>Property</w:t>
            </w:r>
          </w:p>
        </w:tc>
        <w:tc>
          <w:tcPr>
            <w:tcW w:w="1200" w:type="dxa"/>
            <w:vAlign w:val="bottom"/>
          </w:tcPr>
          <w:p>
            <w:pPr>
              <w:jc w:val="center"/>
              <w:ind w:left="31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26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1185 Avenue of the Americas</w:t>
            </w:r>
          </w:p>
        </w:tc>
        <w:tc>
          <w:tcPr>
            <w:tcW w:w="1180" w:type="dxa"/>
            <w:vAlign w:val="bottom"/>
          </w:tcPr>
          <w:p>
            <w:pPr>
              <w:jc w:val="center"/>
              <w:ind w:left="479"/>
              <w:spacing w:after="0"/>
              <w:rPr>
                <w:sz w:val="20"/>
                <w:szCs w:val="20"/>
                <w:color w:val="auto"/>
              </w:rPr>
            </w:pPr>
            <w:r>
              <w:rPr>
                <w:rFonts w:ascii="Arial" w:cs="Arial" w:eastAsia="Arial" w:hAnsi="Arial"/>
                <w:sz w:val="16"/>
                <w:szCs w:val="16"/>
                <w:color w:val="auto"/>
                <w:w w:val="92"/>
              </w:rPr>
              <w:t>14.9%</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1185 Avenue of the Americas</w:t>
            </w:r>
          </w:p>
        </w:tc>
        <w:tc>
          <w:tcPr>
            <w:tcW w:w="1120" w:type="dxa"/>
            <w:vAlign w:val="bottom"/>
          </w:tcPr>
          <w:p>
            <w:pPr>
              <w:jc w:val="center"/>
              <w:ind w:left="419"/>
              <w:spacing w:after="0"/>
              <w:rPr>
                <w:sz w:val="20"/>
                <w:szCs w:val="20"/>
                <w:color w:val="auto"/>
              </w:rPr>
            </w:pPr>
            <w:r>
              <w:rPr>
                <w:rFonts w:ascii="Arial" w:cs="Arial" w:eastAsia="Arial" w:hAnsi="Arial"/>
                <w:sz w:val="16"/>
                <w:szCs w:val="16"/>
                <w:color w:val="auto"/>
                <w:w w:val="92"/>
              </w:rPr>
              <w:t>15.6%</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1185 Avenue of the Americas</w:t>
            </w:r>
          </w:p>
        </w:tc>
        <w:tc>
          <w:tcPr>
            <w:tcW w:w="1200" w:type="dxa"/>
            <w:vAlign w:val="bottom"/>
          </w:tcPr>
          <w:p>
            <w:pPr>
              <w:jc w:val="center"/>
              <w:ind w:left="339"/>
              <w:spacing w:after="0"/>
              <w:rPr>
                <w:sz w:val="20"/>
                <w:szCs w:val="20"/>
                <w:color w:val="auto"/>
              </w:rPr>
            </w:pPr>
            <w:r>
              <w:rPr>
                <w:rFonts w:ascii="Arial" w:cs="Arial" w:eastAsia="Arial" w:hAnsi="Arial"/>
                <w:sz w:val="16"/>
                <w:szCs w:val="16"/>
                <w:color w:val="auto"/>
                <w:w w:val="92"/>
              </w:rPr>
              <w:t>14.8%</w:t>
            </w:r>
          </w:p>
        </w:tc>
      </w:tr>
      <w:tr>
        <w:trPr>
          <w:trHeight w:val="33"/>
        </w:trPr>
        <w:tc>
          <w:tcPr>
            <w:tcW w:w="26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6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625 Madison Avenue</w:t>
            </w:r>
          </w:p>
        </w:tc>
        <w:tc>
          <w:tcPr>
            <w:tcW w:w="1180" w:type="dxa"/>
            <w:vAlign w:val="bottom"/>
            <w:tcBorders>
              <w:bottom w:val="single" w:sz="8" w:color="CCEEFF"/>
            </w:tcBorders>
            <w:shd w:val="clear" w:color="auto" w:fill="CCEEFF"/>
          </w:tcPr>
          <w:p>
            <w:pPr>
              <w:jc w:val="center"/>
              <w:ind w:left="479"/>
              <w:spacing w:after="0"/>
              <w:rPr>
                <w:sz w:val="20"/>
                <w:szCs w:val="20"/>
                <w:color w:val="auto"/>
              </w:rPr>
            </w:pPr>
            <w:r>
              <w:rPr>
                <w:rFonts w:ascii="Arial" w:cs="Arial" w:eastAsia="Arial" w:hAnsi="Arial"/>
                <w:sz w:val="16"/>
                <w:szCs w:val="16"/>
                <w:color w:val="auto"/>
                <w:w w:val="92"/>
              </w:rPr>
              <w:t>10.9%</w:t>
            </w:r>
          </w:p>
        </w:tc>
        <w:tc>
          <w:tcPr>
            <w:tcW w:w="2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625 Madison Avenue</w:t>
            </w:r>
          </w:p>
        </w:tc>
        <w:tc>
          <w:tcPr>
            <w:tcW w:w="112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6"/>
                <w:szCs w:val="16"/>
                <w:color w:val="auto"/>
                <w:w w:val="92"/>
              </w:rPr>
              <w:t>10.2%</w:t>
            </w:r>
          </w:p>
        </w:tc>
        <w:tc>
          <w:tcPr>
            <w:tcW w:w="2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625 Madison Avenue</w:t>
            </w:r>
          </w:p>
        </w:tc>
        <w:tc>
          <w:tcPr>
            <w:tcW w:w="120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3"/>
              </w:rPr>
              <w:t>9.6%</w:t>
            </w:r>
          </w:p>
        </w:tc>
      </w:tr>
      <w:tr>
        <w:trPr>
          <w:trHeight w:val="224"/>
        </w:trPr>
        <w:tc>
          <w:tcPr>
            <w:tcW w:w="300" w:type="dxa"/>
            <w:vAlign w:val="bottom"/>
          </w:tcPr>
          <w:p>
            <w:pPr>
              <w:ind w:left="40"/>
              <w:spacing w:after="0"/>
              <w:rPr>
                <w:sz w:val="20"/>
                <w:szCs w:val="20"/>
                <w:color w:val="auto"/>
              </w:rPr>
            </w:pPr>
            <w:r>
              <w:rPr>
                <w:rFonts w:ascii="Arial" w:cs="Arial" w:eastAsia="Arial" w:hAnsi="Arial"/>
                <w:sz w:val="16"/>
                <w:szCs w:val="16"/>
                <w:color w:val="auto"/>
                <w:w w:val="89"/>
              </w:rPr>
              <w:t>919</w:t>
            </w:r>
          </w:p>
        </w:tc>
        <w:tc>
          <w:tcPr>
            <w:tcW w:w="234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1180" w:type="dxa"/>
            <w:vAlign w:val="bottom"/>
          </w:tcPr>
          <w:p>
            <w:pPr>
              <w:jc w:val="center"/>
              <w:ind w:left="479"/>
              <w:spacing w:after="0"/>
              <w:rPr>
                <w:sz w:val="20"/>
                <w:szCs w:val="20"/>
                <w:color w:val="auto"/>
              </w:rPr>
            </w:pPr>
            <w:r>
              <w:rPr>
                <w:rFonts w:ascii="Arial" w:cs="Arial" w:eastAsia="Arial" w:hAnsi="Arial"/>
                <w:sz w:val="16"/>
                <w:szCs w:val="16"/>
                <w:color w:val="auto"/>
                <w:w w:val="93"/>
              </w:rPr>
              <w:t>8.6%</w:t>
            </w:r>
          </w:p>
        </w:tc>
        <w:tc>
          <w:tcPr>
            <w:tcW w:w="380" w:type="dxa"/>
            <w:vAlign w:val="bottom"/>
          </w:tcPr>
          <w:p>
            <w:pPr>
              <w:ind w:left="120"/>
              <w:spacing w:after="0"/>
              <w:rPr>
                <w:sz w:val="20"/>
                <w:szCs w:val="20"/>
                <w:color w:val="auto"/>
              </w:rPr>
            </w:pPr>
            <w:r>
              <w:rPr>
                <w:rFonts w:ascii="Arial" w:cs="Arial" w:eastAsia="Arial" w:hAnsi="Arial"/>
                <w:sz w:val="16"/>
                <w:szCs w:val="16"/>
                <w:color w:val="auto"/>
                <w:w w:val="89"/>
              </w:rPr>
              <w:t>919</w:t>
            </w:r>
          </w:p>
        </w:tc>
        <w:tc>
          <w:tcPr>
            <w:tcW w:w="226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1120" w:type="dxa"/>
            <w:vAlign w:val="bottom"/>
          </w:tcPr>
          <w:p>
            <w:pPr>
              <w:jc w:val="center"/>
              <w:ind w:left="419"/>
              <w:spacing w:after="0"/>
              <w:rPr>
                <w:sz w:val="20"/>
                <w:szCs w:val="20"/>
                <w:color w:val="auto"/>
              </w:rPr>
            </w:pPr>
            <w:r>
              <w:rPr>
                <w:rFonts w:ascii="Arial" w:cs="Arial" w:eastAsia="Arial" w:hAnsi="Arial"/>
                <w:sz w:val="16"/>
                <w:szCs w:val="16"/>
                <w:color w:val="auto"/>
                <w:w w:val="93"/>
              </w:rPr>
              <w:t>8.3%</w:t>
            </w:r>
          </w:p>
        </w:tc>
        <w:tc>
          <w:tcPr>
            <w:tcW w:w="380" w:type="dxa"/>
            <w:vAlign w:val="bottom"/>
          </w:tcPr>
          <w:p>
            <w:pPr>
              <w:ind w:left="120"/>
              <w:spacing w:after="0"/>
              <w:rPr>
                <w:sz w:val="20"/>
                <w:szCs w:val="20"/>
                <w:color w:val="auto"/>
              </w:rPr>
            </w:pPr>
            <w:r>
              <w:rPr>
                <w:rFonts w:ascii="Arial" w:cs="Arial" w:eastAsia="Arial" w:hAnsi="Arial"/>
                <w:sz w:val="16"/>
                <w:szCs w:val="16"/>
                <w:color w:val="auto"/>
                <w:w w:val="89"/>
              </w:rPr>
              <w:t>919</w:t>
            </w:r>
          </w:p>
        </w:tc>
        <w:tc>
          <w:tcPr>
            <w:tcW w:w="226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1200" w:type="dxa"/>
            <w:vAlign w:val="bottom"/>
          </w:tcPr>
          <w:p>
            <w:pPr>
              <w:jc w:val="center"/>
              <w:ind w:left="339"/>
              <w:spacing w:after="0"/>
              <w:rPr>
                <w:sz w:val="20"/>
                <w:szCs w:val="20"/>
                <w:color w:val="auto"/>
              </w:rPr>
            </w:pPr>
            <w:r>
              <w:rPr>
                <w:rFonts w:ascii="Arial" w:cs="Arial" w:eastAsia="Arial" w:hAnsi="Arial"/>
                <w:sz w:val="16"/>
                <w:szCs w:val="16"/>
                <w:color w:val="auto"/>
                <w:w w:val="93"/>
              </w:rPr>
              <w:t>8.1%</w:t>
            </w:r>
          </w:p>
        </w:tc>
      </w:tr>
      <w:tr>
        <w:trPr>
          <w:trHeight w:val="33"/>
        </w:trPr>
        <w:tc>
          <w:tcPr>
            <w:tcW w:w="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750</w:t>
            </w: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1180" w:type="dxa"/>
            <w:vAlign w:val="bottom"/>
            <w:tcBorders>
              <w:bottom w:val="single" w:sz="8" w:color="CCEEFF"/>
            </w:tcBorders>
            <w:shd w:val="clear" w:color="auto" w:fill="CCEEFF"/>
          </w:tcPr>
          <w:p>
            <w:pPr>
              <w:jc w:val="center"/>
              <w:ind w:left="479"/>
              <w:spacing w:after="0"/>
              <w:rPr>
                <w:sz w:val="20"/>
                <w:szCs w:val="20"/>
                <w:color w:val="auto"/>
              </w:rPr>
            </w:pPr>
            <w:r>
              <w:rPr>
                <w:rFonts w:ascii="Arial" w:cs="Arial" w:eastAsia="Arial" w:hAnsi="Arial"/>
                <w:sz w:val="16"/>
                <w:szCs w:val="16"/>
                <w:color w:val="auto"/>
                <w:w w:val="93"/>
              </w:rPr>
              <w:t>8.4%</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9"/>
              </w:rPr>
              <w:t>750</w:t>
            </w: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112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6"/>
                <w:szCs w:val="16"/>
                <w:color w:val="auto"/>
                <w:w w:val="93"/>
              </w:rPr>
              <w:t>8.0%</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9"/>
              </w:rPr>
              <w:t>750</w:t>
            </w: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120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3"/>
              </w:rPr>
              <w:t>7.7%</w:t>
            </w:r>
          </w:p>
        </w:tc>
      </w:tr>
      <w:tr>
        <w:trPr>
          <w:trHeight w:val="224"/>
        </w:trPr>
        <w:tc>
          <w:tcPr>
            <w:tcW w:w="300" w:type="dxa"/>
            <w:vAlign w:val="bottom"/>
          </w:tcPr>
          <w:p>
            <w:pPr>
              <w:ind w:left="40"/>
              <w:spacing w:after="0"/>
              <w:rPr>
                <w:sz w:val="20"/>
                <w:szCs w:val="20"/>
                <w:color w:val="auto"/>
              </w:rPr>
            </w:pPr>
            <w:r>
              <w:rPr>
                <w:rFonts w:ascii="Arial" w:cs="Arial" w:eastAsia="Arial" w:hAnsi="Arial"/>
                <w:sz w:val="16"/>
                <w:szCs w:val="16"/>
                <w:color w:val="auto"/>
                <w:w w:val="89"/>
              </w:rPr>
              <w:t>810</w:t>
            </w:r>
          </w:p>
        </w:tc>
        <w:tc>
          <w:tcPr>
            <w:tcW w:w="2340" w:type="dxa"/>
            <w:vAlign w:val="bottom"/>
          </w:tcPr>
          <w:p>
            <w:pPr>
              <w:ind w:left="20"/>
              <w:spacing w:after="0"/>
              <w:rPr>
                <w:sz w:val="20"/>
                <w:szCs w:val="20"/>
                <w:color w:val="auto"/>
              </w:rPr>
            </w:pPr>
            <w:r>
              <w:rPr>
                <w:rFonts w:ascii="Arial" w:cs="Arial" w:eastAsia="Arial" w:hAnsi="Arial"/>
                <w:sz w:val="16"/>
                <w:szCs w:val="16"/>
                <w:color w:val="auto"/>
              </w:rPr>
              <w:t>Seventh Avenue</w:t>
            </w:r>
          </w:p>
        </w:tc>
        <w:tc>
          <w:tcPr>
            <w:tcW w:w="1180" w:type="dxa"/>
            <w:vAlign w:val="bottom"/>
          </w:tcPr>
          <w:p>
            <w:pPr>
              <w:jc w:val="center"/>
              <w:ind w:left="479"/>
              <w:spacing w:after="0"/>
              <w:rPr>
                <w:sz w:val="20"/>
                <w:szCs w:val="20"/>
                <w:color w:val="auto"/>
              </w:rPr>
            </w:pPr>
            <w:r>
              <w:rPr>
                <w:rFonts w:ascii="Arial" w:cs="Arial" w:eastAsia="Arial" w:hAnsi="Arial"/>
                <w:sz w:val="16"/>
                <w:szCs w:val="16"/>
                <w:color w:val="auto"/>
                <w:w w:val="93"/>
              </w:rPr>
              <w:t>8.4%</w:t>
            </w:r>
          </w:p>
        </w:tc>
        <w:tc>
          <w:tcPr>
            <w:tcW w:w="380" w:type="dxa"/>
            <w:vAlign w:val="bottom"/>
          </w:tcPr>
          <w:p>
            <w:pPr>
              <w:ind w:left="120"/>
              <w:spacing w:after="0"/>
              <w:rPr>
                <w:sz w:val="20"/>
                <w:szCs w:val="20"/>
                <w:color w:val="auto"/>
              </w:rPr>
            </w:pPr>
            <w:r>
              <w:rPr>
                <w:rFonts w:ascii="Arial" w:cs="Arial" w:eastAsia="Arial" w:hAnsi="Arial"/>
                <w:sz w:val="16"/>
                <w:szCs w:val="16"/>
                <w:color w:val="auto"/>
                <w:w w:val="89"/>
              </w:rPr>
              <w:t>810</w:t>
            </w:r>
          </w:p>
        </w:tc>
        <w:tc>
          <w:tcPr>
            <w:tcW w:w="2260" w:type="dxa"/>
            <w:vAlign w:val="bottom"/>
          </w:tcPr>
          <w:p>
            <w:pPr>
              <w:ind w:left="20"/>
              <w:spacing w:after="0"/>
              <w:rPr>
                <w:sz w:val="20"/>
                <w:szCs w:val="20"/>
                <w:color w:val="auto"/>
              </w:rPr>
            </w:pPr>
            <w:r>
              <w:rPr>
                <w:rFonts w:ascii="Arial" w:cs="Arial" w:eastAsia="Arial" w:hAnsi="Arial"/>
                <w:sz w:val="16"/>
                <w:szCs w:val="16"/>
                <w:color w:val="auto"/>
              </w:rPr>
              <w:t>Seventh Avenue</w:t>
            </w:r>
          </w:p>
        </w:tc>
        <w:tc>
          <w:tcPr>
            <w:tcW w:w="1120" w:type="dxa"/>
            <w:vAlign w:val="bottom"/>
          </w:tcPr>
          <w:p>
            <w:pPr>
              <w:jc w:val="center"/>
              <w:ind w:left="419"/>
              <w:spacing w:after="0"/>
              <w:rPr>
                <w:sz w:val="20"/>
                <w:szCs w:val="20"/>
                <w:color w:val="auto"/>
              </w:rPr>
            </w:pPr>
            <w:r>
              <w:rPr>
                <w:rFonts w:ascii="Arial" w:cs="Arial" w:eastAsia="Arial" w:hAnsi="Arial"/>
                <w:sz w:val="16"/>
                <w:szCs w:val="16"/>
                <w:color w:val="auto"/>
                <w:w w:val="93"/>
              </w:rPr>
              <w:t>8.0%</w:t>
            </w:r>
          </w:p>
        </w:tc>
        <w:tc>
          <w:tcPr>
            <w:tcW w:w="380" w:type="dxa"/>
            <w:vAlign w:val="bottom"/>
          </w:tcPr>
          <w:p>
            <w:pPr>
              <w:ind w:left="120"/>
              <w:spacing w:after="0"/>
              <w:rPr>
                <w:sz w:val="20"/>
                <w:szCs w:val="20"/>
                <w:color w:val="auto"/>
              </w:rPr>
            </w:pPr>
            <w:r>
              <w:rPr>
                <w:rFonts w:ascii="Arial" w:cs="Arial" w:eastAsia="Arial" w:hAnsi="Arial"/>
                <w:sz w:val="16"/>
                <w:szCs w:val="16"/>
                <w:color w:val="auto"/>
                <w:w w:val="89"/>
              </w:rPr>
              <w:t>810</w:t>
            </w:r>
          </w:p>
        </w:tc>
        <w:tc>
          <w:tcPr>
            <w:tcW w:w="2260" w:type="dxa"/>
            <w:vAlign w:val="bottom"/>
          </w:tcPr>
          <w:p>
            <w:pPr>
              <w:ind w:left="20"/>
              <w:spacing w:after="0"/>
              <w:rPr>
                <w:sz w:val="20"/>
                <w:szCs w:val="20"/>
                <w:color w:val="auto"/>
              </w:rPr>
            </w:pPr>
            <w:r>
              <w:rPr>
                <w:rFonts w:ascii="Arial" w:cs="Arial" w:eastAsia="Arial" w:hAnsi="Arial"/>
                <w:sz w:val="16"/>
                <w:szCs w:val="16"/>
                <w:color w:val="auto"/>
              </w:rPr>
              <w:t>Seventh Avenue</w:t>
            </w:r>
          </w:p>
        </w:tc>
        <w:tc>
          <w:tcPr>
            <w:tcW w:w="1200" w:type="dxa"/>
            <w:vAlign w:val="bottom"/>
          </w:tcPr>
          <w:p>
            <w:pPr>
              <w:jc w:val="center"/>
              <w:ind w:left="339"/>
              <w:spacing w:after="0"/>
              <w:rPr>
                <w:sz w:val="20"/>
                <w:szCs w:val="20"/>
                <w:color w:val="auto"/>
              </w:rPr>
            </w:pPr>
            <w:r>
              <w:rPr>
                <w:rFonts w:ascii="Arial" w:cs="Arial" w:eastAsia="Arial" w:hAnsi="Arial"/>
                <w:sz w:val="16"/>
                <w:szCs w:val="16"/>
                <w:color w:val="auto"/>
                <w:w w:val="93"/>
              </w:rPr>
              <w:t>7.3%</w:t>
            </w:r>
          </w:p>
        </w:tc>
      </w:tr>
      <w:tr>
        <w:trPr>
          <w:trHeight w:val="33"/>
        </w:trPr>
        <w:tc>
          <w:tcPr>
            <w:tcW w:w="3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555</w:t>
            </w: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West 57th Street</w:t>
            </w:r>
          </w:p>
        </w:tc>
        <w:tc>
          <w:tcPr>
            <w:tcW w:w="1180" w:type="dxa"/>
            <w:vAlign w:val="bottom"/>
            <w:tcBorders>
              <w:bottom w:val="single" w:sz="8" w:color="CCEEFF"/>
            </w:tcBorders>
            <w:shd w:val="clear" w:color="auto" w:fill="CCEEFF"/>
          </w:tcPr>
          <w:p>
            <w:pPr>
              <w:jc w:val="center"/>
              <w:ind w:left="479"/>
              <w:spacing w:after="0"/>
              <w:rPr>
                <w:sz w:val="20"/>
                <w:szCs w:val="20"/>
                <w:color w:val="auto"/>
              </w:rPr>
            </w:pPr>
            <w:r>
              <w:rPr>
                <w:rFonts w:ascii="Arial" w:cs="Arial" w:eastAsia="Arial" w:hAnsi="Arial"/>
                <w:sz w:val="16"/>
                <w:szCs w:val="16"/>
                <w:color w:val="auto"/>
                <w:w w:val="93"/>
              </w:rPr>
              <w:t>7.5%</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9"/>
              </w:rPr>
              <w:t>555</w:t>
            </w: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West 57th Street</w:t>
            </w:r>
          </w:p>
        </w:tc>
        <w:tc>
          <w:tcPr>
            <w:tcW w:w="112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6"/>
                <w:szCs w:val="16"/>
                <w:color w:val="auto"/>
                <w:w w:val="93"/>
              </w:rPr>
              <w:t>6.9%</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9"/>
              </w:rPr>
              <w:t>555</w:t>
            </w: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West 57th Street</w:t>
            </w:r>
          </w:p>
        </w:tc>
        <w:tc>
          <w:tcPr>
            <w:tcW w:w="120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3"/>
              </w:rPr>
              <w:t>6.6%</w:t>
            </w:r>
          </w:p>
        </w:tc>
      </w:tr>
      <w:tr>
        <w:trPr>
          <w:trHeight w:val="224"/>
        </w:trPr>
        <w:tc>
          <w:tcPr>
            <w:tcW w:w="300" w:type="dxa"/>
            <w:vAlign w:val="bottom"/>
          </w:tcPr>
          <w:p>
            <w:pPr>
              <w:ind w:left="40"/>
              <w:spacing w:after="0"/>
              <w:rPr>
                <w:sz w:val="20"/>
                <w:szCs w:val="20"/>
                <w:color w:val="auto"/>
              </w:rPr>
            </w:pPr>
            <w:r>
              <w:rPr>
                <w:rFonts w:ascii="Arial" w:cs="Arial" w:eastAsia="Arial" w:hAnsi="Arial"/>
                <w:sz w:val="16"/>
                <w:szCs w:val="16"/>
                <w:color w:val="auto"/>
                <w:w w:val="89"/>
              </w:rPr>
              <w:t>125</w:t>
            </w:r>
          </w:p>
        </w:tc>
        <w:tc>
          <w:tcPr>
            <w:tcW w:w="2340" w:type="dxa"/>
            <w:vAlign w:val="bottom"/>
          </w:tcPr>
          <w:p>
            <w:pPr>
              <w:ind w:left="20"/>
              <w:spacing w:after="0"/>
              <w:rPr>
                <w:sz w:val="20"/>
                <w:szCs w:val="20"/>
                <w:color w:val="auto"/>
              </w:rPr>
            </w:pPr>
            <w:r>
              <w:rPr>
                <w:rFonts w:ascii="Arial" w:cs="Arial" w:eastAsia="Arial" w:hAnsi="Arial"/>
                <w:sz w:val="16"/>
                <w:szCs w:val="16"/>
                <w:color w:val="auto"/>
              </w:rPr>
              <w:t>Park Avenue</w:t>
            </w:r>
          </w:p>
        </w:tc>
        <w:tc>
          <w:tcPr>
            <w:tcW w:w="1180" w:type="dxa"/>
            <w:vAlign w:val="bottom"/>
          </w:tcPr>
          <w:p>
            <w:pPr>
              <w:jc w:val="center"/>
              <w:ind w:left="479"/>
              <w:spacing w:after="0"/>
              <w:rPr>
                <w:sz w:val="20"/>
                <w:szCs w:val="20"/>
                <w:color w:val="auto"/>
              </w:rPr>
            </w:pPr>
            <w:r>
              <w:rPr>
                <w:rFonts w:ascii="Arial" w:cs="Arial" w:eastAsia="Arial" w:hAnsi="Arial"/>
                <w:sz w:val="16"/>
                <w:szCs w:val="16"/>
                <w:color w:val="auto"/>
                <w:w w:val="93"/>
              </w:rPr>
              <w:t>7.3%</w:t>
            </w:r>
          </w:p>
        </w:tc>
        <w:tc>
          <w:tcPr>
            <w:tcW w:w="380" w:type="dxa"/>
            <w:vAlign w:val="bottom"/>
          </w:tcPr>
          <w:p>
            <w:pPr>
              <w:ind w:left="120"/>
              <w:spacing w:after="0"/>
              <w:rPr>
                <w:sz w:val="20"/>
                <w:szCs w:val="20"/>
                <w:color w:val="auto"/>
              </w:rPr>
            </w:pPr>
            <w:r>
              <w:rPr>
                <w:rFonts w:ascii="Arial" w:cs="Arial" w:eastAsia="Arial" w:hAnsi="Arial"/>
                <w:sz w:val="16"/>
                <w:szCs w:val="16"/>
                <w:color w:val="auto"/>
                <w:w w:val="89"/>
              </w:rPr>
              <w:t>125</w:t>
            </w:r>
          </w:p>
        </w:tc>
        <w:tc>
          <w:tcPr>
            <w:tcW w:w="2260" w:type="dxa"/>
            <w:vAlign w:val="bottom"/>
          </w:tcPr>
          <w:p>
            <w:pPr>
              <w:ind w:left="20"/>
              <w:spacing w:after="0"/>
              <w:rPr>
                <w:sz w:val="20"/>
                <w:szCs w:val="20"/>
                <w:color w:val="auto"/>
              </w:rPr>
            </w:pPr>
            <w:r>
              <w:rPr>
                <w:rFonts w:ascii="Arial" w:cs="Arial" w:eastAsia="Arial" w:hAnsi="Arial"/>
                <w:sz w:val="16"/>
                <w:szCs w:val="16"/>
                <w:color w:val="auto"/>
              </w:rPr>
              <w:t>Park Avenue</w:t>
            </w:r>
          </w:p>
        </w:tc>
        <w:tc>
          <w:tcPr>
            <w:tcW w:w="1120" w:type="dxa"/>
            <w:vAlign w:val="bottom"/>
          </w:tcPr>
          <w:p>
            <w:pPr>
              <w:jc w:val="center"/>
              <w:ind w:left="419"/>
              <w:spacing w:after="0"/>
              <w:rPr>
                <w:sz w:val="20"/>
                <w:szCs w:val="20"/>
                <w:color w:val="auto"/>
              </w:rPr>
            </w:pPr>
            <w:r>
              <w:rPr>
                <w:rFonts w:ascii="Arial" w:cs="Arial" w:eastAsia="Arial" w:hAnsi="Arial"/>
                <w:sz w:val="16"/>
                <w:szCs w:val="16"/>
                <w:color w:val="auto"/>
                <w:w w:val="93"/>
              </w:rPr>
              <w:t>6.8%</w:t>
            </w:r>
          </w:p>
        </w:tc>
        <w:tc>
          <w:tcPr>
            <w:tcW w:w="380" w:type="dxa"/>
            <w:vAlign w:val="bottom"/>
          </w:tcPr>
          <w:p>
            <w:pPr>
              <w:ind w:left="120"/>
              <w:spacing w:after="0"/>
              <w:rPr>
                <w:sz w:val="20"/>
                <w:szCs w:val="20"/>
                <w:color w:val="auto"/>
              </w:rPr>
            </w:pPr>
            <w:r>
              <w:rPr>
                <w:rFonts w:ascii="Arial" w:cs="Arial" w:eastAsia="Arial" w:hAnsi="Arial"/>
                <w:sz w:val="16"/>
                <w:szCs w:val="16"/>
                <w:color w:val="auto"/>
                <w:w w:val="89"/>
              </w:rPr>
              <w:t>125</w:t>
            </w:r>
          </w:p>
        </w:tc>
        <w:tc>
          <w:tcPr>
            <w:tcW w:w="2260" w:type="dxa"/>
            <w:vAlign w:val="bottom"/>
          </w:tcPr>
          <w:p>
            <w:pPr>
              <w:ind w:left="20"/>
              <w:spacing w:after="0"/>
              <w:rPr>
                <w:sz w:val="20"/>
                <w:szCs w:val="20"/>
                <w:color w:val="auto"/>
              </w:rPr>
            </w:pPr>
            <w:r>
              <w:rPr>
                <w:rFonts w:ascii="Arial" w:cs="Arial" w:eastAsia="Arial" w:hAnsi="Arial"/>
                <w:sz w:val="16"/>
                <w:szCs w:val="16"/>
                <w:color w:val="auto"/>
              </w:rPr>
              <w:t>Park Avenue</w:t>
            </w:r>
          </w:p>
        </w:tc>
        <w:tc>
          <w:tcPr>
            <w:tcW w:w="1200" w:type="dxa"/>
            <w:vAlign w:val="bottom"/>
          </w:tcPr>
          <w:p>
            <w:pPr>
              <w:jc w:val="center"/>
              <w:ind w:left="339"/>
              <w:spacing w:after="0"/>
              <w:rPr>
                <w:sz w:val="20"/>
                <w:szCs w:val="20"/>
                <w:color w:val="auto"/>
              </w:rPr>
            </w:pPr>
            <w:r>
              <w:rPr>
                <w:rFonts w:ascii="Arial" w:cs="Arial" w:eastAsia="Arial" w:hAnsi="Arial"/>
                <w:sz w:val="16"/>
                <w:szCs w:val="16"/>
                <w:color w:val="auto"/>
                <w:w w:val="93"/>
              </w:rPr>
              <w:t>6.6%</w:t>
            </w:r>
          </w:p>
        </w:tc>
      </w:tr>
      <w:tr>
        <w:trPr>
          <w:trHeight w:val="33"/>
        </w:trPr>
        <w:tc>
          <w:tcPr>
            <w:tcW w:w="26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26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6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1350 Avenue of the Americas</w:t>
            </w:r>
          </w:p>
        </w:tc>
        <w:tc>
          <w:tcPr>
            <w:tcW w:w="1180" w:type="dxa"/>
            <w:vAlign w:val="bottom"/>
            <w:tcBorders>
              <w:bottom w:val="single" w:sz="8" w:color="CCEEFF"/>
            </w:tcBorders>
            <w:shd w:val="clear" w:color="auto" w:fill="CCEEFF"/>
          </w:tcPr>
          <w:p>
            <w:pPr>
              <w:jc w:val="center"/>
              <w:ind w:left="479"/>
              <w:spacing w:after="0"/>
              <w:rPr>
                <w:sz w:val="20"/>
                <w:szCs w:val="20"/>
                <w:color w:val="auto"/>
              </w:rPr>
            </w:pPr>
            <w:r>
              <w:rPr>
                <w:rFonts w:ascii="Arial" w:cs="Arial" w:eastAsia="Arial" w:hAnsi="Arial"/>
                <w:sz w:val="16"/>
                <w:szCs w:val="16"/>
                <w:color w:val="auto"/>
                <w:w w:val="93"/>
              </w:rPr>
              <w:t>7.1%</w:t>
            </w:r>
          </w:p>
        </w:tc>
        <w:tc>
          <w:tcPr>
            <w:tcW w:w="2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1350 Avenue of the Americas</w:t>
            </w:r>
          </w:p>
        </w:tc>
        <w:tc>
          <w:tcPr>
            <w:tcW w:w="1120" w:type="dxa"/>
            <w:vAlign w:val="bottom"/>
            <w:tcBorders>
              <w:bottom w:val="single" w:sz="8" w:color="CCEEFF"/>
            </w:tcBorders>
            <w:shd w:val="clear" w:color="auto" w:fill="CCEEFF"/>
          </w:tcPr>
          <w:p>
            <w:pPr>
              <w:jc w:val="center"/>
              <w:ind w:left="419"/>
              <w:spacing w:after="0"/>
              <w:rPr>
                <w:sz w:val="20"/>
                <w:szCs w:val="20"/>
                <w:color w:val="auto"/>
              </w:rPr>
            </w:pPr>
            <w:r>
              <w:rPr>
                <w:rFonts w:ascii="Arial" w:cs="Arial" w:eastAsia="Arial" w:hAnsi="Arial"/>
                <w:sz w:val="16"/>
                <w:szCs w:val="16"/>
                <w:color w:val="auto"/>
                <w:w w:val="93"/>
              </w:rPr>
              <w:t>6.8%</w:t>
            </w:r>
          </w:p>
        </w:tc>
        <w:tc>
          <w:tcPr>
            <w:tcW w:w="2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1350 Avenue of the Americas</w:t>
            </w:r>
          </w:p>
        </w:tc>
        <w:tc>
          <w:tcPr>
            <w:tcW w:w="120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color w:val="auto"/>
                <w:w w:val="93"/>
              </w:rPr>
              <w:t>6.4%</w:t>
            </w:r>
          </w:p>
        </w:tc>
      </w:tr>
      <w:tr>
        <w:trPr>
          <w:trHeight w:val="224"/>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711 Third Avenue</w:t>
            </w:r>
          </w:p>
        </w:tc>
        <w:tc>
          <w:tcPr>
            <w:tcW w:w="1180" w:type="dxa"/>
            <w:vAlign w:val="bottom"/>
          </w:tcPr>
          <w:p>
            <w:pPr>
              <w:jc w:val="center"/>
              <w:ind w:left="479"/>
              <w:spacing w:after="0"/>
              <w:rPr>
                <w:sz w:val="20"/>
                <w:szCs w:val="20"/>
                <w:color w:val="auto"/>
              </w:rPr>
            </w:pPr>
            <w:r>
              <w:rPr>
                <w:rFonts w:ascii="Arial" w:cs="Arial" w:eastAsia="Arial" w:hAnsi="Arial"/>
                <w:sz w:val="16"/>
                <w:szCs w:val="16"/>
                <w:color w:val="auto"/>
                <w:w w:val="93"/>
              </w:rPr>
              <w:t>5.9%</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711 Third Avenue</w:t>
            </w:r>
          </w:p>
        </w:tc>
        <w:tc>
          <w:tcPr>
            <w:tcW w:w="1120" w:type="dxa"/>
            <w:vAlign w:val="bottom"/>
          </w:tcPr>
          <w:p>
            <w:pPr>
              <w:jc w:val="center"/>
              <w:ind w:left="419"/>
              <w:spacing w:after="0"/>
              <w:rPr>
                <w:sz w:val="20"/>
                <w:szCs w:val="20"/>
                <w:color w:val="auto"/>
              </w:rPr>
            </w:pPr>
            <w:r>
              <w:rPr>
                <w:rFonts w:ascii="Arial" w:cs="Arial" w:eastAsia="Arial" w:hAnsi="Arial"/>
                <w:sz w:val="16"/>
                <w:szCs w:val="16"/>
                <w:color w:val="auto"/>
                <w:w w:val="93"/>
              </w:rPr>
              <w:t>5.1%</w:t>
            </w:r>
          </w:p>
        </w:tc>
        <w:tc>
          <w:tcPr>
            <w:tcW w:w="2640" w:type="dxa"/>
            <w:vAlign w:val="bottom"/>
            <w:gridSpan w:val="2"/>
          </w:tcPr>
          <w:p>
            <w:pPr>
              <w:ind w:left="120"/>
              <w:spacing w:after="0"/>
              <w:rPr>
                <w:sz w:val="20"/>
                <w:szCs w:val="20"/>
                <w:color w:val="auto"/>
              </w:rPr>
            </w:pPr>
            <w:r>
              <w:rPr>
                <w:rFonts w:ascii="Arial" w:cs="Arial" w:eastAsia="Arial" w:hAnsi="Arial"/>
                <w:sz w:val="16"/>
                <w:szCs w:val="16"/>
                <w:color w:val="auto"/>
              </w:rPr>
              <w:t>711 Third Avenue</w:t>
            </w:r>
          </w:p>
        </w:tc>
        <w:tc>
          <w:tcPr>
            <w:tcW w:w="1200" w:type="dxa"/>
            <w:vAlign w:val="bottom"/>
          </w:tcPr>
          <w:p>
            <w:pPr>
              <w:jc w:val="center"/>
              <w:ind w:left="339"/>
              <w:spacing w:after="0"/>
              <w:rPr>
                <w:sz w:val="20"/>
                <w:szCs w:val="20"/>
                <w:color w:val="auto"/>
              </w:rPr>
            </w:pPr>
            <w:r>
              <w:rPr>
                <w:rFonts w:ascii="Arial" w:cs="Arial" w:eastAsia="Arial" w:hAnsi="Arial"/>
                <w:sz w:val="16"/>
                <w:szCs w:val="16"/>
                <w:color w:val="auto"/>
                <w:w w:val="93"/>
              </w:rPr>
              <w:t>5.2%</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balances have been reclassified to conform to our current year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October 2018, the FASB issued Accounting Standard Update (ASU) No. 2018-17, Consolidation (Topic 810), Targeted Improvements to Related Party Guidance for Variable Interest Entities. Under this amendment reporting entities, when determining if the decision-making fees are variable interests, are to consider indirect interests held through related parties under common control on a proportional basis rather than as a direct interest in its entirety. The guidance is effective for the Company for fiscal years beginning after December 15, 2019. Early adoption is permitted. The Company has adopted this guidance and it had no impact on the Company’s consolidated financial statements.</w:t>
      </w:r>
    </w:p>
    <w:p>
      <w:pPr>
        <w:spacing w:after="0" w:line="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August 2018, The Securities and Exchange Commission adopted a final rule that eliminated or amended disclosure requirements that were redundant or outdated in light of changes in its requirements, generally accepted accounting principles, or changes in the business environment. The commission also referred certain disclosure requirements to the Financial Accounting Standards Board for potential incorporation into generally accepted accounting principles. The rule is effective for filings after November 5, 2018. The Company assessed the impact of this rule and determined that the changes resulted in clarification or expansion of existing requirements. The Company early adopted the rule upon publication to the federal register on October 5, 2018 and it did not have a material impact on the Company’s consolidated financial statements.</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August 2018, the FASB issued Accounting Standard Update (ASU) No. 2018-15, Intangibles - Goodwill and Other- Internal-Use Software (Topic 350-40), Customer’s Accounting for Implementation Costs Incurred in a Cloud Computing Arrangement That is a Service Contract. The amendments provide guidance on accounting for fees paid when the arrangement includes a software license and align the requirements for capitalizing implementation costs incurred in a hosting arrangement that is a service contract with the requirements for capitalizing costs to develop or obtain internal-use software. The guidance is effective for the Company for fiscal years beginning after December 15, 2019. Early adoption is permitted. The Company has not yet adopted this new guidance and does not expect it to have a material impact on the Company’s consolidated financial statements when the new standard is implemented.</w:t>
      </w:r>
    </w:p>
    <w:p>
      <w:pPr>
        <w:spacing w:after="0" w:line="5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August 2018, the FASB issued ASU No. 2018-13, Fair Value Measurement (Topic 820), Disclosure Framework - Changes to the Disclosure Requirements for Fair Value Measurement. This amendment removed, modified and added the disclosure requirements under Topic 820. The changes are effective for the Company for fiscal years beginning after December 15, 2019. Early adoption is permitted for the removed or modified disclosures with adoption of the additional disclosures upon the effective date. The Company has not yet adopted this new guidance and does not expect it to have a material impact on the Company’s consolidated financial statements when the new standard is implemented.</w:t>
      </w:r>
    </w:p>
    <w:p>
      <w:pPr>
        <w:spacing w:after="0" w:line="6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February 2018, the FASB issued ASU No. 2018-03, Technical Corrections and Improvements to Financial Instruments- Overall (Subtopic 825-10), Recognition and Measurement of Financial Assets and Financial Liabilities. These amendments provide additional guidance related to equity securities without a readily determinable fair value, forward contracts and options purchased on those equity securities and fair value option liabilities. The Company adopted the guidance on July 1, 2018, and it did not have a material impact on the Company’s consolidated financial statements.</w:t>
      </w:r>
    </w:p>
    <w:p>
      <w:pPr>
        <w:spacing w:after="0" w:line="6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2017, the FASB issued ASU No. 2017-12, Derivatives and Hedging (Topic 815), Targeted Improvements to Accounting for Hedging Activities, and in July 2018, the FASB issued ASU No. 2018-16, Derivatives and Hedging (Topic 815): Inclusion of the Secured Overnight Financing Rate (SOFR) Overnight Index Swap (OIS) Rate as a Benchmark Interest Rate for Hedge Accounting Purposes. The amendments in the new standards will permit more flexibility in hedging interest rate risk for both variable rate and fixed rate financial instruments. The standards will also enhance the presentation of hedge results in the financial statements. The guidance is effective for fiscal years beginning after December 15, 2018. Early adoption is permitted. The Company will adopt this guidance January 1, 2019, and does not expect a material impact on the Company’s consolidated financial statements when the new standards are implemented.</w:t>
      </w:r>
    </w:p>
    <w:p>
      <w:pPr>
        <w:spacing w:after="0" w:line="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November 2016, the FASB issued ASU No. 2016-18, Statement of Cash Flows (Topic 230): Restricted Cash. The guidance requires that the statement of cash flows explain the change during the period in the total of cash, cash equivalents, and amounts generally described as restricted cash. As a result, entities will no longer present transfers between these items on the statement of cash flows. The Company adopted the guidance on January 1, 2018 and has included the changes in restricted cash when reconciling the beginning-of-period and end-of-period total amounts on the statement of cash flows.</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and in November 2018 issued ASU No. 2018-19, Codification Improvements to Topic 326,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 Credit Losses. . The guidance changes how entities will measure credit losses for most financial assets and certain other instruments that are not measured at fair value through net income. The guidance replaces the current ‘incurred loss’ model with an ‘expected loss’ approach. The guidance is effective for fiscal years beginning after December 15, 2019, including interim periods within those fiscal years. Early adoption is permitted after December 15, 2018. The Company’s DPE portfolio and capital lease assets will be subject to this guidance once the Company adopts it. ASU No. 2018-19 excludes operating lease receivables from the scope of this guidance. The Company continues to evaluate the impact of adopting this new accounting standard on the Company’s consolidated financial statements.</w:t>
      </w:r>
    </w:p>
    <w:p>
      <w:pPr>
        <w:spacing w:after="0" w:line="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In February 2016, the FASB issued ASU No. 2016-02, Leases. In July 2018, the FASB issued ASU No. 2018-10 - Codification Improvements to Topic 842, Leases and ASU No. 2018-11 - Targeted Improvements. In December 2018, the FASB issued ASU No. 2018-20 - Narrow-Scope Improvements for Lessors. This guidance requires lessees to recognize lease assets and lease liabilities for those leases classified as operating leases under the previous standard. Depending on the lease classification, lessees will recognize expense based on the effective interest method for finance leases or on a straight-line basis for operating leases. The Company will apply this guidance to the ground leases under which the Company is lessee. The Company is required to record a liability for the obligation to make payments under the lease and an asset for the right to use the underlying asset during the lease term and will also apply the new expense recognition requirements given the lease classification. While the Company is continuing to assess all potential impacts of the standard, we expect total liabilities and total assets to increase by $0.1 to $0.2 billion as of the date of adoption. The accounting applied by a lessor is largely unchanged from that applied under the previous standard. The Company does expect to adopt the practical expedient offered in ASU No. 2018-11 that allows lessors to not separate non-lease components from the related lease components under certain conditions, which the Company expects most of its leases to qualify for. Additionally, for future leases, the Company will no longer capitalize internal leasing costs as these costs are not considered to be incremental under the new guidance. The Company is assessing all potential impacts of the standard. This guidance in this standard is effective for fiscal years beginning after December 15, 2018 and interim periods within those fiscal years. Early adoption is permitted. The Company will adopt this guidance January 1, 2019 and will apply the modified retrospective approach. The Company will elect the package of practical expedients that allows an entity to not reassess (i) whether any expired or existing contracts are or contain leases, (ii) lease classification for any expired or existing leases and (iii) initial direct costs for any expired or existing leases.</w:t>
      </w:r>
    </w:p>
    <w:p>
      <w:pPr>
        <w:spacing w:after="0" w:line="6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January 2016, the FASB issued ASU 2016-01 (Subtopic 825-10), Recognition and Measurement of Financial Assets and Financial Liabilities. The guidance requires entities to measure equity investments that do not result in consolidation and are not accounted for under the equity method at fair value through earnings, to record changes in instrument-specific credit risk for financial liabilities measured under the fair value option in other comprehensive income, use the exit price notion when measuring an instrument’s fair value for disclosure and to separately present financial assets and liabilities by measurement category and form of instrument on the balance sheet or in the notes to the financial statements. The Company adopted the guidance effective January 1, 2018, and it had no impact on the Company’s consolidated financial statements.</w:t>
      </w:r>
    </w:p>
    <w:p>
      <w:pPr>
        <w:spacing w:after="0" w:line="7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May 2014, the FASB issued a new comprehensive revenue recognition guidance which requires us to recognize revenue to depict the transfer of promised goods or services to customers in an amount that reflects the consideration to which we expect to be entitled in exchange for those goods and services (ASU 2014-09). The FASB also issued implementation guidance in March 2016, April 2016 and May 2016 - ASU’s 2016-08, 2016-10 and 2016-12, respectively. The Company adopted this guidance on January 1, 2018. Since the Company’s revenue is related to leasing activities, the adoption of this guidance did not have a material impact on the consolidated financial statements. The new guidance is applicable to service contracts with joint ventures for which the Company earns property management fees, leasing commissions and development and construction fees. The adoption of this new guidance did not change the accounting for these fees as the pattern of recognition of revenue does not change with the new guidance. We will continue to recognize revenue over time on these contracts because the customer simultaneously receives and consumes the benefits provided by our performance.</w:t>
      </w:r>
    </w:p>
    <w:p>
      <w:pPr>
        <w:spacing w:after="0" w:line="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2017, the FASB issued ASU No. 2017-05 to clarify the scope of asset derecognition guidance in Subtopic 610-20, which also provided guidance on accounting for partial sales of nonfinancial assets. Subtopic 610-20 was issued in May 2014 as part of ASU 2014-09. The Company adopted this guidance on January 1, 2018, and applied the modified retrospective approach. The Company elected to adopt the practical expedient under ASC 606, Revenue from Contracts with Customers, which allows an entity to apply the guidance only to contracts with non-customers that are open based on ASU 360-20, Real Estate Sales, (i.e. failed sales) as of the adoption date. The adoption had no impact on the consolidated financial statements as the Company had no open contracts based on ASC 360-20 as of December 31, 2017.</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Acquisitions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years ended December 31, 2018, 2017, and 2016 we did not acquire any properties from a third party.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ind w:right="7340" w:firstLine="8"/>
        <w:spacing w:after="0" w:line="378" w:lineRule="auto"/>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Properties Held for Sale and Property Dispositions Properties Held for Sale</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2018, no properties were classified as held for sale.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properties sold during the years ended December 31, 2018, 2017 and 2016:</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Approximate Usable</w:t>
            </w:r>
          </w:p>
        </w:tc>
        <w:tc>
          <w:tcPr>
            <w:tcW w:w="280" w:type="dxa"/>
            <w:vAlign w:val="bottom"/>
          </w:tcPr>
          <w:p>
            <w:pPr>
              <w:spacing w:after="0"/>
              <w:rPr>
                <w:sz w:val="17"/>
                <w:szCs w:val="17"/>
                <w:color w:val="auto"/>
              </w:rPr>
            </w:pPr>
          </w:p>
        </w:tc>
        <w:tc>
          <w:tcPr>
            <w:tcW w:w="1640" w:type="dxa"/>
            <w:vAlign w:val="bottom"/>
            <w:gridSpan w:val="2"/>
          </w:tcPr>
          <w:p>
            <w:pPr>
              <w:jc w:val="center"/>
              <w:ind w:right="380"/>
              <w:spacing w:after="0" w:line="203" w:lineRule="exact"/>
              <w:rPr>
                <w:sz w:val="20"/>
                <w:szCs w:val="20"/>
                <w:color w:val="auto"/>
              </w:rPr>
            </w:pPr>
            <w:r>
              <w:rPr>
                <w:rFonts w:ascii="Arial" w:cs="Arial" w:eastAsia="Arial" w:hAnsi="Arial"/>
                <w:sz w:val="16"/>
                <w:szCs w:val="16"/>
                <w:b w:val="1"/>
                <w:bCs w:val="1"/>
                <w:color w:val="auto"/>
                <w:w w:val="84"/>
              </w:rPr>
              <w:t xml:space="preserve">Sales Price </w:t>
            </w:r>
            <w:r>
              <w:rPr>
                <w:rFonts w:ascii="Arial" w:cs="Arial" w:eastAsia="Arial" w:hAnsi="Arial"/>
                <w:sz w:val="21"/>
                <w:szCs w:val="21"/>
                <w:b w:val="1"/>
                <w:bCs w:val="1"/>
                <w:color w:val="auto"/>
                <w:w w:val="84"/>
                <w:vertAlign w:val="superscript"/>
              </w:rPr>
              <w:t>(1)</w:t>
            </w:r>
          </w:p>
        </w:tc>
        <w:tc>
          <w:tcPr>
            <w:tcW w:w="160" w:type="dxa"/>
            <w:vAlign w:val="bottom"/>
          </w:tcPr>
          <w:p>
            <w:pPr>
              <w:spacing w:after="0"/>
              <w:rPr>
                <w:sz w:val="17"/>
                <w:szCs w:val="17"/>
                <w:color w:val="auto"/>
              </w:rPr>
            </w:pPr>
          </w:p>
        </w:tc>
        <w:tc>
          <w:tcPr>
            <w:tcW w:w="1760" w:type="dxa"/>
            <w:vAlign w:val="bottom"/>
          </w:tcPr>
          <w:p>
            <w:pPr>
              <w:jc w:val="right"/>
              <w:ind w:right="159"/>
              <w:spacing w:after="0" w:line="203" w:lineRule="exact"/>
              <w:rPr>
                <w:sz w:val="20"/>
                <w:szCs w:val="20"/>
                <w:color w:val="auto"/>
              </w:rPr>
            </w:pPr>
            <w:r>
              <w:rPr>
                <w:rFonts w:ascii="Arial" w:cs="Arial" w:eastAsia="Arial" w:hAnsi="Arial"/>
                <w:sz w:val="16"/>
                <w:szCs w:val="16"/>
                <w:b w:val="1"/>
                <w:bCs w:val="1"/>
                <w:color w:val="auto"/>
                <w:w w:val="90"/>
              </w:rPr>
              <w:t>Gain (Loss) on Sale</w:t>
            </w:r>
            <w:r>
              <w:rPr>
                <w:rFonts w:ascii="Arial" w:cs="Arial" w:eastAsia="Arial" w:hAnsi="Arial"/>
                <w:sz w:val="21"/>
                <w:szCs w:val="21"/>
                <w:b w:val="1"/>
                <w:bCs w:val="1"/>
                <w:color w:val="auto"/>
                <w:w w:val="90"/>
                <w:vertAlign w:val="superscript"/>
              </w:rPr>
              <w:t>(2)</w:t>
            </w:r>
          </w:p>
        </w:tc>
      </w:tr>
      <w:tr>
        <w:trPr>
          <w:trHeight w:val="210"/>
        </w:trPr>
        <w:tc>
          <w:tcPr>
            <w:tcW w:w="300" w:type="dxa"/>
            <w:vAlign w:val="bottom"/>
          </w:tcPr>
          <w:p>
            <w:pPr>
              <w:spacing w:after="0"/>
              <w:rPr>
                <w:sz w:val="18"/>
                <w:szCs w:val="18"/>
                <w:color w:val="auto"/>
              </w:rPr>
            </w:pPr>
          </w:p>
        </w:tc>
        <w:tc>
          <w:tcPr>
            <w:tcW w:w="2000" w:type="dxa"/>
            <w:vAlign w:val="bottom"/>
            <w:gridSpan w:val="2"/>
          </w:tcPr>
          <w:p>
            <w:pPr>
              <w:ind w:left="480"/>
              <w:spacing w:after="0"/>
              <w:rPr>
                <w:sz w:val="20"/>
                <w:szCs w:val="20"/>
                <w:color w:val="auto"/>
              </w:rPr>
            </w:pPr>
            <w:r>
              <w:rPr>
                <w:rFonts w:ascii="Arial" w:cs="Arial" w:eastAsia="Arial" w:hAnsi="Arial"/>
                <w:sz w:val="16"/>
                <w:szCs w:val="16"/>
                <w:b w:val="1"/>
                <w:bCs w:val="1"/>
                <w:color w:val="auto"/>
              </w:rPr>
              <w:t>Property</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Disposition Date</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Property Type</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Square Feet</w:t>
            </w:r>
          </w:p>
        </w:tc>
        <w:tc>
          <w:tcPr>
            <w:tcW w:w="28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(in millions)</w:t>
            </w:r>
          </w:p>
        </w:tc>
        <w:tc>
          <w:tcPr>
            <w:tcW w:w="160" w:type="dxa"/>
            <w:vAlign w:val="bottom"/>
          </w:tcPr>
          <w:p>
            <w:pPr>
              <w:spacing w:after="0"/>
              <w:rPr>
                <w:sz w:val="18"/>
                <w:szCs w:val="18"/>
                <w:color w:val="auto"/>
              </w:rPr>
            </w:pPr>
          </w:p>
        </w:tc>
        <w:tc>
          <w:tcPr>
            <w:tcW w:w="1760" w:type="dxa"/>
            <w:vAlign w:val="bottom"/>
          </w:tcPr>
          <w:p>
            <w:pPr>
              <w:jc w:val="right"/>
              <w:ind w:right="459"/>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400</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Summit Lake Drive</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November 2018</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Land</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39.5 acres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1-6 International Drive</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July 2018</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Office</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540,000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635</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Madison Avenue</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June 2018</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Retail</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115-117 Stevens Avenue</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2018</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Office</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178,000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125</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Chubb Way</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2017</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Office</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16 Court Street</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2017</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Office</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317,600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64.9</w:t>
            </w:r>
          </w:p>
        </w:tc>
      </w:tr>
      <w:tr>
        <w:trPr>
          <w:trHeight w:val="33"/>
        </w:trPr>
        <w:tc>
          <w:tcPr>
            <w:tcW w:w="2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99"/>
              </w:rPr>
              <w:t>680-750 Washington Boulevard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July 2017</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Office</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520</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White Plains Road</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April 2017</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Office</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180,000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102</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Greene Street </w:t>
            </w:r>
            <w:r>
              <w:rPr>
                <w:rFonts w:ascii="Arial" w:cs="Arial" w:eastAsia="Arial" w:hAnsi="Arial"/>
                <w:sz w:val="21"/>
                <w:szCs w:val="21"/>
                <w:color w:val="auto"/>
                <w:vertAlign w:val="superscript"/>
              </w:rPr>
              <w:t>(3)</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April 2017</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Retail</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2300" w:type="dxa"/>
            <w:vAlign w:val="bottom"/>
            <w:gridSpan w:val="3"/>
          </w:tcPr>
          <w:p>
            <w:pPr>
              <w:ind w:left="40"/>
              <w:spacing w:after="0"/>
              <w:rPr>
                <w:sz w:val="20"/>
                <w:szCs w:val="20"/>
                <w:color w:val="auto"/>
              </w:rPr>
            </w:pPr>
            <w:r>
              <w:rPr>
                <w:rFonts w:ascii="Arial" w:cs="Arial" w:eastAsia="Arial" w:hAnsi="Arial"/>
                <w:sz w:val="16"/>
                <w:szCs w:val="16"/>
                <w:color w:val="auto"/>
              </w:rPr>
              <w:t>7 International Drive</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2016</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Land</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31 Acres</w:t>
            </w:r>
          </w:p>
        </w:tc>
        <w:tc>
          <w:tcPr>
            <w:tcW w:w="2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(6.9)</w:t>
            </w:r>
          </w:p>
        </w:tc>
      </w:tr>
    </w:tbl>
    <w:p>
      <w:pPr>
        <w:spacing w:after="0" w:line="176"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Sales price represents the actual sales price for an entire property or the gross asset valuation for interests in a property.</w:t>
      </w:r>
    </w:p>
    <w:p>
      <w:pPr>
        <w:spacing w:after="0" w:line="13" w:lineRule="exact"/>
        <w:rPr>
          <w:rFonts w:ascii="Arial" w:cs="Arial" w:eastAsia="Arial" w:hAnsi="Arial"/>
          <w:sz w:val="14"/>
          <w:szCs w:val="14"/>
          <w:color w:val="auto"/>
        </w:rPr>
      </w:pPr>
    </w:p>
    <w:p>
      <w:pPr>
        <w:jc w:val="both"/>
        <w:ind w:left="420" w:hanging="412"/>
        <w:spacing w:after="0" w:line="241"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gain on sale for 16 Court Street and 102 Greene Street are net of $2.5 million and $0.9 million, respectively, in employee compensation awards accrued in connection with the realization of these investment gains as a bonus to certain employees that were instrumental in realizing the gain on sale. Additionally, amounts do not include adjustments for expenses recorded in subsequent periods.</w:t>
      </w:r>
    </w:p>
    <w:p>
      <w:pPr>
        <w:spacing w:after="0" w:line="1" w:lineRule="exact"/>
        <w:rPr>
          <w:rFonts w:ascii="Arial" w:cs="Arial" w:eastAsia="Arial" w:hAnsi="Arial"/>
          <w:sz w:val="14"/>
          <w:szCs w:val="14"/>
          <w:color w:val="auto"/>
        </w:rPr>
      </w:pPr>
    </w:p>
    <w:p>
      <w:pPr>
        <w:ind w:left="420" w:hanging="412"/>
        <w:spacing w:after="0" w:line="247"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April 2017, we closed on the sale of a 90% interest 102 Greene Street and had subsequently accounted for our interest in the property as an investment in unconsolidated joint ventures. We sold the remaining 10% interest in September 2017. See Note 6, "Investments in Unconsolidated Joint Ventures."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Preferred Equity Investments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Below is a summary of the activity relating to our debt and preferred equity investments as of December 31, 2018 and 2017 (in thousands):</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Balance at beginning of period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2,114,041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1,640,412</w:t>
            </w:r>
          </w:p>
        </w:tc>
      </w:tr>
      <w:tr>
        <w:trPr>
          <w:trHeight w:val="270"/>
        </w:trPr>
        <w:tc>
          <w:tcPr>
            <w:tcW w:w="7500" w:type="dxa"/>
            <w:vAlign w:val="bottom"/>
          </w:tcPr>
          <w:p>
            <w:pPr>
              <w:ind w:left="20"/>
              <w:spacing w:after="0"/>
              <w:rPr>
                <w:sz w:val="20"/>
                <w:szCs w:val="20"/>
                <w:color w:val="auto"/>
              </w:rPr>
            </w:pPr>
            <w:r>
              <w:rPr>
                <w:rFonts w:ascii="Arial" w:cs="Arial" w:eastAsia="Arial" w:hAnsi="Arial"/>
                <w:sz w:val="16"/>
                <w:szCs w:val="16"/>
                <w:color w:val="auto"/>
              </w:rPr>
              <w:t xml:space="preserve">Debt investment originations/accretion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834,304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1,142,591</w:t>
            </w:r>
          </w:p>
        </w:tc>
      </w:tr>
      <w:tr>
        <w:trPr>
          <w:trHeight w:val="27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Preferred equity investment originations/accretion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144,456</w:t>
            </w:r>
          </w:p>
        </w:tc>
      </w:tr>
      <w:tr>
        <w:trPr>
          <w:trHeight w:val="270"/>
        </w:trPr>
        <w:tc>
          <w:tcPr>
            <w:tcW w:w="7500" w:type="dxa"/>
            <w:vAlign w:val="bottom"/>
          </w:tcPr>
          <w:p>
            <w:pPr>
              <w:ind w:left="20"/>
              <w:spacing w:after="0"/>
              <w:rPr>
                <w:sz w:val="20"/>
                <w:szCs w:val="20"/>
                <w:color w:val="auto"/>
              </w:rPr>
            </w:pPr>
            <w:r>
              <w:rPr>
                <w:rFonts w:ascii="Arial" w:cs="Arial" w:eastAsia="Arial" w:hAnsi="Arial"/>
                <w:sz w:val="16"/>
                <w:szCs w:val="16"/>
                <w:color w:val="auto"/>
              </w:rPr>
              <w:t xml:space="preserve">Redemptions/sales/syndications/amortization </w:t>
            </w:r>
            <w:r>
              <w:rPr>
                <w:rFonts w:ascii="Arial" w:cs="Arial" w:eastAsia="Arial" w:hAnsi="Arial"/>
                <w:sz w:val="21"/>
                <w:szCs w:val="21"/>
                <w:color w:val="auto"/>
                <w:vertAlign w:val="superscript"/>
              </w:rPr>
              <w:t>(3)</w:t>
            </w:r>
          </w:p>
        </w:tc>
        <w:tc>
          <w:tcPr>
            <w:tcW w:w="2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(994,906)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(813,418)</w:t>
            </w: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loan loss reserves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7500" w:type="dxa"/>
            <w:vAlign w:val="bottom"/>
          </w:tcPr>
          <w:p>
            <w:pPr>
              <w:ind w:left="20"/>
              <w:spacing w:after="0"/>
              <w:rPr>
                <w:sz w:val="20"/>
                <w:szCs w:val="20"/>
                <w:color w:val="auto"/>
              </w:rPr>
            </w:pPr>
            <w:r>
              <w:rPr>
                <w:rFonts w:ascii="Arial" w:cs="Arial" w:eastAsia="Arial" w:hAnsi="Arial"/>
                <w:sz w:val="16"/>
                <w:szCs w:val="16"/>
                <w:color w:val="auto"/>
              </w:rPr>
              <w:t xml:space="preserve">Balance at end of period </w:t>
            </w:r>
            <w:r>
              <w:rPr>
                <w:rFonts w:ascii="Arial" w:cs="Arial" w:eastAsia="Arial" w:hAnsi="Arial"/>
                <w:sz w:val="21"/>
                <w:szCs w:val="21"/>
                <w:color w:val="auto"/>
                <w:vertAlign w:val="superscript"/>
              </w:rPr>
              <w:t>(1)</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1,956,119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2,114,041</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of unamortized fees, discounts, and premiums.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Accretion includes amortization of fees and discounts and paid-in-kind investment income.</w:t>
      </w:r>
    </w:p>
    <w:p>
      <w:pPr>
        <w:spacing w:after="0" w:line="1"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Certain participations in debt investments that were sold or syndicated did not meet the conditions for sale accounting and are included in other assets and other liabilities on the consolidated balance sheets.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rollforward of our total loan loss reserves at December 31, 2018, 2017 and 2016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ind w:left="36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ind w:left="200"/>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Expensed</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5,750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Recoveries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Charge-offs and reclassifications</w:t>
            </w:r>
          </w:p>
        </w:tc>
        <w:tc>
          <w:tcPr>
            <w:tcW w:w="8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ind w:left="760"/>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5,750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December 31, 2018, all debt and preferred equity investments were performing in accordance with the terms of the relevant investments. At December 31, 2018 the Company's loan loss reserves of $5.8 million were attributable to two investments with an unpaid principal balance of $159.9 million that are being marketed for sale, are performing in accordance with their respective terms, and were not put on nonaccrual.</w:t>
      </w:r>
    </w:p>
    <w:p>
      <w:pPr>
        <w:spacing w:after="0" w:line="5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December 31, 2017, all debt and preferred equity investments were performing in accordance with the terms of the relevant investments, with the exception of our investment in 2 Herald Square which was purchased in maturity default in May 2017 and April 2017, respectively, for which we subsequently were the successful bidder for the leasehold interest at the foreclosure of the asset as discussed in Note 3, "Property Acquisitions," and a junior mortgage participation acquired in September 2014, which was acquired for zero, had a carrying value of zero and was canceled in 2018.</w:t>
      </w:r>
    </w:p>
    <w:p>
      <w:pPr>
        <w:spacing w:after="0" w:line="6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have determined that we have one portfolio segment of financing receivables at December 31, 2018 and 2017 comprising commercial real estate which is primarily recorded in debt and preferred equity investments. Included in other assets is an additional amount of financing receivables totaling $136.5 million and $93.4 million at December 31, 2018 and 2017, respectively. No financing receivables were 90 days past due at December 31, 2018 with the exception of a $28.4 million financing receivable which was put on nonaccrual in August as a result of interest default. The loan was evaluated in accordance with our loan review procedures and the Company concluded that the fair value of the collateral exceeded the carrying amount of the loan.</w:t>
      </w:r>
    </w:p>
    <w:p>
      <w:pPr>
        <w:spacing w:after="0" w:line="50" w:lineRule="exact"/>
        <w:rPr>
          <w:sz w:val="20"/>
          <w:szCs w:val="20"/>
          <w:color w:val="auto"/>
        </w:rPr>
      </w:pPr>
    </w:p>
    <w:p>
      <w:pPr>
        <w:ind w:right="980" w:firstLine="432"/>
        <w:spacing w:after="0" w:line="375" w:lineRule="auto"/>
        <w:rPr>
          <w:sz w:val="20"/>
          <w:szCs w:val="20"/>
          <w:color w:val="auto"/>
        </w:rPr>
      </w:pPr>
      <w:r>
        <w:rPr>
          <w:rFonts w:ascii="Arial" w:cs="Arial" w:eastAsia="Arial" w:hAnsi="Arial"/>
          <w:sz w:val="18"/>
          <w:szCs w:val="18"/>
          <w:color w:val="auto"/>
        </w:rPr>
        <w:t xml:space="preserve">As of December 31, 2018, Management estimated the weighted average risk rating for our debt and preferred equity investments to be 1.2. </w:t>
      </w:r>
      <w:r>
        <w:rPr>
          <w:rFonts w:ascii="Arial" w:cs="Arial" w:eastAsia="Arial" w:hAnsi="Arial"/>
          <w:sz w:val="18"/>
          <w:szCs w:val="18"/>
          <w:b w:val="1"/>
          <w:bCs w:val="1"/>
          <w:color w:val="auto"/>
        </w:rPr>
        <w:t>Debt Investments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2018 and 2017, we held the following debt investments with an aggregate weighted average current yield of 8.99%,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 2018</w:t>
            </w:r>
          </w:p>
        </w:tc>
        <w:tc>
          <w:tcPr>
            <w:tcW w:w="16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 2018</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Future Funding</w:t>
            </w: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Senior</w:t>
            </w:r>
          </w:p>
        </w:tc>
        <w:tc>
          <w:tcPr>
            <w:tcW w:w="16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7"/>
                <w:szCs w:val="17"/>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Maturity</w:t>
            </w:r>
          </w:p>
        </w:tc>
      </w:tr>
      <w:tr>
        <w:trPr>
          <w:trHeight w:val="243"/>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Loan Type</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Obligations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Financing</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1"/>
                <w:szCs w:val="21"/>
                <w:b w:val="1"/>
                <w:bCs w:val="1"/>
                <w:color w:val="auto"/>
                <w:vertAlign w:val="superscript"/>
              </w:rPr>
              <w:t>(2)</w:t>
            </w: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(3a)</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gridSpan w:val="2"/>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1,160,000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213,185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204,005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2020</w:t>
            </w: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2021</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Pr>
          <w:p>
            <w:pPr>
              <w:spacing w:after="0"/>
              <w:rPr>
                <w:sz w:val="20"/>
                <w:szCs w:val="20"/>
                <w:color w:val="auto"/>
              </w:rPr>
            </w:pPr>
          </w:p>
        </w:tc>
        <w:tc>
          <w:tcPr>
            <w:tcW w:w="1700" w:type="dxa"/>
            <w:vAlign w:val="bottom"/>
            <w:gridSpan w:val="2"/>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147,000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24,932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24,913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2022</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36,585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2022</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Pr>
          <w:p>
            <w:pPr>
              <w:spacing w:after="0"/>
              <w:rPr>
                <w:sz w:val="20"/>
                <w:szCs w:val="20"/>
                <w:color w:val="auto"/>
              </w:rPr>
            </w:pPr>
          </w:p>
        </w:tc>
        <w:tc>
          <w:tcPr>
            <w:tcW w:w="1700" w:type="dxa"/>
            <w:vAlign w:val="bottom"/>
            <w:gridSpan w:val="2"/>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85,097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12,706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12,699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November 2023</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2023</w:t>
            </w: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(3b)</w:t>
            </w:r>
          </w:p>
        </w:tc>
        <w:tc>
          <w:tcPr>
            <w:tcW w:w="160" w:type="dxa"/>
            <w:vAlign w:val="bottom"/>
          </w:tcPr>
          <w:p>
            <w:pPr>
              <w:spacing w:after="0"/>
              <w:rPr>
                <w:sz w:val="23"/>
                <w:szCs w:val="23"/>
                <w:color w:val="auto"/>
              </w:rPr>
            </w:pPr>
          </w:p>
        </w:tc>
        <w:tc>
          <w:tcPr>
            <w:tcW w:w="1700" w:type="dxa"/>
            <w:vAlign w:val="bottom"/>
            <w:gridSpan w:val="2"/>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115,000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12,941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12,932</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June 2024</w:t>
            </w: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2025</w:t>
            </w: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Pr>
          <w:p>
            <w:pPr>
              <w:spacing w:after="0"/>
              <w:rPr>
                <w:sz w:val="20"/>
                <w:szCs w:val="20"/>
                <w:color w:val="auto"/>
              </w:rPr>
            </w:pPr>
          </w:p>
        </w:tc>
        <w:tc>
          <w:tcPr>
            <w:tcW w:w="1700" w:type="dxa"/>
            <w:vAlign w:val="bottom"/>
            <w:gridSpan w:val="2"/>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340,000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11,000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November 2026</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1,712,750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2027</w:t>
            </w: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Mortgage/Jr. Mortgage Loan</w:t>
            </w:r>
            <w:r>
              <w:rPr>
                <w:rFonts w:ascii="Arial" w:cs="Arial" w:eastAsia="Arial" w:hAnsi="Arial"/>
                <w:sz w:val="21"/>
                <w:szCs w:val="21"/>
                <w:color w:val="auto"/>
                <w:vertAlign w:val="superscript"/>
              </w:rPr>
              <w:t>(4)</w:t>
            </w:r>
          </w:p>
        </w:tc>
        <w:tc>
          <w:tcPr>
            <w:tcW w:w="160" w:type="dxa"/>
            <w:vAlign w:val="bottom"/>
          </w:tcPr>
          <w:p>
            <w:pPr>
              <w:spacing w:after="0"/>
              <w:rPr>
                <w:sz w:val="23"/>
                <w:szCs w:val="23"/>
                <w:color w:val="auto"/>
              </w:rPr>
            </w:pPr>
          </w:p>
        </w:tc>
        <w:tc>
          <w:tcPr>
            <w:tcW w:w="1700" w:type="dxa"/>
            <w:vAlign w:val="bottom"/>
            <w:gridSpan w:val="2"/>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250,464</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Loan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ind w:left="12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26,366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Mortgage Loan</w:t>
            </w:r>
            <w:r>
              <w:rPr>
                <w:rFonts w:ascii="Arial" w:cs="Arial" w:eastAsia="Arial" w:hAnsi="Arial"/>
                <w:sz w:val="21"/>
                <w:szCs w:val="21"/>
                <w:color w:val="auto"/>
                <w:vertAlign w:val="superscript"/>
              </w:rPr>
              <w:t>(5)</w:t>
            </w:r>
          </w:p>
        </w:tc>
        <w:tc>
          <w:tcPr>
            <w:tcW w:w="1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ind w:left="1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 2018</w:t>
            </w:r>
          </w:p>
        </w:tc>
        <w:tc>
          <w:tcPr>
            <w:tcW w:w="16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 2018</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Future Funding</w:t>
            </w: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Senior</w:t>
            </w:r>
          </w:p>
        </w:tc>
        <w:tc>
          <w:tcPr>
            <w:tcW w:w="16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2017</w:t>
            </w:r>
          </w:p>
        </w:tc>
        <w:tc>
          <w:tcPr>
            <w:tcW w:w="100" w:type="dxa"/>
            <w:vAlign w:val="bottom"/>
          </w:tcPr>
          <w:p>
            <w:pPr>
              <w:spacing w:after="0"/>
              <w:rPr>
                <w:sz w:val="17"/>
                <w:szCs w:val="17"/>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Loan Type</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Obligations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Financing</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6"/>
              </w:rPr>
              <w:t xml:space="preserve">Carrying Value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fixed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4,129,847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430,099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669,968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Floating Rate Investments:</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45,025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37,499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2019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(3c)(7)</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85,000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15,333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15,381</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2019</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(3d)(7)</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14,822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14,869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2019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(9)</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38,000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21,990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21,939</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March 2019</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(8)</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19,986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19,982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2019</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265,000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24,961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24,830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2019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Mortgage/Jr. Mortgage Participation</w:t>
            </w:r>
          </w:p>
        </w:tc>
        <w:tc>
          <w:tcPr>
            <w:tcW w:w="160" w:type="dxa"/>
            <w:vAlign w:val="bottom"/>
            <w:shd w:val="clear" w:color="auto" w:fill="CCEEFF"/>
          </w:tcPr>
          <w:p>
            <w:pPr>
              <w:spacing w:after="0"/>
              <w:rPr>
                <w:sz w:val="19"/>
                <w:szCs w:val="19"/>
                <w:color w:val="auto"/>
              </w:rPr>
            </w:pPr>
          </w:p>
        </w:tc>
        <w:tc>
          <w:tcPr>
            <w:tcW w:w="15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40,530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233,086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84,012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Loan</w:t>
            </w: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71,832</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2019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(8)(9)</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65,000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14,998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14,955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August 2019</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(8)</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19,999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19,940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2019</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p>
        </w:tc>
        <w:tc>
          <w:tcPr>
            <w:tcW w:w="16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1,027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154,070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143,919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September 2019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34,886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2019</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(10)</w:t>
            </w:r>
          </w:p>
        </w:tc>
        <w:tc>
          <w:tcPr>
            <w:tcW w:w="160" w:type="dxa"/>
            <w:vAlign w:val="bottom"/>
          </w:tcPr>
          <w:p>
            <w:pPr>
              <w:spacing w:after="0"/>
              <w:rPr>
                <w:sz w:val="23"/>
                <w:szCs w:val="23"/>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7,243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62,493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43,845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January 2020</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(10)</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575,955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79,164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75,834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2020</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Mortgage Loan</w:t>
            </w:r>
          </w:p>
        </w:tc>
        <w:tc>
          <w:tcPr>
            <w:tcW w:w="16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11,204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88,501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February 2020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322,300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53,402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2020</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p>
        </w:tc>
        <w:tc>
          <w:tcPr>
            <w:tcW w:w="16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14,860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277,694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April 2020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(8)</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37,094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June 2020</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7,887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38,167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12,627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11,259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July 2020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2020</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16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b w:val="1"/>
                <w:bCs w:val="1"/>
                <w:color w:val="auto"/>
              </w:rPr>
              <w:t>38,575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362,908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88,817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75,428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November 2020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98,804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p>
        </w:tc>
        <w:tc>
          <w:tcPr>
            <w:tcW w:w="16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35,266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35,152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2020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Jr. Mortgage Participation/Mezzanine</w:t>
            </w:r>
          </w:p>
        </w:tc>
        <w:tc>
          <w:tcPr>
            <w:tcW w:w="160" w:type="dxa"/>
            <w:vAlign w:val="bottom"/>
            <w:shd w:val="clear" w:color="auto" w:fill="CCEEFF"/>
          </w:tcPr>
          <w:p>
            <w:pPr>
              <w:spacing w:after="0"/>
              <w:rPr>
                <w:sz w:val="19"/>
                <w:szCs w:val="19"/>
                <w:color w:val="auto"/>
              </w:rPr>
            </w:pPr>
          </w:p>
        </w:tc>
        <w:tc>
          <w:tcPr>
            <w:tcW w:w="17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15,665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Loan</w:t>
            </w:r>
          </w:p>
        </w:tc>
        <w:tc>
          <w:tcPr>
            <w:tcW w:w="1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15,635</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2021</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(9)</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b w:val="1"/>
                <w:bCs w:val="1"/>
                <w:color w:val="auto"/>
              </w:rPr>
              <w:t>38,596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7,305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34,947</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Mortgage/Mezzanine Loan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162,553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 xml:space="preserve">Mortgage/Mezzanine Loan </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74,755</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Mortgage/Mezzanine Loan </w:t>
            </w:r>
            <w:r>
              <w:rPr>
                <w:rFonts w:ascii="Arial" w:cs="Arial" w:eastAsia="Arial" w:hAnsi="Arial"/>
                <w:sz w:val="21"/>
                <w:szCs w:val="21"/>
                <w:color w:val="auto"/>
                <w:vertAlign w:val="superscript"/>
              </w:rPr>
              <w:t>(11)</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16,969</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59,723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37,851</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14,855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(9)</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12,174</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(9)</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10,934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37,250</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15,148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(5)</w:t>
            </w:r>
          </w:p>
        </w:tc>
        <w:tc>
          <w:tcPr>
            <w:tcW w:w="160" w:type="dxa"/>
            <w:vAlign w:val="bottom"/>
          </w:tcPr>
          <w:p>
            <w:pPr>
              <w:spacing w:after="0"/>
              <w:rPr>
                <w:sz w:val="23"/>
                <w:szCs w:val="23"/>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8,550</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(9)</w:t>
            </w:r>
          </w:p>
        </w:tc>
        <w:tc>
          <w:tcPr>
            <w:tcW w:w="16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26,927</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640" w:type="dxa"/>
            <w:vAlign w:val="bottom"/>
            <w:gridSpan w:val="2"/>
          </w:tcPr>
          <w:p>
            <w:pPr>
              <w:ind w:left="180"/>
              <w:spacing w:after="0"/>
              <w:rPr>
                <w:sz w:val="20"/>
                <w:szCs w:val="20"/>
                <w:color w:val="auto"/>
              </w:rPr>
            </w:pPr>
            <w:r>
              <w:rPr>
                <w:rFonts w:ascii="Arial" w:cs="Arial" w:eastAsia="Arial" w:hAnsi="Arial"/>
                <w:sz w:val="16"/>
                <w:szCs w:val="16"/>
                <w:color w:val="auto"/>
              </w:rPr>
              <w:t>Total floating rate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156,293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2,584,037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1,382,837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1,299,650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156,293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6,713,884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1,812,936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1,969,618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Carrying value is net of discounts, premiums, original issue discounts and deferred origination fees.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ectPr>
          <w:pgSz w:w="11900" w:h="16838" w:orient="portrait"/>
          <w:cols w:equalWidth="0" w:num="1">
            <w:col w:w="11420"/>
          </w:cols>
          <w:pgMar w:left="240" w:top="125"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ind w:left="420" w:hanging="412"/>
        <w:spacing w:after="0" w:line="250"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Carrying value is net of the following amounts that were sold or syndicated, which are included in other assets and other liabilities on the consolidated balance sheets as a result of the transfers not meeting the conditions for sale accounting: (a) $1.3 million, (b) $12.0 million, (c) $14.6 million, and (d) $14.1 million.</w:t>
      </w: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These loans were conveyed to SL Green in the form of a distribution in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loan was repaid in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of January 2019, this loan is in maturity default. No impairment was recorded as the Company believes that the fair value of the property exceeded the carrying amount of the loans.</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loan was extended in 2019.</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loan was extended in 2018.</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loan was repaid in 2019.</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loan was modified in 2019.</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loan was sold in 2018.</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Equity Investments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31, 2018 and 2017, we held the following preferred equity investments with an aggregate weighted average current yield of 5.80% at December 31, 2018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2018</w:t>
            </w: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2018</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Future Funding</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Senior</w:t>
            </w: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7"/>
                <w:szCs w:val="17"/>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2017</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6"/>
              </w:rPr>
              <w:t>Mandatory</w:t>
            </w:r>
          </w:p>
        </w:tc>
      </w:tr>
      <w:tr>
        <w:trPr>
          <w:trHeight w:val="243"/>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Obligations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2"/>
              </w:rPr>
              <w:t>Financing</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 xml:space="preserve">Carrying Value </w:t>
            </w:r>
            <w:r>
              <w:rPr>
                <w:rFonts w:ascii="Arial" w:cs="Arial" w:eastAsia="Arial" w:hAnsi="Arial"/>
                <w:sz w:val="21"/>
                <w:szCs w:val="21"/>
                <w:b w:val="1"/>
                <w:bCs w:val="1"/>
                <w:color w:val="auto"/>
                <w:w w:val="98"/>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 xml:space="preserve">Carrying Value </w:t>
            </w:r>
            <w:r>
              <w:rPr>
                <w:rFonts w:ascii="Arial" w:cs="Arial" w:eastAsia="Arial" w:hAnsi="Arial"/>
                <w:sz w:val="21"/>
                <w:szCs w:val="21"/>
                <w:b w:val="1"/>
                <w:bCs w:val="1"/>
                <w:color w:val="auto"/>
                <w:w w:val="98"/>
                <w:vertAlign w:val="superscript"/>
              </w:rPr>
              <w:t>(1)</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Redemption </w:t>
            </w:r>
            <w:r>
              <w:rPr>
                <w:rFonts w:ascii="Arial" w:cs="Arial" w:eastAsia="Arial" w:hAnsi="Arial"/>
                <w:sz w:val="21"/>
                <w:szCs w:val="21"/>
                <w:b w:val="1"/>
                <w:bCs w:val="1"/>
                <w:color w:val="auto"/>
                <w:w w:val="89"/>
                <w:vertAlign w:val="superscript"/>
              </w:rPr>
              <w:t>(2)</w:t>
            </w: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Preferred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143,183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144,423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w w:val="99"/>
              </w:rPr>
              <w:t>April 2021</w:t>
            </w:r>
          </w:p>
        </w:tc>
      </w:tr>
      <w:tr>
        <w:trPr>
          <w:trHeight w:val="217"/>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272,000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143,183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144,423</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Carrying value is net of deferred origination fees.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Joint Ventures</w:t>
      </w:r>
    </w:p>
    <w:p>
      <w:pPr>
        <w:spacing w:after="0" w:line="10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investments in several real estate joint ventures with various partners. As of December 31, 2018 and December 31, 2017 none of our investments in unconsolidated joint ventures were VIEs. All of the investments below are voting interest entities. As we do not control the joint ventures listed below, we account for them under the equity method of accounting.</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provides general information on each of our joint ventures as of December 31, 2018:</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Unaudited</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Acquisition</w:t>
            </w:r>
          </w:p>
        </w:tc>
      </w:tr>
      <w:tr>
        <w:trPr>
          <w:trHeight w:val="203"/>
        </w:trPr>
        <w:tc>
          <w:tcPr>
            <w:tcW w:w="1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40" w:type="dxa"/>
            <w:vAlign w:val="bottom"/>
          </w:tcPr>
          <w:p>
            <w:pPr>
              <w:jc w:val="center"/>
              <w:ind w:left="119"/>
              <w:spacing w:after="0"/>
              <w:rPr>
                <w:sz w:val="20"/>
                <w:szCs w:val="20"/>
                <w:color w:val="auto"/>
              </w:rPr>
            </w:pPr>
            <w:r>
              <w:rPr>
                <w:rFonts w:ascii="Arial" w:cs="Arial" w:eastAsia="Arial" w:hAnsi="Arial"/>
                <w:sz w:val="16"/>
                <w:szCs w:val="16"/>
                <w:b w:val="1"/>
                <w:bCs w:val="1"/>
                <w:color w:val="auto"/>
                <w:w w:val="94"/>
              </w:rPr>
              <w:t>Ownership</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Economic</w:t>
            </w: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Approximate</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center"/>
              <w:ind w:right="99"/>
              <w:spacing w:after="0" w:line="203" w:lineRule="exact"/>
              <w:rPr>
                <w:sz w:val="20"/>
                <w:szCs w:val="20"/>
                <w:color w:val="auto"/>
              </w:rPr>
            </w:pPr>
            <w:r>
              <w:rPr>
                <w:rFonts w:ascii="Arial" w:cs="Arial" w:eastAsia="Arial" w:hAnsi="Arial"/>
                <w:sz w:val="16"/>
                <w:szCs w:val="16"/>
                <w:b w:val="1"/>
                <w:bCs w:val="1"/>
                <w:color w:val="auto"/>
                <w:w w:val="88"/>
              </w:rPr>
              <w:t xml:space="preserve">Price </w:t>
            </w:r>
            <w:r>
              <w:rPr>
                <w:rFonts w:ascii="Arial" w:cs="Arial" w:eastAsia="Arial" w:hAnsi="Arial"/>
                <w:sz w:val="21"/>
                <w:szCs w:val="21"/>
                <w:b w:val="1"/>
                <w:bCs w:val="1"/>
                <w:color w:val="auto"/>
                <w:w w:val="88"/>
                <w:vertAlign w:val="superscript"/>
              </w:rPr>
              <w:t>(2)</w:t>
            </w:r>
          </w:p>
        </w:tc>
      </w:tr>
      <w:tr>
        <w:trPr>
          <w:trHeight w:val="243"/>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238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Partner</w:t>
            </w:r>
          </w:p>
        </w:tc>
        <w:tc>
          <w:tcPr>
            <w:tcW w:w="134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14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Square Feet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Acquisition Date </w:t>
            </w:r>
            <w:r>
              <w:rPr>
                <w:rFonts w:ascii="Arial" w:cs="Arial" w:eastAsia="Arial" w:hAnsi="Arial"/>
                <w:sz w:val="21"/>
                <w:szCs w:val="21"/>
                <w:b w:val="1"/>
                <w:bCs w:val="1"/>
                <w:color w:val="auto"/>
                <w:w w:val="89"/>
                <w:vertAlign w:val="superscript"/>
              </w:rPr>
              <w:t>(2)</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r>
      <w:tr>
        <w:trPr>
          <w:trHeight w:val="213"/>
        </w:trPr>
        <w:tc>
          <w:tcPr>
            <w:tcW w:w="1900" w:type="dxa"/>
            <w:vAlign w:val="bottom"/>
            <w:shd w:val="clear" w:color="auto" w:fill="CCEEFF"/>
          </w:tcPr>
          <w:p>
            <w:pPr>
              <w:spacing w:after="0"/>
              <w:rPr>
                <w:sz w:val="18"/>
                <w:szCs w:val="18"/>
                <w:color w:val="auto"/>
              </w:rPr>
            </w:pPr>
          </w:p>
        </w:tc>
        <w:tc>
          <w:tcPr>
            <w:tcW w:w="2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New York State Teacher's</w:t>
            </w: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9"/>
        </w:trPr>
        <w:tc>
          <w:tcPr>
            <w:tcW w:w="19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919 Third Avenue</w:t>
            </w:r>
            <w:r>
              <w:rPr>
                <w:rFonts w:ascii="Arial" w:cs="Arial" w:eastAsia="Arial" w:hAnsi="Arial"/>
                <w:sz w:val="21"/>
                <w:szCs w:val="21"/>
                <w:color w:val="auto"/>
                <w:vertAlign w:val="superscript"/>
              </w:rPr>
              <w:t>(3)</w:t>
            </w:r>
          </w:p>
        </w:tc>
        <w:tc>
          <w:tcPr>
            <w:tcW w:w="23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Retirement System</w:t>
            </w:r>
          </w:p>
        </w:tc>
        <w:tc>
          <w:tcPr>
            <w:tcW w:w="13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2"/>
              </w:rPr>
              <w:t>51.00%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51.00%</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1,454,000</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2007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1,256,727</w:t>
            </w:r>
          </w:p>
        </w:tc>
      </w:tr>
      <w:tr>
        <w:trPr>
          <w:trHeight w:val="298"/>
        </w:trPr>
        <w:tc>
          <w:tcPr>
            <w:tcW w:w="1900" w:type="dxa"/>
            <w:vAlign w:val="bottom"/>
          </w:tcPr>
          <w:p>
            <w:pPr>
              <w:ind w:left="40"/>
              <w:spacing w:after="0"/>
              <w:rPr>
                <w:sz w:val="20"/>
                <w:szCs w:val="20"/>
                <w:color w:val="auto"/>
              </w:rPr>
            </w:pPr>
            <w:r>
              <w:rPr>
                <w:rFonts w:ascii="Arial" w:cs="Arial" w:eastAsia="Arial" w:hAnsi="Arial"/>
                <w:sz w:val="16"/>
                <w:szCs w:val="16"/>
                <w:color w:val="auto"/>
              </w:rPr>
              <w:t>131-137 Spring Street</w:t>
            </w:r>
            <w:r>
              <w:rPr>
                <w:rFonts w:ascii="Arial" w:cs="Arial" w:eastAsia="Arial" w:hAnsi="Arial"/>
                <w:sz w:val="21"/>
                <w:szCs w:val="21"/>
                <w:color w:val="auto"/>
                <w:vertAlign w:val="superscript"/>
              </w:rPr>
              <w:t>(4)</w:t>
            </w:r>
          </w:p>
        </w:tc>
        <w:tc>
          <w:tcPr>
            <w:tcW w:w="2380" w:type="dxa"/>
            <w:vAlign w:val="bottom"/>
          </w:tcPr>
          <w:p>
            <w:pPr>
              <w:ind w:left="300"/>
              <w:spacing w:after="0"/>
              <w:rPr>
                <w:sz w:val="20"/>
                <w:szCs w:val="20"/>
                <w:color w:val="auto"/>
              </w:rPr>
            </w:pPr>
            <w:r>
              <w:rPr>
                <w:rFonts w:ascii="Arial" w:cs="Arial" w:eastAsia="Arial" w:hAnsi="Arial"/>
                <w:sz w:val="16"/>
                <w:szCs w:val="16"/>
                <w:color w:val="auto"/>
              </w:rPr>
              <w:t>Invesco Real Estate</w:t>
            </w:r>
          </w:p>
        </w:tc>
        <w:tc>
          <w:tcPr>
            <w:tcW w:w="1340" w:type="dxa"/>
            <w:vAlign w:val="bottom"/>
          </w:tcPr>
          <w:p>
            <w:pPr>
              <w:jc w:val="center"/>
              <w:ind w:left="119"/>
              <w:spacing w:after="0"/>
              <w:rPr>
                <w:sz w:val="20"/>
                <w:szCs w:val="20"/>
                <w:color w:val="auto"/>
              </w:rPr>
            </w:pPr>
            <w:r>
              <w:rPr>
                <w:rFonts w:ascii="Arial" w:cs="Arial" w:eastAsia="Arial" w:hAnsi="Arial"/>
                <w:sz w:val="16"/>
                <w:szCs w:val="16"/>
                <w:color w:val="auto"/>
                <w:w w:val="92"/>
              </w:rPr>
              <w:t>20.00%</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20.00%</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68,342</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August 2015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277,750</w:t>
            </w:r>
          </w:p>
        </w:tc>
      </w:tr>
    </w:tbl>
    <w:p>
      <w:pPr>
        <w:spacing w:after="0" w:line="102" w:lineRule="exact"/>
        <w:rPr>
          <w:sz w:val="20"/>
          <w:szCs w:val="20"/>
          <w:color w:val="auto"/>
        </w:rPr>
      </w:pPr>
    </w:p>
    <w:p>
      <w:pPr>
        <w:ind w:left="420" w:hanging="412"/>
        <w:spacing w:after="0" w:line="250"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Ownership interest and economic interest represent the Company's interests in the joint venture as of December 31, 2018. Changes in ownership or economic interests within the current year are disclosed in the notes below.</w:t>
      </w:r>
    </w:p>
    <w:p>
      <w:pPr>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Acquisition date and price represent the date on which the Company initially acquired an interest in the joint venture and the actual or implied gross purchase price for the joint venture on that date. Acquisition date and price are not adjusted for subsequent acquisitions or dispositions of interest.</w:t>
      </w:r>
    </w:p>
    <w:p>
      <w:pPr>
        <w:jc w:val="both"/>
        <w:ind w:left="420" w:hanging="412"/>
        <w:spacing w:after="0" w:line="241"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January 2018, the partnership agreement for our investment was modified resulting in the Company no longer having a controlling interest in this investment. As a result the investment was deconsolidated as of January 1, 2018. The Company recorded its non-controlling interest at fair value resulting in a $54.9 million fair value adjustment in the consolidated statement of operations. This fair value was allocated to the assets and liabilities, including identified intangibles of the property.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January 2019, we closed on the sale of our interest in this property to our joint venture partner. The transaction generated net cash proceeds to the Company of $15.2 million.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Development and Construction Arrangements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Based on the characteristics of the following arrangements, which are similar to those of an investment, combined with the expected residual profit of not greater than 50%, we have accounted for these debt and preferred equity investments under the equity method. As of December 31, 2018 and 2017, the carrying value for acquisition, development and construction arrangements were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gridSpan w:val="2"/>
          </w:tcPr>
          <w:p>
            <w:pPr>
              <w:ind w:left="40"/>
              <w:spacing w:after="0"/>
              <w:rPr>
                <w:sz w:val="20"/>
                <w:szCs w:val="20"/>
                <w:color w:val="auto"/>
              </w:rPr>
            </w:pPr>
            <w:r>
              <w:rPr>
                <w:rFonts w:ascii="Arial" w:cs="Arial" w:eastAsia="Arial" w:hAnsi="Arial"/>
                <w:sz w:val="16"/>
                <w:szCs w:val="16"/>
                <w:b w:val="1"/>
                <w:bCs w:val="1"/>
                <w:color w:val="auto"/>
              </w:rPr>
              <w:t>Loan Type</w:t>
            </w:r>
          </w:p>
        </w:tc>
        <w:tc>
          <w:tcPr>
            <w:tcW w:w="30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2017</w:t>
            </w:r>
          </w:p>
        </w:tc>
        <w:tc>
          <w:tcPr>
            <w:tcW w:w="100" w:type="dxa"/>
            <w:vAlign w:val="bottom"/>
          </w:tcPr>
          <w:p>
            <w:pPr>
              <w:spacing w:after="0"/>
              <w:rPr>
                <w:sz w:val="18"/>
                <w:szCs w:val="18"/>
                <w:color w:val="auto"/>
              </w:rPr>
            </w:pPr>
          </w:p>
        </w:tc>
        <w:tc>
          <w:tcPr>
            <w:tcW w:w="2280" w:type="dxa"/>
            <w:vAlign w:val="bottom"/>
          </w:tcPr>
          <w:p>
            <w:pPr>
              <w:ind w:left="640"/>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4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64"/>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Mezzanine Loan and Preferred Equity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100" w:type="dxa"/>
            <w:vAlign w:val="bottom"/>
            <w:gridSpan w:val="2"/>
            <w:shd w:val="clear" w:color="auto" w:fill="CCEEFF"/>
          </w:tcPr>
          <w:p>
            <w:pPr>
              <w:ind w:left="170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70"/>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Mezzanine Loan </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ind w:left="17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26,716</w:t>
            </w:r>
          </w:p>
        </w:tc>
        <w:tc>
          <w:tcPr>
            <w:tcW w:w="100" w:type="dxa"/>
            <w:vAlign w:val="bottom"/>
            <w:tcBorders>
              <w:bottom w:val="single" w:sz="8" w:color="CCEEFF"/>
            </w:tcBorders>
          </w:tcPr>
          <w:p>
            <w:pPr>
              <w:spacing w:after="0"/>
              <w:rPr>
                <w:sz w:val="23"/>
                <w:szCs w:val="23"/>
                <w:color w:val="auto"/>
              </w:rPr>
            </w:pPr>
          </w:p>
        </w:tc>
        <w:tc>
          <w:tcPr>
            <w:tcW w:w="2280" w:type="dxa"/>
            <w:vAlign w:val="bottom"/>
            <w:tcBorders>
              <w:bottom w:val="single" w:sz="8" w:color="CCEEFF"/>
            </w:tcBorders>
          </w:tcPr>
          <w:p>
            <w:pPr>
              <w:spacing w:after="0"/>
              <w:rPr>
                <w:sz w:val="23"/>
                <w:szCs w:val="23"/>
                <w:color w:val="auto"/>
              </w:rPr>
            </w:pPr>
          </w:p>
        </w:tc>
      </w:tr>
      <w:tr>
        <w:trPr>
          <w:trHeight w:val="255"/>
        </w:trPr>
        <w:tc>
          <w:tcPr>
            <w:tcW w:w="4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10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126,716</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mezzanine loan was repaid and the preferred equity interest was redeemed in March 2018.</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was redeemed on this investment in July 2018.</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Joint Venture Interests or Properties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investments in unconsolidated joint ventures sold during the years ended December 31, 2018, 2017, and 2016:</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(Loss) Gain</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 Asset Valuation</w:t>
            </w:r>
          </w:p>
        </w:tc>
        <w:tc>
          <w:tcPr>
            <w:tcW w:w="200" w:type="dxa"/>
            <w:vAlign w:val="bottom"/>
          </w:tcPr>
          <w:p>
            <w:pPr>
              <w:spacing w:after="0"/>
              <w:rPr>
                <w:sz w:val="17"/>
                <w:szCs w:val="17"/>
                <w:color w:val="auto"/>
              </w:rPr>
            </w:pP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on Sale</w:t>
            </w:r>
          </w:p>
        </w:tc>
      </w:tr>
      <w:tr>
        <w:trPr>
          <w:trHeight w:val="243"/>
        </w:trPr>
        <w:tc>
          <w:tcPr>
            <w:tcW w:w="262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Property</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Disposition Date</w:t>
            </w:r>
          </w:p>
        </w:tc>
        <w:tc>
          <w:tcPr>
            <w:tcW w:w="12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Type of Sale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 thousands)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6"/>
              </w:rPr>
              <w:t>(in thousands)</w:t>
            </w:r>
            <w:r>
              <w:rPr>
                <w:rFonts w:ascii="Arial" w:cs="Arial" w:eastAsia="Arial" w:hAnsi="Arial"/>
                <w:sz w:val="21"/>
                <w:szCs w:val="21"/>
                <w:b w:val="1"/>
                <w:bCs w:val="1"/>
                <w:color w:val="auto"/>
                <w:w w:val="86"/>
                <w:vertAlign w:val="superscript"/>
              </w:rPr>
              <w:t>(2)</w:t>
            </w:r>
          </w:p>
        </w:tc>
      </w:tr>
      <w:tr>
        <w:trPr>
          <w:trHeight w:val="250"/>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 Herald Square</w:t>
            </w:r>
            <w:r>
              <w:rPr>
                <w:rFonts w:ascii="Arial" w:cs="Arial" w:eastAsia="Arial" w:hAnsi="Arial"/>
                <w:sz w:val="21"/>
                <w:szCs w:val="21"/>
                <w:color w:val="auto"/>
                <w:vertAlign w:val="superscript"/>
              </w:rPr>
              <w:t>(3)</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49.00%</w:t>
            </w:r>
          </w:p>
        </w:tc>
        <w:tc>
          <w:tcPr>
            <w:tcW w:w="1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November 2018</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Ownership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70"/>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(4)</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33.33%</w:t>
            </w:r>
          </w:p>
        </w:tc>
        <w:tc>
          <w:tcPr>
            <w:tcW w:w="120" w:type="dxa"/>
            <w:vAlign w:val="bottom"/>
          </w:tcPr>
          <w:p>
            <w:pPr>
              <w:spacing w:after="0"/>
              <w:rPr>
                <w:sz w:val="23"/>
                <w:szCs w:val="23"/>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August 2018</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Repayment</w:t>
            </w:r>
          </w:p>
        </w:tc>
        <w:tc>
          <w:tcPr>
            <w:tcW w:w="140" w:type="dxa"/>
            <w:vAlign w:val="bottom"/>
          </w:tcPr>
          <w:p>
            <w:pPr>
              <w:spacing w:after="0"/>
              <w:rPr>
                <w:sz w:val="23"/>
                <w:szCs w:val="23"/>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N/A</w:t>
            </w: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102 Greene Street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September 2017</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Ownership Interest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r>
      <w:tr>
        <w:trPr>
          <w:trHeight w:val="311"/>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76 11th Avenue</w:t>
            </w:r>
            <w:r>
              <w:rPr>
                <w:rFonts w:ascii="Arial" w:cs="Arial" w:eastAsia="Arial" w:hAnsi="Arial"/>
                <w:sz w:val="21"/>
                <w:szCs w:val="21"/>
                <w:color w:val="auto"/>
                <w:vertAlign w:val="superscript"/>
              </w:rPr>
              <w:t>(5)</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33.33%</w:t>
            </w:r>
          </w:p>
        </w:tc>
        <w:tc>
          <w:tcPr>
            <w:tcW w:w="120" w:type="dxa"/>
            <w:vAlign w:val="bottom"/>
          </w:tcPr>
          <w:p>
            <w:pPr>
              <w:spacing w:after="0"/>
              <w:rPr>
                <w:sz w:val="24"/>
                <w:szCs w:val="2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2017</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Repayment</w:t>
            </w:r>
          </w:p>
        </w:tc>
        <w:tc>
          <w:tcPr>
            <w:tcW w:w="140" w:type="dxa"/>
            <w:vAlign w:val="bottom"/>
          </w:tcPr>
          <w:p>
            <w:pPr>
              <w:spacing w:after="0"/>
              <w:rPr>
                <w:sz w:val="24"/>
                <w:szCs w:val="24"/>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138,240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N/A</w:t>
            </w:r>
          </w:p>
        </w:tc>
      </w:tr>
    </w:tbl>
    <w:p>
      <w:pPr>
        <w:spacing w:after="0" w:line="48"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implied gross valuation for the joint venture or sales price of the property.</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Company's share of the gain.</w:t>
      </w:r>
    </w:p>
    <w:p>
      <w:pPr>
        <w:spacing w:after="0" w:line="1" w:lineRule="exact"/>
        <w:rPr>
          <w:rFonts w:ascii="Arial" w:cs="Arial" w:eastAsia="Arial" w:hAnsi="Arial"/>
          <w:sz w:val="14"/>
          <w:szCs w:val="14"/>
          <w:color w:val="auto"/>
        </w:rPr>
      </w:pPr>
    </w:p>
    <w:p>
      <w:pPr>
        <w:ind w:left="420" w:right="20" w:hanging="412"/>
        <w:spacing w:after="0" w:line="241"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May 2018, SL Green assigned the Company a 49.0% tenancy-in-common interest in the leasehold interest in 2 Herald Square and in November 2018, we closed on the sale of this investment.</w:t>
      </w:r>
    </w:p>
    <w:p>
      <w:pPr>
        <w:ind w:left="420" w:hanging="412"/>
        <w:spacing w:after="0" w:line="241"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August 2018, our investment in a joint venture that owned a mezzanine loan secured by a commercial property in midtown Manhattan was repaid after the joint venture received repayment of the underlying loan.</w:t>
      </w:r>
    </w:p>
    <w:p>
      <w:pPr>
        <w:ind w:left="420" w:hanging="412"/>
        <w:spacing w:after="0" w:line="255"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May 2017, our investment in a joint venture that owned two mezzanine notes secured by interests in the entity that owns 76 11th Avenue was repaid after the joint venture received repayment of the underlying loans.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Mortgages and Other Loans Payable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generally finance our joint ventures with non-recourse debt. In certain cases we may provide guarantees or master leases for tenant space, which terminate upon the satisfaction of specified circumstances or repayment of the underlying loans. The first mortgage notes and other loans payable collateralized by the respective joint venture properties and assignment of leases at December 31, 2018 and 2017, respectively, are as follows (amounts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Economic</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ind w:left="320"/>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4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0"/>
              </w:rPr>
              <w:t>December 31, 2018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0"/>
              </w:rPr>
              <w:t>December 31, 2017</w:t>
            </w: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Debt: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919 Third Avenue</w:t>
            </w:r>
          </w:p>
        </w:tc>
        <w:tc>
          <w:tcPr>
            <w:tcW w:w="1060" w:type="dxa"/>
            <w:vAlign w:val="bottom"/>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2023</w:t>
            </w:r>
          </w:p>
        </w:tc>
        <w:tc>
          <w:tcPr>
            <w:tcW w:w="5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rPr>
              <w:t>500,000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Debt: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70"/>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131-137 Spring Street </w:t>
            </w:r>
            <w:r>
              <w:rPr>
                <w:rFonts w:ascii="Arial" w:cs="Arial" w:eastAsia="Arial" w:hAnsi="Arial"/>
                <w:sz w:val="21"/>
                <w:szCs w:val="21"/>
                <w:color w:val="auto"/>
                <w:vertAlign w:val="superscript"/>
              </w:rPr>
              <w:t>(3)</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August 2020</w:t>
            </w:r>
          </w:p>
        </w:tc>
        <w:tc>
          <w:tcPr>
            <w:tcW w:w="5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141,000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141,000</w:t>
            </w:r>
          </w:p>
        </w:tc>
      </w:tr>
      <w:tr>
        <w:trPr>
          <w:trHeight w:val="23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joint venture mortgages and other loans payable</w:t>
            </w: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641,000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141,000</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Deferred financing costs,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(1,754)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(2,862)</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8"/>
              </w:rPr>
              <w:t>Total joint venture mortgages and other loans payable, net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639,246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138,138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20" w:right="20" w:hanging="412"/>
        <w:spacing w:after="0" w:line="250" w:lineRule="auto"/>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Economic interest represents the Company's interests in the joint venture as of December 31, 2018. Changes in ownership or economic interests, if any, within the current year are disclosed in the notes to the investment in unconsolidated joint ventures table above.</w:t>
      </w: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Interest rates as of December 31, 2018. Floating rate debt is presented with the stated interest rate spread over 30-day LIBOR, unless otherwise specified.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January 2019, we closed on the sale of our interest in this property to our joint venture partner.</w:t>
      </w:r>
    </w:p>
    <w:p>
      <w:pPr>
        <w:sectPr>
          <w:pgSz w:w="11900" w:h="16838" w:orient="portrait"/>
          <w:cols w:equalWidth="0" w:num="1">
            <w:col w:w="11420"/>
          </w:cols>
          <w:pgMar w:left="240" w:top="125"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combined balance sheets for the unconsolidated joint ventures, at December 31, 2018 and 2017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Commercial real estate property,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1,802,698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273,116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preferred equity investments, net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141,716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479,005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15,735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2,281,703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430,567</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Liabilities and members' equity</w:t>
            </w: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Mortgages and other loans payable,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639,246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138,138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608,469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18,908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1,033,988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273,521</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 and members'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2,281,703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430,567</w:t>
            </w:r>
          </w:p>
        </w:tc>
        <w:tc>
          <w:tcPr>
            <w:tcW w:w="0" w:type="dxa"/>
            <w:vAlign w:val="bottom"/>
          </w:tcPr>
          <w:p>
            <w:pPr>
              <w:spacing w:after="0"/>
              <w:rPr>
                <w:sz w:val="1"/>
                <w:szCs w:val="1"/>
                <w:color w:val="auto"/>
              </w:rPr>
            </w:pPr>
          </w:p>
        </w:tc>
      </w:tr>
      <w:tr>
        <w:trPr>
          <w:trHeight w:val="211"/>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Company's investments in unconsolidated joint ventures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339,302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130,217</w:t>
            </w:r>
          </w:p>
        </w:tc>
        <w:tc>
          <w:tcPr>
            <w:tcW w:w="0" w:type="dxa"/>
            <w:vAlign w:val="bottom"/>
          </w:tcPr>
          <w:p>
            <w:pPr>
              <w:spacing w:after="0"/>
              <w:rPr>
                <w:sz w:val="1"/>
                <w:szCs w:val="1"/>
                <w:color w:val="auto"/>
              </w:rPr>
            </w:pPr>
          </w:p>
        </w:tc>
      </w:tr>
      <w:tr>
        <w:trPr>
          <w:trHeight w:val="33"/>
        </w:trPr>
        <w:tc>
          <w:tcPr>
            <w:tcW w:w="7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line="273"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combined assets, liabilities and equity for the unconsolidated joint ventures reflects the effect of step ups in basis on the retained non-controlling interests in deconsolidated investments as a result of the adoption of ASC 610-20 in January 2018.</w:t>
      </w:r>
    </w:p>
    <w:p>
      <w:pPr>
        <w:spacing w:after="0" w:line="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combined statements of operations for the unconsolidated joint ventures for the years ended December 31, 2018, 2017, and 2016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6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147,411</w:t>
            </w:r>
          </w:p>
        </w:tc>
        <w:tc>
          <w:tcPr>
            <w:tcW w:w="5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38,524</w:t>
            </w:r>
          </w:p>
        </w:tc>
      </w:tr>
      <w:tr>
        <w:trPr>
          <w:trHeight w:val="217"/>
        </w:trPr>
        <w:tc>
          <w:tcPr>
            <w:tcW w:w="6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24,977</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1,238</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taxes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30,462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Ground rent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1,851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2,895</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1,108</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50,468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8,404</w:t>
            </w:r>
          </w:p>
        </w:tc>
      </w:tr>
      <w:tr>
        <w:trPr>
          <w:trHeight w:val="217"/>
        </w:trPr>
        <w:tc>
          <w:tcPr>
            <w:tcW w:w="662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141,715</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15,554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14,837</w:t>
            </w:r>
          </w:p>
        </w:tc>
      </w:tr>
      <w:tr>
        <w:trPr>
          <w:trHeight w:val="33"/>
        </w:trPr>
        <w:tc>
          <w:tcPr>
            <w:tcW w:w="6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5,696</w:t>
            </w:r>
          </w:p>
        </w:tc>
        <w:tc>
          <w:tcPr>
            <w:tcW w:w="5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19,650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23,687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620" w:type="dxa"/>
            <w:vAlign w:val="bottom"/>
          </w:tcPr>
          <w:p>
            <w:pPr>
              <w:ind w:left="40"/>
              <w:spacing w:after="0"/>
              <w:rPr>
                <w:sz w:val="20"/>
                <w:szCs w:val="20"/>
                <w:color w:val="auto"/>
              </w:rPr>
            </w:pPr>
            <w:r>
              <w:rPr>
                <w:rFonts w:ascii="Arial" w:cs="Arial" w:eastAsia="Arial" w:hAnsi="Arial"/>
                <w:sz w:val="16"/>
                <w:szCs w:val="16"/>
                <w:color w:val="auto"/>
              </w:rPr>
              <w:t>Company's equity in net income from unconsolidated joint ventures</w:t>
            </w:r>
          </w:p>
        </w:tc>
        <w:tc>
          <w:tcPr>
            <w:tcW w:w="960" w:type="dxa"/>
            <w:vAlign w:val="bottom"/>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4,198</w:t>
            </w:r>
          </w:p>
        </w:tc>
        <w:tc>
          <w:tcPr>
            <w:tcW w:w="5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14,192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14,509</w:t>
            </w:r>
          </w:p>
        </w:tc>
      </w:tr>
    </w:tbl>
    <w:p>
      <w:pPr>
        <w:spacing w:after="0" w:line="122" w:lineRule="exact"/>
        <w:rPr>
          <w:sz w:val="20"/>
          <w:szCs w:val="20"/>
          <w:color w:val="auto"/>
        </w:rPr>
      </w:pPr>
    </w:p>
    <w:p>
      <w:pPr>
        <w:ind w:left="420" w:hanging="412"/>
        <w:spacing w:after="0" w:line="273"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combined statements of operations and the Company's equity in net income for the unconsolidated joint ventures reflects the effect of step ups in basis on the retained non-controlling interests in deconsolidated investments as a result of the adoption of ASC 610-20 in January 2018.</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Mortgages and Other Loans Payable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first mortgages and other loans payable collateralized by the respective properties and assignment of leases or debt investments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 respectively, were as follows (amounts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Pr>
          <w:p>
            <w:pPr>
              <w:spacing w:after="0"/>
              <w:rPr>
                <w:sz w:val="21"/>
                <w:szCs w:val="2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 xml:space="preserve">Interest Rate </w:t>
            </w:r>
            <w:r>
              <w:rPr>
                <w:rFonts w:ascii="Arial" w:cs="Arial" w:eastAsia="Arial" w:hAnsi="Arial"/>
                <w:sz w:val="21"/>
                <w:szCs w:val="21"/>
                <w:b w:val="1"/>
                <w:bCs w:val="1"/>
                <w:color w:val="auto"/>
                <w:w w:val="92"/>
                <w:vertAlign w:val="superscript"/>
              </w:rPr>
              <w:t>(1)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December 31, 2018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December 31, 2017</w:t>
            </w:r>
          </w:p>
        </w:tc>
      </w:tr>
      <w:tr>
        <w:trPr>
          <w:trHeight w:val="231"/>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Fixed Rate Debt: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315 West 33rd Street</w:t>
            </w: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2027</w:t>
            </w: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7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 xml:space="preserve">919 Third Avenue </w:t>
            </w:r>
            <w:r>
              <w:rPr>
                <w:rFonts w:ascii="Arial" w:cs="Arial" w:eastAsia="Arial" w:hAnsi="Arial"/>
                <w:sz w:val="21"/>
                <w:szCs w:val="21"/>
                <w:color w:val="auto"/>
                <w:vertAlign w:val="superscript"/>
              </w:rPr>
              <w:t>(2)</w:t>
            </w: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500,000</w:t>
            </w: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Debt: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2017 Master Repurchase Agreement</w:t>
            </w: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June 2019</w:t>
            </w:r>
          </w:p>
        </w:tc>
        <w:tc>
          <w:tcPr>
            <w:tcW w:w="520" w:type="dxa"/>
            <w:vAlign w:val="bottom"/>
          </w:tcPr>
          <w:p>
            <w:pPr>
              <w:ind w:left="240"/>
              <w:spacing w:after="0"/>
              <w:rPr>
                <w:sz w:val="20"/>
                <w:szCs w:val="20"/>
                <w:color w:val="auto"/>
              </w:rPr>
            </w:pPr>
            <w:r>
              <w:rPr>
                <w:rFonts w:ascii="Arial" w:cs="Arial" w:eastAsia="Arial" w:hAnsi="Arial"/>
                <w:sz w:val="16"/>
                <w:szCs w:val="16"/>
                <w:color w:val="auto"/>
              </w:rPr>
              <w:t>L+</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300,000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90,809</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115 Spring Street</w:t>
            </w: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2023</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65,550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Total mortgages and other loans payable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615,550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840,809</w:t>
            </w: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financing costs, net of amortization</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(11,161)</w:t>
            </w:r>
          </w:p>
        </w:tc>
      </w:tr>
      <w:tr>
        <w:trPr>
          <w:trHeight w:val="244"/>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Total mortgages and other loans payable, net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607,569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829,648</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rate as of December 31, 2018. Floating rate debt is presented with the stated interest rate spread over 30-day LIBOR, unless otherwise specified.</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investment in the property was deconsolidated as of January 1, 2018. See Note 6, "Investments in Unconsolidated Joint Ventures".</w:t>
      </w:r>
    </w:p>
    <w:p>
      <w:pPr>
        <w:spacing w:after="0" w:line="10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At December 31, 2018 and December 31, 2017, the gross book value of the properties and debt and preferred equity investments collateralizing the mortgages and other loans payable, not including assets held for sale, was approximately $1.0 billion and $1.9 billion, respectively. At December 31, 2018, the Company held $20.0 million of debt and preferred equity investments collateralizing mortgages and other loans payable by SL Green.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Repurchase Agreements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has entered into two Master Repurchase Agreements, or MRAs, known as the 2016 MRA and 2017 MRA, which provide us with the ability to sell certain debt investments with a simultaneous agreement to repurchase the same at a certain date or on demand. We seek to mitigate risks associated with our repurchase agreement by managing the credit quality of our assets, early repayments, interest rate volatility, liquidity, and market value. The margin call provisions under our repurchase facilities permit valuation adjustments based on capital markets activity, and are not limited to collateral-specific credit marks. To monitor credit risk associated with our debt investments, our asset management team regularly reviews our investment portfolio and is in contact with our borrowers in order to monitor the collateral and enforce our rights as necessary. The risk associated with potential margin calls is further mitigated by our ability to recollateralize the facility with additional assets from our portfolio of debt investments and our ability to satisfy margin calls with cash or cash equivalents.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2017, we entered into the 2017 MRA, with a maximum facility capacity of $300.0 million. In April 2018, we increased the maximum facility capacity to $400.0 million. The facility bears interest on a floating rate basis at a spread to 30-day LIBOR based on the pledged collateral and advance rate and has an initial one year term, with two one year extension options. In June 2018, we exercised a one-year extension option. At December 31, 2018, the facility had a carrying value of $299.6 million, net of deferred financing costs.</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July 2016, we entered into a restated 2016 MRA, with a maximum facility capacity of $300.0 million. In June 2018, we terminated the restated 2016 MRA. The facility bore interest ranging from 225 and 400 basis points over 30-day LIBOR depending on the pledged collateral and had an initial two-year term, with a one year extension option. Since December 6, 2015, we had been required to pay monthly in arrears a 25 basis point fee on the excess of $150.0 million over the average daily balance during the period when the average daily balance was less than $150.0 million.</w:t>
      </w:r>
    </w:p>
    <w:p>
      <w:pPr>
        <w:spacing w:after="0" w:line="59" w:lineRule="exact"/>
        <w:rPr>
          <w:sz w:val="20"/>
          <w:szCs w:val="20"/>
          <w:color w:val="auto"/>
        </w:rPr>
      </w:pPr>
    </w:p>
    <w:p>
      <w:pPr>
        <w:ind w:right="9380" w:firstLine="8"/>
        <w:spacing w:after="0" w:line="425" w:lineRule="auto"/>
        <w:tabs>
          <w:tab w:leader="none" w:pos="1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Indebtedness 2017 Credit Facility</w:t>
      </w:r>
    </w:p>
    <w:p>
      <w:pPr>
        <w:spacing w:after="0" w:line="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2017, the Company, SL Green and the Operating Partnership entered into an amendment to the credit facility, referred to as the 2017 credit facility, that was originally entered into in November 2012, or the 2012 credit facility. The amendment resulted in the Company no longer being a borrower, and instead provided a guarantee of the facility. The 2012 credit facility had a carrying value of $1.2 billion, net of deferred financing costs, as of the amendment date and was removed from our consolidated balance sheet and shown as a non-cash capital contribution. In December 2018, the Company was removed as a guarantor on the facility.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sets forth our senior unsecured notes and other related disclosures as of December 31, 2018 and 2017, respectively, by scheduled maturity date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Unpaid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Principal</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Accreted</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Accreted</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Coupon</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Initial Term</w:t>
            </w:r>
          </w:p>
        </w:tc>
        <w:tc>
          <w:tcPr>
            <w:tcW w:w="1480" w:type="dxa"/>
            <w:vAlign w:val="bottom"/>
          </w:tcPr>
          <w:p>
            <w:pPr>
              <w:spacing w:after="0"/>
              <w:rPr>
                <w:sz w:val="17"/>
                <w:szCs w:val="17"/>
                <w:color w:val="auto"/>
              </w:rPr>
            </w:pPr>
          </w:p>
        </w:tc>
      </w:tr>
      <w:tr>
        <w:trPr>
          <w:trHeight w:val="210"/>
        </w:trPr>
        <w:tc>
          <w:tcPr>
            <w:tcW w:w="3440" w:type="dxa"/>
            <w:vAlign w:val="bottom"/>
            <w:gridSpan w:val="2"/>
          </w:tcPr>
          <w:p>
            <w:pPr>
              <w:ind w:left="40"/>
              <w:spacing w:after="0"/>
              <w:rPr>
                <w:sz w:val="20"/>
                <w:szCs w:val="20"/>
                <w:color w:val="auto"/>
              </w:rPr>
            </w:pPr>
            <w:r>
              <w:rPr>
                <w:rFonts w:ascii="Arial" w:cs="Arial" w:eastAsia="Arial" w:hAnsi="Arial"/>
                <w:sz w:val="16"/>
                <w:szCs w:val="16"/>
                <w:b w:val="1"/>
                <w:bCs w:val="1"/>
                <w:color w:val="auto"/>
              </w:rPr>
              <w:t>Issuance</w:t>
            </w:r>
          </w:p>
        </w:tc>
        <w:tc>
          <w:tcPr>
            <w:tcW w:w="1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Years)</w:t>
            </w:r>
          </w:p>
        </w:tc>
        <w:tc>
          <w:tcPr>
            <w:tcW w:w="1480" w:type="dxa"/>
            <w:vAlign w:val="bottom"/>
          </w:tcPr>
          <w:p>
            <w:pPr>
              <w:ind w:left="240"/>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March 16, 2010 </w:t>
            </w:r>
            <w:r>
              <w:rPr>
                <w:rFonts w:ascii="Arial" w:cs="Arial" w:eastAsia="Arial" w:hAnsi="Arial"/>
                <w:sz w:val="21"/>
                <w:szCs w:val="21"/>
                <w:color w:val="auto"/>
                <w:vertAlign w:val="superscript"/>
              </w:rPr>
              <w:t>(1) (4)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 xml:space="preserve">November 15, 2012 </w:t>
            </w:r>
            <w:r>
              <w:rPr>
                <w:rFonts w:ascii="Arial" w:cs="Arial" w:eastAsia="Arial" w:hAnsi="Arial"/>
                <w:sz w:val="21"/>
                <w:szCs w:val="21"/>
                <w:color w:val="auto"/>
                <w:vertAlign w:val="superscript"/>
              </w:rPr>
              <w:t>(2) (4)</w:t>
            </w:r>
          </w:p>
        </w:tc>
        <w:tc>
          <w:tcPr>
            <w:tcW w:w="160" w:type="dxa"/>
            <w:vAlign w:val="bottom"/>
          </w:tcPr>
          <w:p>
            <w:pPr>
              <w:spacing w:after="0"/>
              <w:rPr>
                <w:sz w:val="23"/>
                <w:szCs w:val="23"/>
                <w:color w:val="auto"/>
              </w:rPr>
            </w:pPr>
          </w:p>
        </w:tc>
        <w:tc>
          <w:tcPr>
            <w:tcW w:w="136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305,163</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December 17, 2015 </w:t>
            </w:r>
            <w:r>
              <w:rPr>
                <w:rFonts w:ascii="Arial" w:cs="Arial" w:eastAsia="Arial" w:hAnsi="Arial"/>
                <w:sz w:val="21"/>
                <w:szCs w:val="21"/>
                <w:color w:val="auto"/>
                <w:vertAlign w:val="superscript"/>
              </w:rPr>
              <w:t>(1) (4)</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34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August 5, 2011 </w:t>
            </w:r>
            <w:r>
              <w:rPr>
                <w:rFonts w:ascii="Arial" w:cs="Arial" w:eastAsia="Arial" w:hAnsi="Arial"/>
                <w:sz w:val="21"/>
                <w:szCs w:val="21"/>
                <w:color w:val="auto"/>
                <w:vertAlign w:val="superscript"/>
              </w:rPr>
              <w:t>(1) (3)</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249,953</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r>
      <w:tr>
        <w:trPr>
          <w:trHeight w:val="230"/>
        </w:trPr>
        <w:tc>
          <w:tcPr>
            <w:tcW w:w="3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905,116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Deferred financing costs, net</w:t>
            </w:r>
          </w:p>
        </w:tc>
        <w:tc>
          <w:tcPr>
            <w:tcW w:w="160" w:type="dxa"/>
            <w:vAlign w:val="bottom"/>
          </w:tcPr>
          <w:p>
            <w:pPr>
              <w:spacing w:after="0"/>
              <w:rPr>
                <w:sz w:val="20"/>
                <w:szCs w:val="20"/>
                <w:color w:val="auto"/>
              </w:rPr>
            </w:pPr>
          </w:p>
        </w:tc>
        <w:tc>
          <w:tcPr>
            <w:tcW w:w="136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(4,049)</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5"/>
        </w:trPr>
        <w:tc>
          <w:tcPr>
            <w:tcW w:w="3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901,067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Issued by SL Green, the Operating Partnership and ROP, as co-obligors.</w:t>
      </w:r>
    </w:p>
    <w:p>
      <w:pPr>
        <w:spacing w:after="0" w:line="13" w:lineRule="exact"/>
        <w:rPr>
          <w:rFonts w:ascii="Arial" w:cs="Arial" w:eastAsia="Arial" w:hAnsi="Arial"/>
          <w:sz w:val="14"/>
          <w:szCs w:val="14"/>
          <w:color w:val="auto"/>
        </w:rPr>
      </w:pPr>
    </w:p>
    <w:p>
      <w:pPr>
        <w:ind w:left="420" w:right="20" w:hanging="412"/>
        <w:spacing w:after="0" w:line="241"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October 2017, SL Green, the Operating Partnership, and ROP, as co-obligors, issued an additional $100.0 million of 4.50% senior unsecured notes due December 2022. The notes were priced at 105.334%.</w:t>
      </w:r>
    </w:p>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Balance was repaid in August 2018.</w:t>
      </w:r>
    </w:p>
    <w:p>
      <w:pPr>
        <w:spacing w:after="0" w:line="1"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December 2018, ROP was released as a co-obligor from the senior unsecured notes. This resulted in these notes being removed from our consolidated balance sheet and shown as a non-cash capital contribution.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Maturities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Combined aggregate principal maturities of mortgages and other loans payable as of December 31, 2018, including as-of-right extension options and put options,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Scheduled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Joint Venture</w:t>
            </w:r>
          </w:p>
        </w:tc>
      </w:tr>
      <w:tr>
        <w:trPr>
          <w:trHeight w:val="210"/>
        </w:trPr>
        <w:tc>
          <w:tcPr>
            <w:tcW w:w="46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Principal</w:t>
            </w:r>
          </w:p>
        </w:tc>
        <w:tc>
          <w:tcPr>
            <w:tcW w:w="36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Debt</w:t>
            </w:r>
          </w:p>
        </w:tc>
      </w:tr>
      <w:tr>
        <w:trPr>
          <w:trHeight w:val="33"/>
        </w:trPr>
        <w:tc>
          <w:tcPr>
            <w:tcW w:w="4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2020</w:t>
            </w:r>
          </w:p>
        </w:tc>
        <w:tc>
          <w:tcPr>
            <w:tcW w:w="13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28,200</w:t>
            </w:r>
          </w:p>
        </w:tc>
      </w:tr>
      <w:tr>
        <w:trPr>
          <w:trHeight w:val="33"/>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2022</w:t>
            </w:r>
          </w:p>
        </w:tc>
        <w:tc>
          <w:tcPr>
            <w:tcW w:w="13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255,000</w:t>
            </w: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3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46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283,200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interest expense, excluding capitalized interest, was comprised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before capitalized interest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67,647</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124,507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110,393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capitalized</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98"/>
              </w:rPr>
              <w:t>(5,560)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(1,171)</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62,081</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123,969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109,208</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Units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a consolidated subsidiary, we have authorized up to 109,161 3.50% Series A Preferred Units of limited partnership interest, or the Subsidiary Series A Preferred Units, with a liquidation preference of $1,000.00 per unit. In August 2015, the Company issued 109,161 Subsidiary Series A Preferred Units in conjunction with an acquisition. The Subsidiary Series A Preferred unitholders receive annual dividends of $35.00 per unit paid on a quarterly basis and dividends are cumulative, subject to certain</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provisions. The Subsidiary Series A Preferred Units can be redeemed at any time, at the option of the unitholder, either for cash or are convertible on a one-for-one basis, into the Series B Preferred Units of limited partnership interest, or the Subsidiary Series B Preferred Units. The Subsidiary Series B Preferred Units can be converted at any time, at the option of the unitholder, into a number of common stock equal to 6.71348 shares of SL Green common stock for each Subsidiary Series B Preferred Unit. As of December 31, 2018, no Subsidiary Series B Preferred Units have been issued.</w:t>
      </w:r>
    </w:p>
    <w:p>
      <w:pPr>
        <w:spacing w:after="0" w:line="6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ASC 815 Derivatives and Hedging requires bifurcation of certain embedded derivative instruments, such as conversion features in convertible equity instruments, and their measurement at fair value for accounting purposes. The conversion feature embedded in the Subsidiary Series A Preferred Units was evaluated, and it was determined that the conversion feature should be bifurcated from its host instrument and accounted for as a freestanding derivative. The derivative is reported as a derivative liability in accrued interest and other liabilities on the accompanying consolidated balance sheet and is adjusted to its fair value at each reporting date, with a corresponding adjustment to interest expense, net of interest income. The embedded derivative for the Subsidiary Series A Preferred Units was initially recorded at a fair value of zero on July 22, 2015, the date of issuance. At December 31, 2018, the carrying amount of the derivative remained at zero.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Capital</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Since consummation of the Merger on January 25, 2007, the Operating Partnership has owned all the economic interests in us either by direct ownership or by indirect ownership through our general partner, which is its wholly-owned subsidiary.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Intercompany transactions between SL Green and us are generally recorded as contributions and distributions.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are required to disclose fair value information with regard to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w:t>
      </w:r>
    </w:p>
    <w:p>
      <w:pPr>
        <w:spacing w:after="0" w:line="2" w:lineRule="exact"/>
        <w:rPr>
          <w:sz w:val="20"/>
          <w:szCs w:val="20"/>
          <w:color w:val="auto"/>
        </w:rPr>
      </w:pPr>
    </w:p>
    <w:p>
      <w:pPr>
        <w:jc w:val="both"/>
        <w:ind w:firstLine="8"/>
        <w:spacing w:after="0" w:line="269" w:lineRule="auto"/>
        <w:tabs>
          <w:tab w:leader="none" w:pos="1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assets and liabilities that we measure at fair value on a recurring and non-recurring basis by their levels in the fair value hierarchy at December 31, 2018 and 2017 (in thousands):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Arial" w:cs="Arial" w:eastAsia="Arial" w:hAnsi="Arial"/>
                <w:sz w:val="16"/>
                <w:szCs w:val="16"/>
                <w:b w:val="1"/>
                <w:bCs w:val="1"/>
                <w:color w:val="auto"/>
              </w:rPr>
              <w:t>Level 3</w:t>
            </w:r>
          </w:p>
        </w:tc>
      </w:tr>
      <w:tr>
        <w:trPr>
          <w:trHeight w:val="33"/>
        </w:trPr>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2"/>
              </w:rPr>
              <w:t>Assets:</w:t>
            </w:r>
          </w:p>
        </w:tc>
        <w:tc>
          <w:tcPr>
            <w:tcW w:w="4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120" w:type="dxa"/>
            <w:vAlign w:val="bottom"/>
            <w:gridSpan w:val="3"/>
          </w:tcPr>
          <w:p>
            <w:pPr>
              <w:ind w:left="20"/>
              <w:spacing w:after="0"/>
              <w:rPr>
                <w:sz w:val="20"/>
                <w:szCs w:val="20"/>
                <w:color w:val="auto"/>
              </w:rPr>
            </w:pPr>
            <w:r>
              <w:rPr>
                <w:rFonts w:ascii="Arial" w:cs="Arial" w:eastAsia="Arial" w:hAnsi="Arial"/>
                <w:sz w:val="16"/>
                <w:szCs w:val="16"/>
                <w:color w:val="auto"/>
              </w:rPr>
              <w:t>Interest rate cap and swap agreements (included in other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6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2017</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0"/>
                <w:szCs w:val="20"/>
                <w:color w:val="auto"/>
              </w:rPr>
            </w:pPr>
          </w:p>
        </w:tc>
        <w:tc>
          <w:tcPr>
            <w:tcW w:w="1180" w:type="dxa"/>
            <w:vAlign w:val="bottom"/>
          </w:tcPr>
          <w:p>
            <w:pPr>
              <w:ind w:left="180"/>
              <w:spacing w:after="0"/>
              <w:rPr>
                <w:sz w:val="20"/>
                <w:szCs w:val="20"/>
                <w:color w:val="auto"/>
              </w:rPr>
            </w:pPr>
            <w:r>
              <w:rPr>
                <w:rFonts w:ascii="Arial" w:cs="Arial" w:eastAsia="Arial" w:hAnsi="Arial"/>
                <w:sz w:val="16"/>
                <w:szCs w:val="16"/>
                <w:b w:val="1"/>
                <w:bCs w:val="1"/>
                <w:color w:val="auto"/>
              </w:rPr>
              <w:t>Level 3</w:t>
            </w:r>
          </w:p>
        </w:tc>
      </w:tr>
      <w:tr>
        <w:trPr>
          <w:trHeight w:val="33"/>
        </w:trPr>
        <w:tc>
          <w:tcPr>
            <w:tcW w:w="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2"/>
              </w:rPr>
              <w:t>Assets:</w:t>
            </w:r>
          </w:p>
        </w:tc>
        <w:tc>
          <w:tcPr>
            <w:tcW w:w="4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120" w:type="dxa"/>
            <w:vAlign w:val="bottom"/>
            <w:gridSpan w:val="3"/>
          </w:tcPr>
          <w:p>
            <w:pPr>
              <w:ind w:left="20"/>
              <w:spacing w:after="0"/>
              <w:rPr>
                <w:sz w:val="20"/>
                <w:szCs w:val="20"/>
                <w:color w:val="auto"/>
              </w:rPr>
            </w:pPr>
            <w:r>
              <w:rPr>
                <w:rFonts w:ascii="Arial" w:cs="Arial" w:eastAsia="Arial" w:hAnsi="Arial"/>
                <w:sz w:val="16"/>
                <w:szCs w:val="16"/>
                <w:color w:val="auto"/>
              </w:rPr>
              <w:t>Interest rate cap and swap agreements (included in other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ind w:left="900"/>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determine impairment in real estate investments and debt and preferred equity investments, including intangibles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December 2018, the Company determined that it was more likely than not that its suburban properties would be sold or otherwise disposed of significantly before the end of their previously estimated useful life. The Company tested the recoverability of the assets and, as a result of the carrying amount of the assets not being deemed recoverable and exceeding their fair value as measured on a asset by asset basis, recorded a $106.4 million impairment loss. These charges are included in depreciable real estate reserves and impairment in the consolidated statement of operations. The fair value of the assets were determined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January 2018, the partnership agreement for our investment in 919 Third Avenue was modified resulting in the Company no longer having a controlling interest in this investment. As a result the investment was deconsolidated as of January 1, 2018. The Company recorded its non-controlling interest at fair value resulting in a $54.9 million fair value adjustment in the consolidated statement of operations. This fair value was determined using a third party valuation which primarily utilized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7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 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8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provides the carrying value and fair value of these financial instruments as of December 31, 2018 and December 31, 2017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5"/>
          </w:tcPr>
          <w:p>
            <w:pPr>
              <w:ind w:left="1040"/>
              <w:spacing w:after="0"/>
              <w:rPr>
                <w:sz w:val="20"/>
                <w:szCs w:val="20"/>
                <w:color w:val="auto"/>
              </w:rPr>
            </w:pPr>
            <w:r>
              <w:rPr>
                <w:rFonts w:ascii="Arial" w:cs="Arial" w:eastAsia="Arial" w:hAnsi="Arial"/>
                <w:sz w:val="16"/>
                <w:szCs w:val="16"/>
                <w:b w:val="1"/>
                <w:bCs w:val="1"/>
                <w:color w:val="auto"/>
              </w:rPr>
              <w:t>December 31, 2018</w:t>
            </w:r>
          </w:p>
        </w:tc>
        <w:tc>
          <w:tcPr>
            <w:tcW w:w="180" w:type="dxa"/>
            <w:vAlign w:val="bottom"/>
          </w:tcPr>
          <w:p>
            <w:pPr>
              <w:spacing w:after="0"/>
              <w:rPr>
                <w:sz w:val="18"/>
                <w:szCs w:val="18"/>
                <w:color w:val="auto"/>
              </w:rPr>
            </w:pPr>
          </w:p>
        </w:tc>
        <w:tc>
          <w:tcPr>
            <w:tcW w:w="3520" w:type="dxa"/>
            <w:vAlign w:val="bottom"/>
            <w:gridSpan w:val="4"/>
          </w:tcPr>
          <w:p>
            <w:pPr>
              <w:jc w:val="right"/>
              <w:ind w:right="1124"/>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3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320" w:type="dxa"/>
            <w:vAlign w:val="bottom"/>
          </w:tcPr>
          <w:p>
            <w:pPr>
              <w:spacing w:after="0"/>
              <w:rPr>
                <w:sz w:val="22"/>
                <w:szCs w:val="22"/>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320" w:type="dxa"/>
            <w:vAlign w:val="bottom"/>
          </w:tcPr>
          <w:p>
            <w:pPr>
              <w:spacing w:after="0"/>
              <w:rPr>
                <w:sz w:val="22"/>
                <w:szCs w:val="22"/>
                <w:color w:val="auto"/>
              </w:rPr>
            </w:pPr>
          </w:p>
        </w:tc>
        <w:tc>
          <w:tcPr>
            <w:tcW w:w="1480" w:type="dxa"/>
            <w:vAlign w:val="bottom"/>
          </w:tcPr>
          <w:p>
            <w:pPr>
              <w:jc w:val="right"/>
              <w:ind w:right="464"/>
              <w:spacing w:after="0"/>
              <w:rPr>
                <w:sz w:val="20"/>
                <w:szCs w:val="20"/>
                <w:color w:val="auto"/>
              </w:rPr>
            </w:pPr>
            <w:r>
              <w:rPr>
                <w:rFonts w:ascii="Arial" w:cs="Arial" w:eastAsia="Arial" w:hAnsi="Arial"/>
                <w:sz w:val="16"/>
                <w:szCs w:val="16"/>
                <w:b w:val="1"/>
                <w:bCs w:val="1"/>
                <w:color w:val="auto"/>
              </w:rPr>
              <w:t>Fair Value</w:t>
            </w:r>
          </w:p>
        </w:tc>
      </w:tr>
      <w:tr>
        <w:trPr>
          <w:trHeight w:val="318"/>
        </w:trPr>
        <w:tc>
          <w:tcPr>
            <w:tcW w:w="37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6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5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6"/>
                <w:szCs w:val="16"/>
                <w:color w:val="auto"/>
              </w:rPr>
              <w:t>Debt and preferred equity investments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1,956,119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804"/>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2,114,041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784"/>
              <w:spacing w:after="0"/>
              <w:rPr>
                <w:sz w:val="20"/>
                <w:szCs w:val="20"/>
                <w:color w:val="auto"/>
              </w:rPr>
            </w:pPr>
            <w:r>
              <w:rPr>
                <w:rFonts w:ascii="Arial" w:cs="Arial" w:eastAsia="Arial" w:hAnsi="Arial"/>
                <w:sz w:val="11"/>
                <w:szCs w:val="11"/>
                <w:b w:val="1"/>
                <w:bCs w:val="1"/>
                <w:color w:val="auto"/>
              </w:rPr>
              <w:t>(2)</w:t>
            </w:r>
          </w:p>
        </w:tc>
      </w:tr>
      <w:tr>
        <w:trPr>
          <w:trHeight w:val="33"/>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3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6"/>
                <w:szCs w:val="16"/>
                <w:color w:val="auto"/>
              </w:rPr>
              <w:t>Fixed rate debt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250,000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ind w:right="44"/>
              <w:spacing w:after="0"/>
              <w:rPr>
                <w:sz w:val="20"/>
                <w:szCs w:val="20"/>
                <w:color w:val="auto"/>
              </w:rPr>
            </w:pPr>
            <w:r>
              <w:rPr>
                <w:rFonts w:ascii="Arial" w:cs="Arial" w:eastAsia="Arial" w:hAnsi="Arial"/>
                <w:sz w:val="16"/>
                <w:szCs w:val="16"/>
                <w:b w:val="1"/>
                <w:bCs w:val="1"/>
                <w:color w:val="auto"/>
              </w:rPr>
              <w:t>249,919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1,655,116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44"/>
              <w:spacing w:after="0"/>
              <w:rPr>
                <w:sz w:val="20"/>
                <w:szCs w:val="20"/>
                <w:color w:val="auto"/>
              </w:rPr>
            </w:pPr>
            <w:r>
              <w:rPr>
                <w:rFonts w:ascii="Arial" w:cs="Arial" w:eastAsia="Arial" w:hAnsi="Arial"/>
                <w:sz w:val="16"/>
                <w:szCs w:val="16"/>
                <w:color w:val="auto"/>
              </w:rPr>
              <w:t>1,715,501</w:t>
            </w:r>
          </w:p>
        </w:tc>
      </w:tr>
      <w:tr>
        <w:trPr>
          <w:trHeight w:val="33"/>
        </w:trPr>
        <w:tc>
          <w:tcPr>
            <w:tcW w:w="3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365,550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374,387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92,087</w:t>
            </w:r>
          </w:p>
        </w:tc>
      </w:tr>
      <w:tr>
        <w:trPr>
          <w:trHeight w:val="217"/>
        </w:trPr>
        <w:tc>
          <w:tcPr>
            <w:tcW w:w="37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615,550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624,306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1,745,925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1,807,588</w:t>
            </w:r>
          </w:p>
        </w:tc>
      </w:tr>
      <w:tr>
        <w:trPr>
          <w:trHeight w:val="33"/>
        </w:trPr>
        <w:tc>
          <w:tcPr>
            <w:tcW w:w="3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exclude net deferred financing costs.</w:t>
      </w:r>
    </w:p>
    <w:p>
      <w:pPr>
        <w:spacing w:after="0" w:line="13"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At December 31, 2018, debt and preferred equity investments had an estimated fair value ranging between $2.0 billion and $2.2 billion. At December 31, 2017, debt and preferred equity investments had an estimated fair value ranging between $2.1 billion and $2.3 billion.</w:t>
      </w:r>
    </w:p>
    <w:p>
      <w:pPr>
        <w:spacing w:after="0" w:line="8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Disclosure about fair value of financial instruments was based on pertinent information available to us as of December 31, 2018 and 2017. Although we are not aware of any factors that would significantly affect the reasonable fair value amounts, such amounts have not been comprehensively revalued for purposes of these financial statements since that date and current estimates of fair value may differ significantly from the amounts presented herein.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Derivatives and Hedging</w:t>
      </w:r>
    </w:p>
    <w:p>
      <w:pPr>
        <w:spacing w:after="0" w:line="12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the normal course of business, we use a variety of commonly used derivative instruments, such as interest rate swaps, caps, collar and floors, to manage, or hedge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until the hedged item is recognized in earnings. The ineffective portion of a derivative's change in fair value will be immediately recognized in earnings. Reported net income and equity may increase or decrease prospectively, depending on future levels of interest rates and other variables affecting the fair values of derivative instruments and hedged items, but will have no effect on cash flows. As of December 31, 2018, the Company had not designated any interest rate swap agreements on any debt investment.</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years ended December 31, 2018, 2017, and 2016, we recorded (losses) gains on the changes in the fair value of $(0.2) million, $0.2 million, and $0.0 million, respectively, which are included in investment income in the consolidated statements of operations.</w:t>
      </w:r>
    </w:p>
    <w:p>
      <w:pPr>
        <w:spacing w:after="0" w:line="6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Gains and losses on terminated hedges are included in accumulated other comprehensive income, and are recognized into earnings over the term of the related senior unsecured notes. As of December 31, 2018 and 2017, the deferred net losses from these terminated hedges, which are included in accumulated other comprehensive income relating to net unrealized loss on derivative instruments, was approximately zero and $1.3 million, respectively.</w:t>
      </w:r>
    </w:p>
    <w:p>
      <w:pPr>
        <w:spacing w:after="0" w:line="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effect of our derivative financial instruments that are designated and qualify as hedging instruments on the consolidated statements of operations for the years ended December 31, 2018, 2017, and 2016, respectively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Amount of Loss</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7"/>
          </w:tcPr>
          <w:p>
            <w:pPr>
              <w:jc w:val="center"/>
              <w:ind w:right="4"/>
              <w:spacing w:after="0"/>
              <w:rPr>
                <w:sz w:val="20"/>
                <w:szCs w:val="20"/>
                <w:color w:val="auto"/>
              </w:rPr>
            </w:pPr>
            <w:r>
              <w:rPr>
                <w:rFonts w:ascii="Arial" w:cs="Arial" w:eastAsia="Arial" w:hAnsi="Arial"/>
                <w:sz w:val="16"/>
                <w:szCs w:val="16"/>
                <w:b w:val="1"/>
                <w:bCs w:val="1"/>
                <w:color w:val="auto"/>
                <w:w w:val="90"/>
              </w:rPr>
              <w:t>Amount of Loss</w:t>
            </w: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6"/>
          </w:tcPr>
          <w:p>
            <w:pPr>
              <w:jc w:val="center"/>
              <w:ind w:left="299"/>
              <w:spacing w:after="0"/>
              <w:rPr>
                <w:sz w:val="20"/>
                <w:szCs w:val="20"/>
                <w:color w:val="auto"/>
              </w:rPr>
            </w:pPr>
            <w:r>
              <w:rPr>
                <w:rFonts w:ascii="Arial" w:cs="Arial" w:eastAsia="Arial" w:hAnsi="Arial"/>
                <w:sz w:val="16"/>
                <w:szCs w:val="16"/>
                <w:b w:val="1"/>
                <w:bCs w:val="1"/>
                <w:color w:val="auto"/>
                <w:w w:val="89"/>
              </w:rPr>
              <w:t>Reclassified from</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Recognized in</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w w:val="92"/>
              </w:rPr>
              <w:t>Accumulated Other</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9"/>
          </w:tcPr>
          <w:p>
            <w:pPr>
              <w:jc w:val="center"/>
              <w:ind w:right="39"/>
              <w:spacing w:after="0"/>
              <w:rPr>
                <w:sz w:val="20"/>
                <w:szCs w:val="20"/>
                <w:color w:val="auto"/>
              </w:rPr>
            </w:pPr>
            <w:r>
              <w:rPr>
                <w:rFonts w:ascii="Arial" w:cs="Arial" w:eastAsia="Arial" w:hAnsi="Arial"/>
                <w:sz w:val="16"/>
                <w:szCs w:val="16"/>
                <w:b w:val="1"/>
                <w:bCs w:val="1"/>
                <w:color w:val="auto"/>
                <w:w w:val="90"/>
              </w:rPr>
              <w:t>Other Comprehensive</w:t>
            </w: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Location of Loss</w:t>
            </w:r>
          </w:p>
        </w:tc>
        <w:tc>
          <w:tcPr>
            <w:tcW w:w="160" w:type="dxa"/>
            <w:vAlign w:val="bottom"/>
          </w:tcPr>
          <w:p>
            <w:pPr>
              <w:spacing w:after="0"/>
              <w:rPr>
                <w:sz w:val="17"/>
                <w:szCs w:val="17"/>
                <w:color w:val="auto"/>
              </w:rPr>
            </w:pPr>
          </w:p>
        </w:tc>
        <w:tc>
          <w:tcPr>
            <w:tcW w:w="2120" w:type="dxa"/>
            <w:vAlign w:val="bottom"/>
            <w:gridSpan w:val="7"/>
          </w:tcPr>
          <w:p>
            <w:pPr>
              <w:jc w:val="center"/>
              <w:ind w:right="39"/>
              <w:spacing w:after="0"/>
              <w:rPr>
                <w:sz w:val="20"/>
                <w:szCs w:val="20"/>
                <w:color w:val="auto"/>
              </w:rPr>
            </w:pPr>
            <w:r>
              <w:rPr>
                <w:rFonts w:ascii="Arial" w:cs="Arial" w:eastAsia="Arial" w:hAnsi="Arial"/>
                <w:sz w:val="16"/>
                <w:szCs w:val="16"/>
                <w:b w:val="1"/>
                <w:bCs w:val="1"/>
                <w:color w:val="auto"/>
                <w:w w:val="89"/>
              </w:rPr>
              <w:t>Comprehensive Loss into</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Location of</w:t>
            </w:r>
          </w:p>
        </w:tc>
        <w:tc>
          <w:tcPr>
            <w:tcW w:w="140" w:type="dxa"/>
            <w:vAlign w:val="bottom"/>
          </w:tcPr>
          <w:p>
            <w:pPr>
              <w:spacing w:after="0"/>
              <w:rPr>
                <w:sz w:val="17"/>
                <w:szCs w:val="17"/>
                <w:color w:val="auto"/>
              </w:rPr>
            </w:pPr>
          </w:p>
        </w:tc>
        <w:tc>
          <w:tcPr>
            <w:tcW w:w="1560" w:type="dxa"/>
            <w:vAlign w:val="bottom"/>
            <w:gridSpan w:val="6"/>
          </w:tcPr>
          <w:p>
            <w:pPr>
              <w:jc w:val="center"/>
              <w:ind w:left="319"/>
              <w:spacing w:after="0"/>
              <w:rPr>
                <w:sz w:val="20"/>
                <w:szCs w:val="20"/>
                <w:color w:val="auto"/>
              </w:rPr>
            </w:pPr>
            <w:r>
              <w:rPr>
                <w:rFonts w:ascii="Arial" w:cs="Arial" w:eastAsia="Arial" w:hAnsi="Arial"/>
                <w:sz w:val="16"/>
                <w:szCs w:val="16"/>
                <w:b w:val="1"/>
                <w:bCs w:val="1"/>
                <w:color w:val="auto"/>
                <w:w w:val="93"/>
              </w:rPr>
              <w:t>Amount of Gain</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7"/>
            <w:vMerge w:val="restart"/>
          </w:tcPr>
          <w:p>
            <w:pPr>
              <w:jc w:val="center"/>
              <w:ind w:right="39"/>
              <w:spacing w:after="0"/>
              <w:rPr>
                <w:sz w:val="20"/>
                <w:szCs w:val="20"/>
                <w:color w:val="auto"/>
              </w:rPr>
            </w:pPr>
            <w:r>
              <w:rPr>
                <w:rFonts w:ascii="Arial" w:cs="Arial" w:eastAsia="Arial" w:hAnsi="Arial"/>
                <w:sz w:val="16"/>
                <w:szCs w:val="16"/>
                <w:b w:val="1"/>
                <w:bCs w:val="1"/>
                <w:color w:val="auto"/>
                <w:w w:val="90"/>
              </w:rPr>
              <w:t>Recognized into Income</w:t>
            </w:r>
          </w:p>
        </w:tc>
        <w:tc>
          <w:tcPr>
            <w:tcW w:w="0" w:type="dxa"/>
            <w:vAlign w:val="bottom"/>
          </w:tcPr>
          <w:p>
            <w:pPr>
              <w:spacing w:after="0"/>
              <w:rPr>
                <w:sz w:val="1"/>
                <w:szCs w:val="1"/>
                <w:color w:val="auto"/>
              </w:rPr>
            </w:pPr>
          </w:p>
        </w:tc>
      </w:tr>
      <w:tr>
        <w:trPr>
          <w:trHeight w:val="46"/>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Reclassified from</w:t>
            </w: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Gain</w:t>
            </w:r>
          </w:p>
        </w:tc>
        <w:tc>
          <w:tcPr>
            <w:tcW w:w="140" w:type="dxa"/>
            <w:vAlign w:val="bottom"/>
          </w:tcPr>
          <w:p>
            <w:pPr>
              <w:spacing w:after="0"/>
              <w:rPr>
                <w:sz w:val="4"/>
                <w:szCs w:val="4"/>
                <w:color w:val="auto"/>
              </w:rPr>
            </w:pPr>
          </w:p>
        </w:tc>
        <w:tc>
          <w:tcPr>
            <w:tcW w:w="20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8"/>
            <w:vMerge w:val="restart"/>
          </w:tcPr>
          <w:p>
            <w:pPr>
              <w:jc w:val="center"/>
              <w:ind w:left="319"/>
              <w:spacing w:after="0"/>
              <w:rPr>
                <w:sz w:val="20"/>
                <w:szCs w:val="20"/>
                <w:color w:val="auto"/>
              </w:rPr>
            </w:pPr>
            <w:r>
              <w:rPr>
                <w:rFonts w:ascii="Arial" w:cs="Arial" w:eastAsia="Arial" w:hAnsi="Arial"/>
                <w:sz w:val="16"/>
                <w:szCs w:val="16"/>
                <w:b w:val="1"/>
                <w:bCs w:val="1"/>
                <w:color w:val="auto"/>
                <w:w w:val="92"/>
              </w:rPr>
              <w:t>(Effective Portion)</w:t>
            </w:r>
          </w:p>
        </w:tc>
        <w:tc>
          <w:tcPr>
            <w:tcW w:w="5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7"/>
            <w:vMerge w:val="restart"/>
          </w:tcPr>
          <w:p>
            <w:pPr>
              <w:jc w:val="center"/>
              <w:ind w:right="39"/>
              <w:spacing w:after="0"/>
              <w:rPr>
                <w:sz w:val="20"/>
                <w:szCs w:val="20"/>
                <w:color w:val="auto"/>
              </w:rPr>
            </w:pPr>
            <w:r>
              <w:rPr>
                <w:rFonts w:ascii="Arial" w:cs="Arial" w:eastAsia="Arial" w:hAnsi="Arial"/>
                <w:sz w:val="16"/>
                <w:szCs w:val="16"/>
                <w:b w:val="1"/>
                <w:bCs w:val="1"/>
                <w:color w:val="auto"/>
                <w:w w:val="92"/>
              </w:rPr>
              <w:t>(Effective Portion)</w:t>
            </w:r>
          </w:p>
        </w:tc>
        <w:tc>
          <w:tcPr>
            <w:tcW w:w="1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7"/>
            <w:vMerge w:val="restart"/>
          </w:tcPr>
          <w:p>
            <w:pPr>
              <w:jc w:val="center"/>
              <w:ind w:right="19"/>
              <w:spacing w:after="0"/>
              <w:rPr>
                <w:sz w:val="20"/>
                <w:szCs w:val="20"/>
                <w:color w:val="auto"/>
              </w:rPr>
            </w:pPr>
            <w:r>
              <w:rPr>
                <w:rFonts w:ascii="Arial" w:cs="Arial" w:eastAsia="Arial" w:hAnsi="Arial"/>
                <w:sz w:val="16"/>
                <w:szCs w:val="16"/>
                <w:b w:val="1"/>
                <w:bCs w:val="1"/>
                <w:color w:val="auto"/>
                <w:w w:val="93"/>
              </w:rPr>
              <w:t>(Ineffective Portion)</w:t>
            </w:r>
          </w:p>
        </w:tc>
        <w:tc>
          <w:tcPr>
            <w:tcW w:w="0" w:type="dxa"/>
            <w:vAlign w:val="bottom"/>
          </w:tcPr>
          <w:p>
            <w:pPr>
              <w:spacing w:after="0"/>
              <w:rPr>
                <w:sz w:val="1"/>
                <w:szCs w:val="1"/>
                <w:color w:val="auto"/>
              </w:rPr>
            </w:pPr>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Accumulated Other</w:t>
            </w:r>
          </w:p>
        </w:tc>
        <w:tc>
          <w:tcPr>
            <w:tcW w:w="160" w:type="dxa"/>
            <w:vAlign w:val="bottom"/>
          </w:tcPr>
          <w:p>
            <w:pPr>
              <w:spacing w:after="0"/>
              <w:rPr>
                <w:sz w:val="4"/>
                <w:szCs w:val="4"/>
                <w:color w:val="auto"/>
              </w:rPr>
            </w:pPr>
          </w:p>
        </w:tc>
        <w:tc>
          <w:tcPr>
            <w:tcW w:w="2120" w:type="dxa"/>
            <w:vAlign w:val="bottom"/>
            <w:gridSpan w:val="7"/>
            <w:vMerge w:val="continue"/>
          </w:tcPr>
          <w:p>
            <w:pPr>
              <w:spacing w:after="0"/>
              <w:rPr>
                <w:sz w:val="4"/>
                <w:szCs w:val="4"/>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Recognized in</w:t>
            </w:r>
          </w:p>
        </w:tc>
        <w:tc>
          <w:tcPr>
            <w:tcW w:w="140" w:type="dxa"/>
            <w:vAlign w:val="bottom"/>
          </w:tcPr>
          <w:p>
            <w:pPr>
              <w:spacing w:after="0"/>
              <w:rPr>
                <w:sz w:val="4"/>
                <w:szCs w:val="4"/>
                <w:color w:val="auto"/>
              </w:rPr>
            </w:pPr>
          </w:p>
        </w:tc>
        <w:tc>
          <w:tcPr>
            <w:tcW w:w="20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0" w:type="dxa"/>
            <w:vAlign w:val="bottom"/>
            <w:gridSpan w:val="9"/>
            <w:vMerge w:val="restart"/>
          </w:tcPr>
          <w:p>
            <w:pPr>
              <w:jc w:val="center"/>
              <w:ind w:right="39"/>
              <w:spacing w:after="0"/>
              <w:rPr>
                <w:sz w:val="20"/>
                <w:szCs w:val="20"/>
                <w:color w:val="auto"/>
              </w:rPr>
            </w:pPr>
            <w:r>
              <w:rPr>
                <w:rFonts w:ascii="Arial" w:cs="Arial" w:eastAsia="Arial" w:hAnsi="Arial"/>
                <w:sz w:val="16"/>
                <w:szCs w:val="16"/>
                <w:b w:val="1"/>
                <w:bCs w:val="1"/>
                <w:color w:val="auto"/>
                <w:w w:val="91"/>
              </w:rPr>
              <w:t>Year Ended December 31,</w:t>
            </w:r>
          </w:p>
        </w:tc>
        <w:tc>
          <w:tcPr>
            <w:tcW w:w="1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120" w:type="dxa"/>
            <w:vAlign w:val="bottom"/>
            <w:gridSpan w:val="7"/>
            <w:vMerge w:val="restart"/>
          </w:tcPr>
          <w:p>
            <w:pPr>
              <w:jc w:val="center"/>
              <w:ind w:right="39"/>
              <w:spacing w:after="0"/>
              <w:rPr>
                <w:sz w:val="20"/>
                <w:szCs w:val="20"/>
                <w:color w:val="auto"/>
              </w:rPr>
            </w:pPr>
            <w:r>
              <w:rPr>
                <w:rFonts w:ascii="Arial" w:cs="Arial" w:eastAsia="Arial" w:hAnsi="Arial"/>
                <w:sz w:val="16"/>
                <w:szCs w:val="16"/>
                <w:b w:val="1"/>
                <w:bCs w:val="1"/>
                <w:color w:val="auto"/>
                <w:w w:val="91"/>
              </w:rPr>
              <w:t>Year Ended December 31,</w:t>
            </w:r>
          </w:p>
        </w:tc>
        <w:tc>
          <w:tcPr>
            <w:tcW w:w="1360" w:type="dxa"/>
            <w:vAlign w:val="bottom"/>
            <w:vMerge w:val="continue"/>
          </w:tcPr>
          <w:p>
            <w:pPr>
              <w:spacing w:after="0"/>
              <w:rPr>
                <w:sz w:val="7"/>
                <w:szCs w:val="7"/>
                <w:color w:val="auto"/>
              </w:rPr>
            </w:pPr>
          </w:p>
        </w:tc>
        <w:tc>
          <w:tcPr>
            <w:tcW w:w="2200" w:type="dxa"/>
            <w:vAlign w:val="bottom"/>
            <w:gridSpan w:val="8"/>
            <w:vMerge w:val="restart"/>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0" w:type="dxa"/>
            <w:vAlign w:val="bottom"/>
            <w:gridSpan w:val="9"/>
            <w:vMerge w:val="continue"/>
          </w:tcPr>
          <w:p>
            <w:pPr>
              <w:spacing w:after="0"/>
              <w:rPr>
                <w:sz w:val="11"/>
                <w:szCs w:val="11"/>
                <w:color w:val="auto"/>
              </w:rPr>
            </w:pPr>
          </w:p>
        </w:tc>
        <w:tc>
          <w:tcPr>
            <w:tcW w:w="172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1"/>
                <w:szCs w:val="11"/>
                <w:color w:val="auto"/>
              </w:rPr>
            </w:pPr>
          </w:p>
        </w:tc>
        <w:tc>
          <w:tcPr>
            <w:tcW w:w="2120" w:type="dxa"/>
            <w:vAlign w:val="bottom"/>
            <w:gridSpan w:val="7"/>
            <w:vMerge w:val="continue"/>
          </w:tcPr>
          <w:p>
            <w:pPr>
              <w:spacing w:after="0"/>
              <w:rPr>
                <w:sz w:val="11"/>
                <w:szCs w:val="11"/>
                <w:color w:val="auto"/>
              </w:rPr>
            </w:pPr>
          </w:p>
        </w:tc>
        <w:tc>
          <w:tcPr>
            <w:tcW w:w="13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89"/>
              </w:rPr>
              <w:t>Income on</w:t>
            </w:r>
          </w:p>
        </w:tc>
        <w:tc>
          <w:tcPr>
            <w:tcW w:w="2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gridSpan w:val="2"/>
          </w:tcPr>
          <w:p>
            <w:pPr>
              <w:ind w:left="340"/>
              <w:spacing w:after="0"/>
              <w:rPr>
                <w:sz w:val="20"/>
                <w:szCs w:val="20"/>
                <w:color w:val="auto"/>
              </w:rPr>
            </w:pPr>
            <w:r>
              <w:rPr>
                <w:rFonts w:ascii="Arial" w:cs="Arial" w:eastAsia="Arial" w:hAnsi="Arial"/>
                <w:sz w:val="16"/>
                <w:szCs w:val="16"/>
                <w:b w:val="1"/>
                <w:bCs w:val="1"/>
                <w:color w:val="auto"/>
              </w:rPr>
              <w:t>Derivative</w:t>
            </w:r>
          </w:p>
        </w:tc>
        <w:tc>
          <w:tcPr>
            <w:tcW w:w="16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2018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b w:val="1"/>
                <w:bCs w:val="1"/>
                <w:color w:val="auto"/>
                <w:w w:val="84"/>
              </w:rPr>
              <w:t>2016</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Loss into Income</w:t>
            </w:r>
          </w:p>
        </w:tc>
        <w:tc>
          <w:tcPr>
            <w:tcW w:w="1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5"/>
              </w:rPr>
              <w:t>2018</w:t>
            </w:r>
          </w:p>
        </w:tc>
        <w:tc>
          <w:tcPr>
            <w:tcW w:w="92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2016</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   359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Interest expense</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   $</w:t>
            </w: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   $</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Rental Income</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are the lessor and the sublessor to tenants under operating leases with expiration dates ranging from January 1, 2019 to 2050. The minimum rental amounts due under the leases are generally either subject to scheduled fixed increases or adjustments. The leases generally also require that the tenants reimburse us for increases in certain operating costs and real estate taxes above their base year costs. Approximate future minimum rents to be received over the next five years and thereafter for non-cancelable operating leases in effect at December 31, 2018 for the consolidated properties, including consolidated joint venture properties, and our share of unconsolidated joint venture properties are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Consolidated</w:t>
            </w:r>
          </w:p>
        </w:tc>
        <w:tc>
          <w:tcPr>
            <w:tcW w:w="180" w:type="dxa"/>
            <w:vAlign w:val="bottom"/>
          </w:tcPr>
          <w:p>
            <w:pPr>
              <w:spacing w:after="0"/>
              <w:rPr>
                <w:sz w:val="17"/>
                <w:szCs w:val="17"/>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Unconsolidated</w:t>
            </w:r>
          </w:p>
        </w:tc>
      </w:tr>
      <w:tr>
        <w:trPr>
          <w:trHeight w:val="210"/>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Properties</w:t>
            </w:r>
          </w:p>
        </w:tc>
        <w:tc>
          <w:tcPr>
            <w:tcW w:w="180" w:type="dxa"/>
            <w:vAlign w:val="bottom"/>
          </w:tcPr>
          <w:p>
            <w:pPr>
              <w:spacing w:after="0"/>
              <w:rPr>
                <w:sz w:val="18"/>
                <w:szCs w:val="18"/>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b w:val="1"/>
                <w:bCs w:val="1"/>
                <w:color w:val="auto"/>
              </w:rPr>
              <w:t>Properties</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514,204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45,500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463,658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44,765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47,595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373,056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32,693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32,759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1,362,314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250,340</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3,453,559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453,652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 Security/ Messenger and Restoration Services</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Alliance Building Services, or Alliance, and its affiliates are partially owned by Gary Green, a son of Stephen L. Green, who serves as a member and as the chairman emeritus of SL Green's board of directors, and provide services to certain properties owned by us.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Income earned from profit participation, which is included in other income on the consolidated statements of operations, was $3.4 million, $3.4 million and $3.3 million for the years ended December 31, 2018, 2017 and 2016 respectively.</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also recorded expenses, inclusive of capitalized expenses, of $9.3 million, $10.0 million and $8.1 million for the years ended December 31, 2018, 2017 and 2016 respectively, for these services (excluding services provided directly to tenants).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Allocated Expenses from SL Green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Property operating expenses include an allocation of salary and other operating costs from SL Green based on square footage of the related properties.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amount was approximately $11.2 million, $12.8 million and $11.5 million for the years ended December 31, 2018, 2017 and 2016,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obtained insurance coverage through an insurance program administered by SL Green. In connection with this program, we incurred insurance expense of approximately $4.2 million, $5.4 million, and $5.9 million for the years ended December 31, 2018, 2017 and 2016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Payable to SL Green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August 22, 2016, we issued a promissory note to our parent company in the amount of $23.8 million which bore interest at an annual rate of 6.0%, compounded quarterly. This note matured on August 22, 2018 and is shown as a non-cash contribution.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Benefit Plans</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building employees are covered by multi-employer defined benefit pension plans and post-retirement health and welfare plans. We participate in the Building Service 32BJ, or Union, Pension Plan and Health Plan. The Pension Plan is a multi-employer, non-contributory defined benefit pension plan that was established under the terms of collective bargaining agreements between the Service Employees International Union, Local 32BJ, the Realty Advisory Board on Labor Relations, Inc. and certain other employees. This Pension Plan is administered by a joint board of trustees consisting of union trustees and employer trustees and operates under employer identification number 13-1879376. The Pension Plan year runs from July 1 to June 30. Employers contribute to the Pension Plan at a fixed rate on behalf of each covered employee. Separate actuarial information regarding such pension plans is not made available to the contributing employers by the union administrators or trustees, since the plans do not maintain separate records for each reporting unit. However, on September 28, 2016, September 28, 2017, and September 28, 2018, the actuary certified that for the plan years beginning July 1, 2016, July 1, 2017, and July 1, 2018, the Pension Plan was in critical status under the Pension Protection Act of 2006. The Pension Plan trustees adopted a rehabilitation plan consistent with this requirement. No surcharges have been paid to the Pension Plan as of December 31, 2018. For the Pension Plan years ended June 30, 2018, 2017, and 2016, the plan received contributions from employers totaling $272.3 million, $257.8 million, and $249.5 million, respectively. Our contributions to the Pension Plan represent less than 5.0% of total contributions to the plan.</w:t>
      </w:r>
    </w:p>
    <w:p>
      <w:pPr>
        <w:spacing w:after="0" w:line="7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Health Plan was established under the terms of collective bargaining agreements between the Union, the Realty Advisory Board on Labor Relations, Inc. and certain other employers. The Health Plan provides health and other benefits to eligible participants employed in the building service industry who are covered under collective bargaining agreements, or other written agreements, with the Union. The Health Plan is administered by a Board of Trustees with equal representation by the employers and the Union and operates under employer identification number 13-2928869. The Health Plan receives contributions in accordance with collective bargaining agreements or participation agreements. Generally, these agreements provide that the employers contribute to the Health Plan at a fixed rate on behalf of each covered employee. For the Health Plan years ended, June 30, 2018, 2017 and 2016, the plan received contributions from employers totaling $1.4 billion, $1.3 billion and $1.2 billion, respectively. Our contributions to the Health Plan represent less than 5.0% of total contributions to the plan.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Contributions we made to the multi-employer plans for the years ended December 31, 2018, 2017 and 2016 are included in the table below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Benefit Plan</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Plan</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1,819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Health Plan</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5,667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6,764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6,366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plans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902</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Total plan contributions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8,169</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9,898</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9,487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600" w:firstLine="8"/>
        <w:spacing w:after="0" w:line="400" w:lineRule="auto"/>
        <w:tabs>
          <w:tab w:leader="none" w:pos="27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spacing w:after="0" w:line="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2018, we were not involved in any material litigation nor, to management's knowledge, was any material litigation threatened against us or our portfolio which if adversely determined could have a material adverse impact on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twelve months ended December 31, 2018, Ticonderoga Insurance Company, or Ticonderoga, a Vermont licensed captive insurance company and an affiliate of SL Green, became a member of the Federal Home Loan Bank of New York, or FHLBNY. As a member, Ticonderoga may borrow funds from the FHLBNY in the form of secured advances. As of December 31, 2018, certain debt and preferred equity investments of the Company were pledged as collateral to secure advances under the FHLBNY facility. If Ticonderoga or SL Green are unable to repay the advances upon the termination of Ticonderoga's membership, the maximum potential amount of future payments the Company could be required to make under the secured advances is $27.5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Leases Arrangements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property located at 711 Third Avenue operates under an operating sub-lease with an expiration date of 2033 and five options to renew for an additional 10 years each. The ground rent was reset in July 2011. Following the reset, we were responsible for ground rent payments of $5.25 million annually through July 2016 and then $5.5 million annually thereafter on the 50% portion of the fee that we do not own. The ground rent will reset in July 2021 to the greater of $5.5 million or 7.75% of the fair value of the land.</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property located at 461 Fifth Avenue operates under a ground lease ($2.1 million of ground rent annually) with an expiration date of 2027 and two options to renew for an additional 21 years each, followed by a third option for 15 years. We also have an option to purchase the fee position for a fixed price on a specific date.</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property located at 625 Madison Avenue operates under a ground lease ($4.6 million of ground rent annually) with an expiration date of 2022 and two options to renew for an additional 32 years.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property located at 1185 Avenue of the Americas operates under a ground lease ($6.9 million of ground rent annually) with an expiration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2043.</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property located at 1055 Washington Boulevard operates under a ground lease ($0.6 million of ground rent annually) with an expiration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2090.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is a schedule of future minimum lease payments under non-cancellable operating leases with initial terms in excess of one year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279"/>
              <w:spacing w:after="0"/>
              <w:rPr>
                <w:sz w:val="20"/>
                <w:szCs w:val="20"/>
                <w:color w:val="auto"/>
              </w:rPr>
            </w:pPr>
            <w:r>
              <w:rPr>
                <w:rFonts w:ascii="Arial" w:cs="Arial" w:eastAsia="Arial" w:hAnsi="Arial"/>
                <w:sz w:val="16"/>
                <w:szCs w:val="16"/>
                <w:b w:val="1"/>
                <w:bCs w:val="1"/>
                <w:color w:val="auto"/>
              </w:rPr>
              <w:t>Non-cancellable</w:t>
            </w:r>
          </w:p>
        </w:tc>
      </w:tr>
      <w:tr>
        <w:trPr>
          <w:trHeight w:val="243"/>
        </w:trPr>
        <w:tc>
          <w:tcPr>
            <w:tcW w:w="96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 xml:space="preserve">operating leases </w:t>
            </w:r>
            <w:r>
              <w:rPr>
                <w:rFonts w:ascii="Arial" w:cs="Arial" w:eastAsia="Arial" w:hAnsi="Arial"/>
                <w:sz w:val="21"/>
                <w:szCs w:val="21"/>
                <w:b w:val="1"/>
                <w:bCs w:val="1"/>
                <w:color w:val="auto"/>
                <w:w w:val="89"/>
                <w:vertAlign w:val="superscript"/>
              </w:rPr>
              <w:t>(1)</w:t>
            </w:r>
          </w:p>
        </w:tc>
      </w:tr>
      <w:tr>
        <w:trPr>
          <w:trHeight w:val="23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19,736</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19,736</w:t>
            </w:r>
          </w:p>
        </w:tc>
      </w:tr>
      <w:tr>
        <w:trPr>
          <w:trHeight w:val="33"/>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19,886</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17,730</w:t>
            </w:r>
          </w:p>
        </w:tc>
      </w:tr>
      <w:tr>
        <w:trPr>
          <w:trHeight w:val="33"/>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15,424</w:t>
            </w:r>
          </w:p>
        </w:tc>
      </w:tr>
      <w:tr>
        <w:trPr>
          <w:trHeight w:val="237"/>
        </w:trPr>
        <w:tc>
          <w:tcPr>
            <w:tcW w:w="96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237,011</w:t>
            </w:r>
          </w:p>
        </w:tc>
      </w:tr>
      <w:tr>
        <w:trPr>
          <w:trHeight w:val="33"/>
        </w:trPr>
        <w:tc>
          <w:tcPr>
            <w:tcW w:w="9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329,523</w:t>
            </w:r>
          </w:p>
        </w:tc>
      </w:tr>
      <w:tr>
        <w:trPr>
          <w:trHeight w:val="20"/>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As of December 31, 2018, the total minimum sublease rentals to be received in the future under non-cancellable subleases is $1.0 billion.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of the Company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data for the years ended December 31, 2018 and 2017, was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2018 Quarter Ended</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31</w:t>
            </w:r>
          </w:p>
        </w:tc>
      </w:tr>
      <w:tr>
        <w:trPr>
          <w:trHeight w:val="33"/>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200,239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198,587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206,229</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131,216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128,487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130,334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131,150</w:t>
            </w: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from unconsolidated joint ventures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2,747</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w w:val="98"/>
              </w:rPr>
              <w:t>Equity in net (loss) gain on sale of interest in unconsolidated joint venture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6,345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sale of real estate,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Purchase price and other fair value adjustments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54,860</w:t>
            </w: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Depreciable real estate reserves and 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(106,376)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51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(73,450)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73,508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67,373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132,053</w:t>
            </w: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 in other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Preferred units dividend</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(955)</w:t>
            </w:r>
          </w:p>
        </w:tc>
      </w:tr>
      <w:tr>
        <w:trPr>
          <w:trHeight w:val="33"/>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ROP common unitholder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72,341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130,806</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2017 Quarter Ended</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31</w:t>
            </w:r>
          </w:p>
        </w:tc>
      </w:tr>
      <w:tr>
        <w:trPr>
          <w:trHeight w:val="33"/>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241,463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241,908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232,355</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164,490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180,142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167,865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169,206</w:t>
            </w: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from unconsolidated joint ventures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4,255</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w:t>
            </w: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real estate,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Depreciable real estate reserves and impairment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(86,364)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(29,063)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(56,265)</w:t>
            </w:r>
          </w:p>
        </w:tc>
      </w:tr>
      <w:tr>
        <w:trPr>
          <w:trHeight w:val="33"/>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11,142</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w w:val="93"/>
              </w:rPr>
              <w:t>Net (income) loss attributable to noncontrolling interests in other partnerships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18,134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units dividend</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44"/>
        </w:trPr>
        <w:tc>
          <w:tcPr>
            <w:tcW w:w="5140" w:type="dxa"/>
            <w:vAlign w:val="bottom"/>
          </w:tcPr>
          <w:p>
            <w:pPr>
              <w:ind w:left="40"/>
              <w:spacing w:after="0"/>
              <w:rPr>
                <w:sz w:val="20"/>
                <w:szCs w:val="20"/>
                <w:color w:val="auto"/>
              </w:rPr>
            </w:pPr>
            <w:r>
              <w:rPr>
                <w:rFonts w:ascii="Arial" w:cs="Arial" w:eastAsia="Arial" w:hAnsi="Arial"/>
                <w:sz w:val="16"/>
                <w:szCs w:val="16"/>
                <w:color w:val="auto"/>
              </w:rPr>
              <w:t>Net income attributable to ROP common unitholder</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56,502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65,222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80,176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10,175</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two reportable segments, real estate and debt and preferred equity investments. We evaluate real estate performance and allocate resources based on earnings contributions.</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primary sources of revenue are generated from tenant rents and escalations and reimbursement revenue. Real estate property operating expenses consist primarily of security, maintenance, utility costs, insurance, real estate taxes and ground rent expense (at certain applicable properties). See Note 5, "Debt and Preferred Equity Investments," for additional details on our debt and preferred equity investments.</w:t>
      </w:r>
    </w:p>
    <w:p>
      <w:pPr>
        <w:spacing w:after="0" w:line="5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Selected consolidated results of operations for the years ended December 31, 2018, 2017 and 2016 and selected asset information as of December 31, 2018 and 2017, regarding our operating segments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Debt and Preferred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Real Estate</w:t>
            </w: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Equity</w:t>
            </w:r>
          </w:p>
        </w:tc>
        <w:tc>
          <w:tcPr>
            <w:tcW w:w="260" w:type="dxa"/>
            <w:vAlign w:val="bottom"/>
          </w:tcPr>
          <w:p>
            <w:pPr>
              <w:spacing w:after="0"/>
              <w:rPr>
                <w:sz w:val="17"/>
                <w:szCs w:val="17"/>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10"/>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Segment</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Segment</w:t>
            </w:r>
          </w:p>
        </w:tc>
        <w:tc>
          <w:tcPr>
            <w:tcW w:w="26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Company</w:t>
            </w:r>
          </w:p>
        </w:tc>
      </w:tr>
      <w:tr>
        <w:trPr>
          <w:trHeight w:val="33"/>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Years ended: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625,695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816,103</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December 31,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773,561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193,977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967,538</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761,314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975,416</w:t>
            </w:r>
          </w:p>
        </w:tc>
      </w:tr>
      <w:tr>
        <w:trPr>
          <w:trHeight w:val="237"/>
        </w:trPr>
        <w:tc>
          <w:tcPr>
            <w:tcW w:w="67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Years ended: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December 31, 2018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74,460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125,024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199,484</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198,454</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December 31, 2016</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108,304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204,996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313,300</w:t>
            </w: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6"/>
                <w:szCs w:val="16"/>
                <w:color w:val="auto"/>
              </w:rPr>
              <w:t>As of:</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4,917,674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2,091,623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7,009,297</w:t>
            </w:r>
          </w:p>
        </w:tc>
      </w:tr>
      <w:tr>
        <w:trPr>
          <w:trHeight w:val="237"/>
        </w:trPr>
        <w:tc>
          <w:tcPr>
            <w:tcW w:w="6760" w:type="dxa"/>
            <w:vAlign w:val="bottom"/>
          </w:tcPr>
          <w:p>
            <w:pPr>
              <w:ind w:left="380"/>
              <w:spacing w:after="0"/>
              <w:rPr>
                <w:sz w:val="20"/>
                <w:szCs w:val="20"/>
                <w:color w:val="auto"/>
              </w:rPr>
            </w:pPr>
            <w:r>
              <w:rPr>
                <w:rFonts w:ascii="Arial" w:cs="Arial" w:eastAsia="Arial" w:hAnsi="Arial"/>
                <w:sz w:val="16"/>
                <w:szCs w:val="16"/>
                <w:color w:val="auto"/>
              </w:rPr>
              <w:t>December 31, 2017</w:t>
            </w:r>
          </w:p>
        </w:tc>
        <w:tc>
          <w:tcPr>
            <w:tcW w:w="2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6,182,300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2,359,208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8,541,508</w:t>
            </w:r>
          </w:p>
        </w:tc>
      </w:tr>
    </w:tbl>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costs for the debt and preferred equity segment include actual costs incurred for borrowings on the 2016 MRA and 2017 MRA. Interest is imputed on the investments that do not collateralize the 2016 MRA or 2017 MRA using our weighted average corporate borrowing cost. We also allocate loan loss reserves, net of recoveries, and transaction related costs to the debt and preferred equity segment. We do not allocate marketing, general and administrative expenses to the debt and preferred equity segment since the use of personnel and resources is dependent on transaction volume between the two segments and varies period over period. In addition, we base performance on the individual segments prior to allocating marketing, general and administrative expenses. There were no transactions between the above two segments.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gridSpan w:val="2"/>
          </w:tcPr>
          <w:p>
            <w:pPr>
              <w:ind w:left="1580"/>
              <w:spacing w:after="0"/>
              <w:rPr>
                <w:sz w:val="20"/>
                <w:szCs w:val="20"/>
                <w:color w:val="auto"/>
              </w:rPr>
            </w:pPr>
            <w:r>
              <w:rPr>
                <w:rFonts w:ascii="Arial" w:cs="Arial" w:eastAsia="Arial" w:hAnsi="Arial"/>
                <w:sz w:val="16"/>
                <w:szCs w:val="16"/>
                <w:b w:val="1"/>
                <w:bCs w:val="1"/>
                <w:color w:val="auto"/>
              </w:rPr>
              <w:t>Column A</w:t>
            </w:r>
          </w:p>
        </w:tc>
        <w:tc>
          <w:tcPr>
            <w:tcW w:w="1500" w:type="dxa"/>
            <w:vAlign w:val="bottom"/>
          </w:tcPr>
          <w:p>
            <w:pPr>
              <w:jc w:val="center"/>
              <w:ind w:left="499"/>
              <w:spacing w:after="0"/>
              <w:rPr>
                <w:sz w:val="20"/>
                <w:szCs w:val="20"/>
                <w:color w:val="auto"/>
              </w:rPr>
            </w:pPr>
            <w:r>
              <w:rPr>
                <w:rFonts w:ascii="Arial" w:cs="Arial" w:eastAsia="Arial" w:hAnsi="Arial"/>
                <w:sz w:val="16"/>
                <w:szCs w:val="16"/>
                <w:b w:val="1"/>
                <w:bCs w:val="1"/>
                <w:color w:val="auto"/>
                <w:w w:val="95"/>
              </w:rPr>
              <w:t>Column B</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Column C</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Column D</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Column E</w:t>
            </w:r>
          </w:p>
        </w:tc>
      </w:tr>
      <w:tr>
        <w:trPr>
          <w:trHeight w:val="33"/>
        </w:trPr>
        <w:tc>
          <w:tcPr>
            <w:tcW w:w="3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left="499"/>
              <w:spacing w:after="0"/>
              <w:rPr>
                <w:sz w:val="20"/>
                <w:szCs w:val="20"/>
                <w:color w:val="auto"/>
              </w:rPr>
            </w:pPr>
            <w:r>
              <w:rPr>
                <w:rFonts w:ascii="Arial" w:cs="Arial" w:eastAsia="Arial" w:hAnsi="Arial"/>
                <w:sz w:val="16"/>
                <w:szCs w:val="16"/>
                <w:b w:val="1"/>
                <w:bCs w:val="1"/>
                <w:color w:val="auto"/>
                <w:w w:val="89"/>
              </w:rPr>
              <w:t>Balance at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Additions</w:t>
            </w:r>
          </w:p>
        </w:tc>
        <w:tc>
          <w:tcPr>
            <w:tcW w:w="2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Uncollectible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left="499"/>
              <w:spacing w:after="0"/>
              <w:rPr>
                <w:sz w:val="20"/>
                <w:szCs w:val="20"/>
                <w:color w:val="auto"/>
              </w:rPr>
            </w:pPr>
            <w:r>
              <w:rPr>
                <w:rFonts w:ascii="Arial" w:cs="Arial" w:eastAsia="Arial" w:hAnsi="Arial"/>
                <w:sz w:val="16"/>
                <w:szCs w:val="16"/>
                <w:b w:val="1"/>
                <w:bCs w:val="1"/>
                <w:color w:val="auto"/>
                <w:w w:val="89"/>
              </w:rPr>
              <w:t>Beginning of</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Charged Against</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Accounts</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Balance at</w:t>
            </w:r>
          </w:p>
        </w:tc>
      </w:tr>
      <w:tr>
        <w:trPr>
          <w:trHeight w:val="210"/>
        </w:trPr>
        <w:tc>
          <w:tcPr>
            <w:tcW w:w="4000" w:type="dxa"/>
            <w:vAlign w:val="bottom"/>
            <w:gridSpan w:val="2"/>
          </w:tcPr>
          <w:p>
            <w:pPr>
              <w:ind w:left="1540"/>
              <w:spacing w:after="0"/>
              <w:rPr>
                <w:sz w:val="20"/>
                <w:szCs w:val="20"/>
                <w:color w:val="auto"/>
              </w:rPr>
            </w:pPr>
            <w:r>
              <w:rPr>
                <w:rFonts w:ascii="Arial" w:cs="Arial" w:eastAsia="Arial" w:hAnsi="Arial"/>
                <w:sz w:val="16"/>
                <w:szCs w:val="16"/>
                <w:b w:val="1"/>
                <w:bCs w:val="1"/>
                <w:color w:val="auto"/>
              </w:rPr>
              <w:t>Description</w:t>
            </w:r>
          </w:p>
        </w:tc>
        <w:tc>
          <w:tcPr>
            <w:tcW w:w="1500" w:type="dxa"/>
            <w:vAlign w:val="bottom"/>
          </w:tcPr>
          <w:p>
            <w:pPr>
              <w:jc w:val="center"/>
              <w:ind w:left="499"/>
              <w:spacing w:after="0"/>
              <w:rPr>
                <w:sz w:val="20"/>
                <w:szCs w:val="20"/>
                <w:color w:val="auto"/>
              </w:rPr>
            </w:pPr>
            <w:r>
              <w:rPr>
                <w:rFonts w:ascii="Arial" w:cs="Arial" w:eastAsia="Arial" w:hAnsi="Arial"/>
                <w:sz w:val="16"/>
                <w:szCs w:val="16"/>
                <w:b w:val="1"/>
                <w:bCs w:val="1"/>
                <w:color w:val="auto"/>
                <w:w w:val="92"/>
              </w:rPr>
              <w:t>Year</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Operations/Recovery</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 xml:space="preserve">Written-off </w:t>
            </w:r>
            <w:r>
              <w:rPr>
                <w:rFonts w:ascii="Arial" w:cs="Arial" w:eastAsia="Arial" w:hAnsi="Arial"/>
                <w:sz w:val="14"/>
                <w:szCs w:val="14"/>
                <w:b w:val="1"/>
                <w:bCs w:val="1"/>
                <w:color w:val="auto"/>
                <w:w w:val="97"/>
              </w:rPr>
              <w:t>(1)</w:t>
            </w:r>
          </w:p>
        </w:tc>
        <w:tc>
          <w:tcPr>
            <w:tcW w:w="200" w:type="dxa"/>
            <w:vAlign w:val="bottom"/>
          </w:tcPr>
          <w:p>
            <w:pPr>
              <w:spacing w:after="0"/>
              <w:rPr>
                <w:sz w:val="18"/>
                <w:szCs w:val="18"/>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End of Year</w:t>
            </w:r>
          </w:p>
        </w:tc>
      </w:tr>
      <w:tr>
        <w:trPr>
          <w:trHeight w:val="33"/>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Tenant and other receivables—allowance</w:t>
            </w:r>
          </w:p>
        </w:tc>
        <w:tc>
          <w:tcPr>
            <w:tcW w:w="15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7,237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(3,505)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6,795</w:t>
            </w: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rent receivable—allowance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9,535</w:t>
            </w: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Tenant and other receivables—allowance</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7,237</w:t>
            </w: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Deferred rent receivable—allowance</w:t>
            </w:r>
          </w:p>
        </w:tc>
        <w:tc>
          <w:tcPr>
            <w:tcW w:w="15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17,798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11,189</w:t>
            </w: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Tenant and other receivables—allowance</w:t>
            </w:r>
          </w:p>
        </w:tc>
        <w:tc>
          <w:tcPr>
            <w:tcW w:w="15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(4,318)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4,879</w:t>
            </w:r>
          </w:p>
        </w:tc>
      </w:tr>
      <w:tr>
        <w:trPr>
          <w:trHeight w:val="33"/>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rent receivable—allowance</w:t>
            </w:r>
          </w:p>
        </w:tc>
        <w:tc>
          <w:tcPr>
            <w:tcW w:w="15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14,788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17,798</w:t>
            </w:r>
          </w:p>
        </w:tc>
      </w:tr>
      <w:tr>
        <w:trPr>
          <w:trHeight w:val="33"/>
        </w:trPr>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Includes the effect of properties that were sold and/or deconsolidated within the period.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Reckson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gridSpan w:val="2"/>
          </w:tcPr>
          <w:p>
            <w:pPr>
              <w:jc w:val="center"/>
              <w:ind w:right="31"/>
              <w:spacing w:after="0"/>
              <w:rPr>
                <w:sz w:val="20"/>
                <w:szCs w:val="20"/>
                <w:color w:val="auto"/>
              </w:rPr>
            </w:pPr>
            <w:r>
              <w:rPr>
                <w:rFonts w:ascii="Arial" w:cs="Arial" w:eastAsia="Arial" w:hAnsi="Arial"/>
                <w:sz w:val="10"/>
                <w:szCs w:val="10"/>
                <w:b w:val="1"/>
                <w:bCs w:val="1"/>
                <w:color w:val="auto"/>
                <w:w w:val="93"/>
              </w:rPr>
              <w:t>Column D</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0"/>
                <w:szCs w:val="10"/>
                <w:b w:val="1"/>
                <w:bCs w:val="1"/>
                <w:color w:val="auto"/>
                <w:w w:val="89"/>
              </w:rPr>
              <w:t>Cost Capitalized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Column 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gridSpan w:val="5"/>
          </w:tcPr>
          <w:p>
            <w:pPr>
              <w:jc w:val="center"/>
              <w:ind w:right="700"/>
              <w:spacing w:after="0"/>
              <w:rPr>
                <w:sz w:val="20"/>
                <w:szCs w:val="20"/>
                <w:color w:val="auto"/>
              </w:rPr>
            </w:pPr>
            <w:r>
              <w:rPr>
                <w:rFonts w:ascii="Arial" w:cs="Arial" w:eastAsia="Arial" w:hAnsi="Arial"/>
                <w:sz w:val="10"/>
                <w:szCs w:val="10"/>
                <w:b w:val="1"/>
                <w:bCs w:val="1"/>
                <w:color w:val="auto"/>
                <w:w w:val="93"/>
              </w:rPr>
              <w:t>Column C</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gridSpan w:val="3"/>
          </w:tcPr>
          <w:p>
            <w:pPr>
              <w:jc w:val="center"/>
              <w:spacing w:after="0"/>
              <w:rPr>
                <w:sz w:val="20"/>
                <w:szCs w:val="20"/>
                <w:color w:val="auto"/>
              </w:rPr>
            </w:pPr>
            <w:r>
              <w:rPr>
                <w:rFonts w:ascii="Arial" w:cs="Arial" w:eastAsia="Arial" w:hAnsi="Arial"/>
                <w:sz w:val="10"/>
                <w:szCs w:val="10"/>
                <w:b w:val="1"/>
                <w:bCs w:val="1"/>
                <w:color w:val="auto"/>
                <w:w w:val="83"/>
              </w:rPr>
              <w:t>Subsequent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gridSpan w:val="8"/>
          </w:tcPr>
          <w:p>
            <w:pPr>
              <w:jc w:val="center"/>
              <w:ind w:right="200"/>
              <w:spacing w:after="0"/>
              <w:rPr>
                <w:sz w:val="20"/>
                <w:szCs w:val="20"/>
                <w:color w:val="auto"/>
              </w:rPr>
            </w:pPr>
            <w:r>
              <w:rPr>
                <w:rFonts w:ascii="Arial" w:cs="Arial" w:eastAsia="Arial" w:hAnsi="Arial"/>
                <w:sz w:val="10"/>
                <w:szCs w:val="10"/>
                <w:b w:val="1"/>
                <w:bCs w:val="1"/>
                <w:color w:val="auto"/>
                <w:w w:val="91"/>
              </w:rPr>
              <w:t>Gross Amount at Which Carried at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6"/>
        </w:trPr>
        <w:tc>
          <w:tcPr>
            <w:tcW w:w="800" w:type="dxa"/>
            <w:vAlign w:val="bottom"/>
          </w:tcPr>
          <w:p>
            <w:pPr>
              <w:ind w:left="180"/>
              <w:spacing w:after="0"/>
              <w:rPr>
                <w:sz w:val="20"/>
                <w:szCs w:val="20"/>
                <w:color w:val="auto"/>
              </w:rPr>
            </w:pPr>
            <w:r>
              <w:rPr>
                <w:rFonts w:ascii="Arial" w:cs="Arial" w:eastAsia="Arial" w:hAnsi="Arial"/>
                <w:sz w:val="10"/>
                <w:szCs w:val="10"/>
                <w:b w:val="1"/>
                <w:bCs w:val="1"/>
                <w:color w:val="auto"/>
              </w:rPr>
              <w:t>Column A</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Column B</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gridSpan w:val="5"/>
          </w:tcPr>
          <w:p>
            <w:pPr>
              <w:jc w:val="center"/>
              <w:ind w:right="700"/>
              <w:spacing w:after="0"/>
              <w:rPr>
                <w:sz w:val="20"/>
                <w:szCs w:val="20"/>
                <w:color w:val="auto"/>
              </w:rPr>
            </w:pPr>
            <w:r>
              <w:rPr>
                <w:rFonts w:ascii="Arial" w:cs="Arial" w:eastAsia="Arial" w:hAnsi="Arial"/>
                <w:sz w:val="10"/>
                <w:szCs w:val="10"/>
                <w:b w:val="1"/>
                <w:bCs w:val="1"/>
                <w:color w:val="auto"/>
                <w:w w:val="93"/>
              </w:rPr>
              <w:t>Initial Cost</w:t>
            </w:r>
          </w:p>
        </w:tc>
        <w:tc>
          <w:tcPr>
            <w:tcW w:w="120" w:type="dxa"/>
            <w:vAlign w:val="bottom"/>
          </w:tcPr>
          <w:p>
            <w:pPr>
              <w:spacing w:after="0"/>
              <w:rPr>
                <w:sz w:val="10"/>
                <w:szCs w:val="10"/>
                <w:color w:val="auto"/>
              </w:rPr>
            </w:pPr>
          </w:p>
        </w:tc>
        <w:tc>
          <w:tcPr>
            <w:tcW w:w="1000" w:type="dxa"/>
            <w:vAlign w:val="bottom"/>
            <w:gridSpan w:val="4"/>
          </w:tcPr>
          <w:p>
            <w:pPr>
              <w:jc w:val="center"/>
              <w:ind w:left="307"/>
              <w:spacing w:after="0"/>
              <w:rPr>
                <w:sz w:val="20"/>
                <w:szCs w:val="20"/>
                <w:color w:val="auto"/>
              </w:rPr>
            </w:pPr>
            <w:r>
              <w:rPr>
                <w:rFonts w:ascii="Arial" w:cs="Arial" w:eastAsia="Arial" w:hAnsi="Arial"/>
                <w:sz w:val="10"/>
                <w:szCs w:val="10"/>
                <w:b w:val="1"/>
                <w:bCs w:val="1"/>
                <w:color w:val="auto"/>
                <w:w w:val="86"/>
              </w:rPr>
              <w:t>To Acquisition</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7"/>
              </w:rPr>
              <w:t>Close of Period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7"/>
              <w:spacing w:after="0"/>
              <w:rPr>
                <w:sz w:val="20"/>
                <w:szCs w:val="20"/>
                <w:color w:val="auto"/>
              </w:rPr>
            </w:pPr>
            <w:r>
              <w:rPr>
                <w:rFonts w:ascii="Arial" w:cs="Arial" w:eastAsia="Arial" w:hAnsi="Arial"/>
                <w:sz w:val="10"/>
                <w:szCs w:val="10"/>
                <w:b w:val="1"/>
                <w:bCs w:val="1"/>
                <w:color w:val="auto"/>
                <w:w w:val="95"/>
              </w:rPr>
              <w:t>Column F</w:t>
            </w:r>
          </w:p>
        </w:tc>
        <w:tc>
          <w:tcPr>
            <w:tcW w:w="120" w:type="dxa"/>
            <w:vAlign w:val="bottom"/>
          </w:tcPr>
          <w:p>
            <w:pPr>
              <w:spacing w:after="0"/>
              <w:rPr>
                <w:sz w:val="10"/>
                <w:szCs w:val="1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Column G</w:t>
            </w: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Column H</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3"/>
              </w:rPr>
              <w:t>Column I</w:t>
            </w:r>
          </w:p>
        </w:tc>
      </w:tr>
      <w:tr>
        <w:trPr>
          <w:trHeight w:val="26"/>
        </w:trPr>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38"/>
        </w:trPr>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rPr>
              <w:t>Life</w:t>
            </w:r>
          </w:p>
        </w:tc>
      </w:tr>
      <w:tr>
        <w:trPr>
          <w:trHeight w:val="122"/>
        </w:trPr>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w:t>
            </w:r>
          </w:p>
        </w:tc>
      </w:tr>
      <w:tr>
        <w:trPr>
          <w:trHeight w:val="122"/>
        </w:trPr>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Building &amp;</w:t>
            </w: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5"/>
              </w:rPr>
              <w:t>Building &amp;</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Building &amp;</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67"/>
              <w:spacing w:after="0"/>
              <w:rPr>
                <w:sz w:val="20"/>
                <w:szCs w:val="20"/>
                <w:color w:val="auto"/>
              </w:rPr>
            </w:pPr>
            <w:r>
              <w:rPr>
                <w:rFonts w:ascii="Arial" w:cs="Arial" w:eastAsia="Arial" w:hAnsi="Arial"/>
                <w:sz w:val="10"/>
                <w:szCs w:val="10"/>
                <w:b w:val="1"/>
                <w:bCs w:val="1"/>
                <w:color w:val="auto"/>
                <w:w w:val="89"/>
              </w:rPr>
              <w:t>Accumulated</w:t>
            </w:r>
          </w:p>
        </w:tc>
        <w:tc>
          <w:tcPr>
            <w:tcW w:w="120" w:type="dxa"/>
            <w:vAlign w:val="bottom"/>
          </w:tcPr>
          <w:p>
            <w:pPr>
              <w:spacing w:after="0"/>
              <w:rPr>
                <w:sz w:val="10"/>
                <w:szCs w:val="1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Date of</w:t>
            </w: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Date</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9"/>
              </w:rPr>
              <w:t>Depreciation</w:t>
            </w:r>
          </w:p>
        </w:tc>
      </w:tr>
      <w:tr>
        <w:trPr>
          <w:trHeight w:val="126"/>
        </w:trPr>
        <w:tc>
          <w:tcPr>
            <w:tcW w:w="800" w:type="dxa"/>
            <w:vAlign w:val="bottom"/>
          </w:tcPr>
          <w:p>
            <w:pPr>
              <w:ind w:left="40"/>
              <w:spacing w:after="0"/>
              <w:rPr>
                <w:sz w:val="20"/>
                <w:szCs w:val="20"/>
                <w:color w:val="auto"/>
              </w:rPr>
            </w:pPr>
            <w:r>
              <w:rPr>
                <w:rFonts w:ascii="Arial" w:cs="Arial" w:eastAsia="Arial" w:hAnsi="Arial"/>
                <w:sz w:val="10"/>
                <w:szCs w:val="10"/>
                <w:b w:val="1"/>
                <w:bCs w:val="1"/>
                <w:color w:val="auto"/>
              </w:rPr>
              <w:t>Description</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Encumbrances</w:t>
            </w:r>
          </w:p>
        </w:tc>
        <w:tc>
          <w:tcPr>
            <w:tcW w:w="140" w:type="dxa"/>
            <w:vAlign w:val="bottom"/>
          </w:tcPr>
          <w:p>
            <w:pPr>
              <w:spacing w:after="0"/>
              <w:rPr>
                <w:sz w:val="10"/>
                <w:szCs w:val="10"/>
                <w:color w:val="auto"/>
              </w:rPr>
            </w:pPr>
          </w:p>
        </w:tc>
        <w:tc>
          <w:tcPr>
            <w:tcW w:w="480" w:type="dxa"/>
            <w:vAlign w:val="bottom"/>
          </w:tcPr>
          <w:p>
            <w:pPr>
              <w:jc w:val="right"/>
              <w:ind w:right="106"/>
              <w:spacing w:after="0"/>
              <w:rPr>
                <w:sz w:val="20"/>
                <w:szCs w:val="20"/>
                <w:color w:val="auto"/>
              </w:rPr>
            </w:pPr>
            <w:r>
              <w:rPr>
                <w:rFonts w:ascii="Arial" w:cs="Arial" w:eastAsia="Arial" w:hAnsi="Arial"/>
                <w:sz w:val="10"/>
                <w:szCs w:val="10"/>
                <w:b w:val="1"/>
                <w:bCs w:val="1"/>
                <w:color w:val="auto"/>
              </w:rPr>
              <w:t>Land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0"/>
              </w:rPr>
              <w:t>Improvements</w:t>
            </w:r>
          </w:p>
        </w:tc>
        <w:tc>
          <w:tcPr>
            <w:tcW w:w="120" w:type="dxa"/>
            <w:vAlign w:val="bottom"/>
          </w:tcPr>
          <w:p>
            <w:pPr>
              <w:spacing w:after="0"/>
              <w:rPr>
                <w:sz w:val="10"/>
                <w:szCs w:val="10"/>
                <w:color w:val="auto"/>
              </w:rPr>
            </w:pPr>
          </w:p>
        </w:tc>
        <w:tc>
          <w:tcPr>
            <w:tcW w:w="400" w:type="dxa"/>
            <w:vAlign w:val="bottom"/>
          </w:tcPr>
          <w:p>
            <w:pPr>
              <w:jc w:val="right"/>
              <w:ind w:right="67"/>
              <w:spacing w:after="0"/>
              <w:rPr>
                <w:sz w:val="20"/>
                <w:szCs w:val="20"/>
                <w:color w:val="auto"/>
              </w:rPr>
            </w:pPr>
            <w:r>
              <w:rPr>
                <w:rFonts w:ascii="Arial" w:cs="Arial" w:eastAsia="Arial" w:hAnsi="Arial"/>
                <w:sz w:val="10"/>
                <w:szCs w:val="10"/>
                <w:b w:val="1"/>
                <w:bCs w:val="1"/>
                <w:color w:val="auto"/>
              </w:rPr>
              <w:t>Land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7"/>
              </w:rPr>
              <w:t>Improvements</w:t>
            </w:r>
          </w:p>
        </w:tc>
        <w:tc>
          <w:tcPr>
            <w:tcW w:w="120" w:type="dxa"/>
            <w:vAlign w:val="bottom"/>
          </w:tcPr>
          <w:p>
            <w:pPr>
              <w:spacing w:after="0"/>
              <w:rPr>
                <w:sz w:val="10"/>
                <w:szCs w:val="10"/>
                <w:color w:val="auto"/>
              </w:rPr>
            </w:pPr>
          </w:p>
        </w:tc>
        <w:tc>
          <w:tcPr>
            <w:tcW w:w="640" w:type="dxa"/>
            <w:vAlign w:val="bottom"/>
            <w:gridSpan w:val="2"/>
          </w:tcPr>
          <w:p>
            <w:pPr>
              <w:ind w:left="100"/>
              <w:spacing w:after="0"/>
              <w:rPr>
                <w:sz w:val="20"/>
                <w:szCs w:val="20"/>
                <w:color w:val="auto"/>
              </w:rPr>
            </w:pPr>
            <w:r>
              <w:rPr>
                <w:rFonts w:ascii="Arial" w:cs="Arial" w:eastAsia="Arial" w:hAnsi="Arial"/>
                <w:sz w:val="10"/>
                <w:szCs w:val="10"/>
                <w:b w:val="1"/>
                <w:bCs w:val="1"/>
                <w:color w:val="auto"/>
              </w:rPr>
              <w:t>Land</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0"/>
              </w:rPr>
              <w:t>Improvements</w:t>
            </w:r>
          </w:p>
        </w:tc>
        <w:tc>
          <w:tcPr>
            <w:tcW w:w="12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76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Depreciation</w:t>
            </w:r>
          </w:p>
        </w:tc>
        <w:tc>
          <w:tcPr>
            <w:tcW w:w="120" w:type="dxa"/>
            <w:vAlign w:val="bottom"/>
          </w:tcPr>
          <w:p>
            <w:pPr>
              <w:spacing w:after="0"/>
              <w:rPr>
                <w:sz w:val="10"/>
                <w:szCs w:val="1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Construction</w:t>
            </w: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Acquired</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5"/>
              </w:rPr>
              <w:t>is Computed</w:t>
            </w:r>
          </w:p>
        </w:tc>
      </w:tr>
      <w:tr>
        <w:trPr>
          <w:trHeight w:val="26"/>
        </w:trPr>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32"/>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810 Seventh</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114,077</w:t>
            </w:r>
          </w:p>
        </w:tc>
        <w:tc>
          <w:tcPr>
            <w:tcW w:w="320" w:type="dxa"/>
            <w:vAlign w:val="bottom"/>
            <w:tcBorders>
              <w:bottom w:val="single" w:sz="8" w:color="CCEEFF"/>
            </w:tcBorders>
            <w:gridSpan w:val="3"/>
            <w:shd w:val="clear" w:color="auto" w:fill="CCEEFF"/>
          </w:tcPr>
          <w:p>
            <w:pPr>
              <w:jc w:val="center"/>
              <w:ind w:lef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476,386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gridSpan w:val="3"/>
            <w:shd w:val="clear" w:color="auto" w:fill="CCEEFF"/>
          </w:tcPr>
          <w:p>
            <w:pPr>
              <w:jc w:val="right"/>
              <w:ind w:right="311"/>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74,433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114,077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550,819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664,896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176,354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1970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461 Fifth</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62,695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25,581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88,276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88,276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29,680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1988</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10/2003</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750 Third</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51,093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205,972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45,551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51,093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251,523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302,616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101,854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1958</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7/2004</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555 W. 57th</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Street(1)</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18,846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78,704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62,242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18,846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140,946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159,792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69,817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1971</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1/1999</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w w:val="95"/>
              </w:rPr>
              <w:t>1185 Avenue of</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5"/>
              </w:rPr>
              <w:t>the Americas(1)</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728,213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62,893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791,106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791,106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265,896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1969</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w w:val="95"/>
              </w:rPr>
              <w:t>1350 Avenue of</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w w:val="95"/>
              </w:rPr>
              <w:t>the Americas(1)</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91,038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380,744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50,773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90,941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431,517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522,458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136,853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1966</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100 Summit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Lake Drive(2)</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10,526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43,109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(3,337)</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7,189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43,015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50,204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18,936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1988</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200 Summit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Lake Drive(2)</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11,183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47,906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(5,321)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(9,102)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5,862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38,804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44,666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21,203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1990</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500 Summit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Lake Drive(2)</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9,777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39,048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(3,601)</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(7,875)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6,176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31,173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37,349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14,523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1986</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360 Hamilton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Avenue(2)</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29,497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118,250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(2,625)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8,005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26,872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126,255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153,127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43,901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2000</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1010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22"/>
        </w:trPr>
        <w:tc>
          <w:tcPr>
            <w:tcW w:w="800" w:type="dxa"/>
            <w:vAlign w:val="bottom"/>
            <w:shd w:val="clear" w:color="auto" w:fill="CCEEFF"/>
          </w:tcPr>
          <w:p>
            <w:pPr>
              <w:ind w:left="40"/>
              <w:spacing w:after="0" w:line="122" w:lineRule="exact"/>
              <w:rPr>
                <w:sz w:val="20"/>
                <w:szCs w:val="20"/>
                <w:color w:val="auto"/>
              </w:rPr>
            </w:pPr>
            <w:r>
              <w:rPr>
                <w:rFonts w:ascii="Arial" w:cs="Arial" w:eastAsia="Arial" w:hAnsi="Arial"/>
                <w:sz w:val="11"/>
                <w:szCs w:val="11"/>
                <w:color w:val="auto"/>
              </w:rPr>
              <w:t>Washington</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Boulevard(3)</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7,747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30,423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(1,259)</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2,928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6,488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33,351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39,839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12,489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1988</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1/2007</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1055</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22"/>
        </w:trPr>
        <w:tc>
          <w:tcPr>
            <w:tcW w:w="800" w:type="dxa"/>
            <w:vAlign w:val="bottom"/>
          </w:tcPr>
          <w:p>
            <w:pPr>
              <w:ind w:left="40"/>
              <w:spacing w:after="0" w:line="122" w:lineRule="exact"/>
              <w:rPr>
                <w:sz w:val="20"/>
                <w:szCs w:val="20"/>
                <w:color w:val="auto"/>
              </w:rPr>
            </w:pPr>
            <w:r>
              <w:rPr>
                <w:rFonts w:ascii="Arial" w:cs="Arial" w:eastAsia="Arial" w:hAnsi="Arial"/>
                <w:sz w:val="11"/>
                <w:szCs w:val="11"/>
                <w:color w:val="auto"/>
              </w:rPr>
              <w:t>Washington</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Boulevard(3)</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13,516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53,228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(5,130)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(9,986)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8,386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43,242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51,628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20,382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1987</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6/2007</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609 Fifth</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36,677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145,954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49,527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36,677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195,481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232,158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43,777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1925</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6/2006</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110 East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42nd Street(1)</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46,411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28,673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33,862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75,084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108,946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16,960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1921</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5/2011</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304 Park</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54,189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75,619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300</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15,024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54,489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90,643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145,132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19,315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1930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6/2012</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635 Sixth</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24,180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37,158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7"/>
              <w:spacing w:after="0"/>
              <w:rPr>
                <w:sz w:val="20"/>
                <w:szCs w:val="20"/>
                <w:color w:val="auto"/>
              </w:rPr>
            </w:pPr>
            <w:r>
              <w:rPr>
                <w:rFonts w:ascii="Arial" w:cs="Arial" w:eastAsia="Arial" w:hAnsi="Arial"/>
                <w:sz w:val="11"/>
                <w:szCs w:val="11"/>
                <w:color w:val="auto"/>
              </w:rPr>
              <w:t>163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51,103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24,343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88,261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112,604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10,931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1902</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9/2012</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641 Sixth</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45,668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67,316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308</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9,760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45,976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77,076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123,052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15,891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1902</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9/2012</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315 West 33rd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Street(1)</w:t>
            </w:r>
          </w:p>
        </w:tc>
        <w:tc>
          <w:tcPr>
            <w:tcW w:w="10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250,000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195,834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164,429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15,133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195,834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179,562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375,396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25,397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2000-2001</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11/2013</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6"/>
              </w:rPr>
              <w:t>Williamsburg(4)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2,523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16,358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2,127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12/2010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115 Spring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Street(1)</w:t>
            </w:r>
          </w:p>
        </w:tc>
        <w:tc>
          <w:tcPr>
            <w:tcW w:w="10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65,550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11,078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44,799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1,850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11,078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46,649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57,727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5,248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1900</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7/2014</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125 Park</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120,900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189,714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80,884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120,900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270,598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391,498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77,542</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1923</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10/2010</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625 Madison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Ave(1)</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246,673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44,646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291,319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291,319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118,380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1956</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10/2004</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711 Third</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Avenue(1)(5)</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19,844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42,499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73,270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19,844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115,769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135,613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45,066</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1955</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5/1998</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139"/>
        </w:trPr>
        <w:tc>
          <w:tcPr>
            <w:tcW w:w="800" w:type="dxa"/>
            <w:vAlign w:val="bottom"/>
          </w:tcPr>
          <w:p>
            <w:pPr>
              <w:ind w:left="40"/>
              <w:spacing w:after="0"/>
              <w:rPr>
                <w:sz w:val="20"/>
                <w:szCs w:val="20"/>
                <w:color w:val="auto"/>
              </w:rPr>
            </w:pPr>
            <w:r>
              <w:rPr>
                <w:rFonts w:ascii="Arial" w:cs="Arial" w:eastAsia="Arial" w:hAnsi="Arial"/>
                <w:sz w:val="11"/>
                <w:szCs w:val="11"/>
                <w:color w:val="auto"/>
              </w:rPr>
              <w:t>752 Madison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6"/>
        </w:trPr>
        <w:tc>
          <w:tcPr>
            <w:tcW w:w="800" w:type="dxa"/>
            <w:vAlign w:val="bottom"/>
          </w:tcPr>
          <w:p>
            <w:pPr>
              <w:ind w:left="40"/>
              <w:spacing w:after="0"/>
              <w:rPr>
                <w:sz w:val="20"/>
                <w:szCs w:val="20"/>
                <w:color w:val="auto"/>
              </w:rPr>
            </w:pPr>
            <w:r>
              <w:rPr>
                <w:rFonts w:ascii="Arial" w:cs="Arial" w:eastAsia="Arial" w:hAnsi="Arial"/>
                <w:sz w:val="11"/>
                <w:szCs w:val="11"/>
                <w:color w:val="auto"/>
              </w:rPr>
              <w:t>Avenue(1)</w:t>
            </w:r>
          </w:p>
        </w:tc>
        <w:tc>
          <w:tcPr>
            <w:tcW w:w="10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282,415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0" w:type="dxa"/>
            <w:vAlign w:val="bottom"/>
          </w:tcPr>
          <w:p>
            <w:pPr>
              <w:jc w:val="right"/>
              <w:ind w:right="7"/>
              <w:spacing w:after="0"/>
              <w:rPr>
                <w:sz w:val="20"/>
                <w:szCs w:val="20"/>
                <w:color w:val="auto"/>
              </w:rPr>
            </w:pPr>
            <w:r>
              <w:rPr>
                <w:rFonts w:ascii="Arial" w:cs="Arial" w:eastAsia="Arial" w:hAnsi="Arial"/>
                <w:sz w:val="11"/>
                <w:szCs w:val="11"/>
                <w:color w:val="auto"/>
              </w:rPr>
              <w:t>1,871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1,124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284,286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1,124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285,410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12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1996/2012</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1/2012</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N/A</w:t>
            </w:r>
          </w:p>
        </w:tc>
      </w:tr>
      <w:tr>
        <w:trPr>
          <w:trHeight w:val="22"/>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9"/>
        </w:trPr>
        <w:tc>
          <w:tcPr>
            <w:tcW w:w="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110 Greene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3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Street(1)(6)</w:t>
            </w: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45,120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215,470</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12,923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45,120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228,393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273,513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23,683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1910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7/2015</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Various</w:t>
            </w:r>
          </w:p>
        </w:tc>
      </w:tr>
      <w:tr>
        <w:trPr>
          <w:trHeight w:val="248"/>
        </w:trPr>
        <w:tc>
          <w:tcPr>
            <w:tcW w:w="800" w:type="dxa"/>
            <w:vAlign w:val="bottom"/>
          </w:tcPr>
          <w:p>
            <w:pPr>
              <w:ind w:left="40"/>
              <w:spacing w:after="0"/>
              <w:rPr>
                <w:sz w:val="20"/>
                <w:szCs w:val="20"/>
                <w:color w:val="auto"/>
              </w:rPr>
            </w:pPr>
            <w:r>
              <w:rPr>
                <w:rFonts w:ascii="Arial" w:cs="Arial" w:eastAsia="Arial" w:hAnsi="Arial"/>
                <w:sz w:val="11"/>
                <w:szCs w:val="11"/>
                <w:color w:val="auto"/>
              </w:rPr>
              <w:t>Other(7)</w:t>
            </w:r>
          </w:p>
        </w:tc>
        <w:tc>
          <w:tcPr>
            <w:tcW w:w="1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(1,134)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4,691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4,691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4,687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Various</w:t>
            </w:r>
          </w:p>
        </w:tc>
      </w:tr>
      <w:tr>
        <w:trPr>
          <w:trHeight w:val="22"/>
        </w:trPr>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r>
      <w:tr>
        <w:trPr>
          <w:trHeight w:val="242"/>
        </w:trPr>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0"/>
                <w:szCs w:val="10"/>
                <w:color w:val="auto"/>
              </w:rPr>
              <w:t>315,550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4"/>
              </w:rPr>
              <w:t>1,232,012</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0"/>
                <w:szCs w:val="10"/>
                <w:color w:val="auto"/>
              </w:rPr>
              <w:t>3,555,428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6"/>
              </w:rPr>
              <w:t>(17,477)</w:t>
            </w:r>
          </w:p>
        </w:tc>
        <w:tc>
          <w:tcPr>
            <w:tcW w:w="600" w:type="dxa"/>
            <w:vAlign w:val="bottom"/>
            <w:tcBorders>
              <w:bottom w:val="single" w:sz="8" w:color="CCEEFF"/>
            </w:tcBorders>
            <w:gridSpan w:val="3"/>
            <w:shd w:val="clear" w:color="auto" w:fill="CCEEFF"/>
          </w:tcPr>
          <w:p>
            <w:pPr>
              <w:jc w:val="right"/>
              <w:ind w:right="311"/>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0"/>
                <w:szCs w:val="10"/>
                <w:color w:val="auto"/>
                <w:w w:val="88"/>
              </w:rPr>
              <w:t>689,407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0"/>
                <w:szCs w:val="10"/>
                <w:color w:val="auto"/>
                <w:w w:val="94"/>
              </w:rPr>
              <w:t>1,214,535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0"/>
                <w:szCs w:val="10"/>
                <w:color w:val="auto"/>
              </w:rPr>
              <w:t>4,244,835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0"/>
                <w:szCs w:val="10"/>
                <w:color w:val="auto"/>
                <w:w w:val="94"/>
              </w:rPr>
              <w:t>5,459,370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0"/>
                <w:szCs w:val="10"/>
                <w:color w:val="auto"/>
              </w:rPr>
              <w:t>1,316,217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w:t>
      </w:r>
    </w:p>
    <w:p>
      <w:pPr>
        <w:spacing w:after="0" w:line="28"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Property located in New York, New York.</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Property located in Westchester County, New York.</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Property located in Connecticut.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Property located in Brooklyn, New York.</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own a tenancy in common interest in the property.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own a 90% interest in this property.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 includes tenant improvements, capitalized interest and corporate improvements.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real estate for the years ended December 31, 2018, 2017 and 2016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Balance at beginning of year</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7,029,455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7,508,870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7,428,243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Improvements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133,946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121,959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123,173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Retirements/disposals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(1,704,031)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(601,374)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(42,546)</w:t>
            </w:r>
          </w:p>
        </w:tc>
      </w:tr>
      <w:tr>
        <w:trPr>
          <w:trHeight w:val="244"/>
        </w:trPr>
        <w:tc>
          <w:tcPr>
            <w:tcW w:w="708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5,459,370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7,029,455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7,508,870</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aggregate cost of land, buildings and improvements, before depreciation, for Federal income tax purposes at December 31, 2018 was approximately $4.2 billion (unaudited).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accumulated depreciation, exclusive of amounts relating to equipment, autos, and furniture and fixtures,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are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1,492,603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1,437,222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1,267,598</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Depreciation for year</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146,216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178,801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183,873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Retirements/disposals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(322,602)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(14,249)</w:t>
            </w:r>
          </w:p>
        </w:tc>
      </w:tr>
      <w:tr>
        <w:trPr>
          <w:trHeight w:val="244"/>
        </w:trPr>
        <w:tc>
          <w:tcPr>
            <w:tcW w:w="708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1,316,217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1,492,603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1,437,222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the principal executive officer and principal financial officer of our general partner,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w:t>
      </w:r>
    </w:p>
    <w:p>
      <w:pPr>
        <w:spacing w:after="0" w:line="5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the President and Treasurer of our general partner, of the effectiveness of the design and operation of our disclosure controls and procedures. Based upon that evaluation as of the end of the period covered by this report, the President and Treasurer of our general partner concluded that our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are responsible for establishing and maintaining adequate internal control over financial reporting, as such term is defined in Exchange Act Rules 13a-15(f) and 15d-15(f). Under the supervision and with the participation of our management, including the President and Treasurer of our general partner, we conducted an evaluation of the effectiveness of our internal control over financial reporting as of December 31, 2018 based on the framework in Internal Control—Integrated Framework issued by the Committee of Sponsoring Organizations of the Treadway Commission (2013 Framework) (COSO). Based on that evaluation, we concluded that our internal control over financial reporting was effective as of December 31, 2018.</w:t>
      </w:r>
    </w:p>
    <w:p>
      <w:pPr>
        <w:spacing w:after="0" w:line="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permits us to provide only management's report in this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have been no significant changes in our internal control over financial reporting during the year ended December 31, 2018 that have materially affected, or are reasonably likely to materially affect, our internal control over financial reporting.</w:t>
      </w:r>
    </w:p>
    <w:p>
      <w:pPr>
        <w:spacing w:after="0" w:line="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AND 13.</w:t>
      </w:r>
    </w:p>
    <w:p>
      <w:pPr>
        <w:spacing w:after="0" w:line="10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discussed in this report, SL Green acquired us on January 25, 2007. WAGP is the sole general partner of ROP and WAGP is a wholly-owned subsidiary of the Operating Partnership. The directors and officers of WAGP also serve as officers of SL Green. Please read SL Green's Definitive Proxy Statement for its 2019 Annual Meeting of Stockholders to be filed pursuant to Regulation 14A under the Exchange Act, on or prior to April 30, 2019, for the information required by Items 10, 11, 12 and 13 with respect to SL Green and which is incorporated herein by reference.</w:t>
      </w:r>
    </w:p>
    <w:p>
      <w:pPr>
        <w:spacing w:after="0" w:line="27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Ernst &amp; Young LLP has served as the Company's independent registered public accounting firm since 1997 and is considered by the Company's management to be well qualified. We have been advised by that firm that neither it nor any member thereof has any financial interest, direct or indirect, in the Company or any of its subsidiaries in any capacity.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Ernst &amp; Young LLP's fees for providing services to the Company in 2018 and 2017 were as follows: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by Ernst &amp; Young LLP for professional services rendered for the audit of our annual financial statements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2018 and 2017 and for the reviews of the financial statements included in our Quarterly Reports on Form 10-Q for the years ended December 31, 2018 and 2017 were approximately $498,000 and $490,000 respectively.</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Audit Related Fees. </w:t>
      </w:r>
      <w:r>
        <w:rPr>
          <w:rFonts w:ascii="Arial" w:cs="Arial" w:eastAsia="Arial" w:hAnsi="Arial"/>
          <w:sz w:val="17"/>
          <w:szCs w:val="17"/>
          <w:color w:val="auto"/>
        </w:rPr>
        <w:t>The fees for audit-related services paid to Ernst &amp; Young LLP were approximately $282,000 and $232,000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and 2017, respectively. The audit-related services principally include joint venture and operating expense audits.</w:t>
      </w:r>
    </w:p>
    <w:p>
      <w:pPr>
        <w:spacing w:after="0" w:line="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There were no tax fees billed by Ernst &amp; Young LLP for professional services rendered for tax compliance (including REIT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 for the years ended December 31, 2018 and 2017, respectively.</w:t>
      </w:r>
    </w:p>
    <w:p>
      <w:pPr>
        <w:spacing w:after="0" w:line="62"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i w:val="1"/>
          <w:iCs w:val="1"/>
          <w:color w:val="auto"/>
        </w:rPr>
        <w:t>All Other Fees.</w:t>
      </w:r>
      <w:r>
        <w:rPr>
          <w:sz w:val="20"/>
          <w:szCs w:val="20"/>
          <w:color w:val="auto"/>
        </w:rPr>
        <w:tab/>
      </w:r>
      <w:r>
        <w:rPr>
          <w:rFonts w:ascii="Arial" w:cs="Arial" w:eastAsia="Arial" w:hAnsi="Arial"/>
          <w:sz w:val="16"/>
          <w:szCs w:val="16"/>
          <w:color w:val="auto"/>
        </w:rPr>
        <w:t>There were no other fees billed by Ernst &amp; Young LLP for the years ended December 31, 2018 and 2017.</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WAGP is not required to have an audit committee and WAGP in fact does not have an audit committee.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w:t>
      </w:r>
    </w:p>
    <w:p>
      <w:pPr>
        <w:spacing w:after="0" w:line="7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Management has reviewed and discussed the audited financial statements with Ernst &amp; Young LLP, our independent registered public accounting firm, who is responsible for auditing our financial statements and for expressing an opinion on the conformity of those audited financial statements with accounting principles generally accepted in the United States, their judgments as to the quality, not just the acceptability, of our accounting principles and such other matters as are required to be discussed under Statement on Auditing Standards No. 61, as adopted by the Public Company Accounting Oversight Board in Rule 3200T. Management received from Ernst &amp; Young LLP the written disclosures and the letter required by the applicable requirements of the Public Company Accounting Oversight Board regarding communications concerning independence, discussed with Ernst &amp; Young LLP their independence from both management and the Company and considered the compatibility of Ernst &amp; Young LLP's provision of non-audit services to the Company with their independence.</w:t>
      </w:r>
    </w:p>
    <w:p>
      <w:pPr>
        <w:spacing w:after="0" w:line="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Management recommended to the board of directors of our sole general partner (and such board of directors has approved) that the audited financial statements be included in the Annual Report on Form 10-K for the year ended December 31, 2018 for filing with the SEC.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00" w:type="dxa"/>
            <w:vAlign w:val="bottom"/>
          </w:tcPr>
          <w:p>
            <w:pPr>
              <w:ind w:left="5360"/>
              <w:spacing w:after="0"/>
              <w:rPr>
                <w:sz w:val="20"/>
                <w:szCs w:val="20"/>
                <w:color w:val="auto"/>
              </w:rPr>
            </w:pPr>
            <w:r>
              <w:rPr>
                <w:rFonts w:ascii="Arial" w:cs="Arial" w:eastAsia="Arial" w:hAnsi="Arial"/>
                <w:sz w:val="18"/>
                <w:szCs w:val="18"/>
                <w:b w:val="1"/>
                <w:bCs w:val="1"/>
                <w:color w:val="auto"/>
              </w:rPr>
              <w:t>PART IV</w:t>
            </w:r>
          </w:p>
        </w:tc>
        <w:tc>
          <w:tcPr>
            <w:tcW w:w="1860" w:type="dxa"/>
            <w:vAlign w:val="bottom"/>
          </w:tcPr>
          <w:p>
            <w:pPr>
              <w:spacing w:after="0"/>
              <w:rPr>
                <w:sz w:val="20"/>
                <w:szCs w:val="20"/>
                <w:color w:val="auto"/>
              </w:rPr>
            </w:pPr>
          </w:p>
        </w:tc>
      </w:tr>
      <w:tr>
        <w:trPr>
          <w:trHeight w:val="351"/>
        </w:trPr>
        <w:tc>
          <w:tcPr>
            <w:tcW w:w="950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STATEMENTS AND SCHEDULES</w:t>
            </w:r>
          </w:p>
        </w:tc>
        <w:tc>
          <w:tcPr>
            <w:tcW w:w="1860" w:type="dxa"/>
            <w:vAlign w:val="bottom"/>
          </w:tcPr>
          <w:p>
            <w:pPr>
              <w:spacing w:after="0"/>
              <w:rPr>
                <w:sz w:val="24"/>
                <w:szCs w:val="24"/>
                <w:color w:val="auto"/>
              </w:rPr>
            </w:pPr>
          </w:p>
        </w:tc>
      </w:tr>
      <w:tr>
        <w:trPr>
          <w:trHeight w:val="459"/>
        </w:trPr>
        <w:tc>
          <w:tcPr>
            <w:tcW w:w="9500" w:type="dxa"/>
            <w:vAlign w:val="bottom"/>
          </w:tcPr>
          <w:p>
            <w:pPr>
              <w:spacing w:after="0"/>
              <w:rPr>
                <w:sz w:val="20"/>
                <w:szCs w:val="20"/>
                <w:color w:val="auto"/>
              </w:rPr>
            </w:pPr>
            <w:r>
              <w:rPr>
                <w:rFonts w:ascii="Arial" w:cs="Arial" w:eastAsia="Arial" w:hAnsi="Arial"/>
                <w:sz w:val="18"/>
                <w:szCs w:val="18"/>
                <w:color w:val="auto"/>
              </w:rPr>
              <w:t>(a)(1) Consolidated Financial Statements</w:t>
            </w:r>
          </w:p>
        </w:tc>
        <w:tc>
          <w:tcPr>
            <w:tcW w:w="1860" w:type="dxa"/>
            <w:vAlign w:val="bottom"/>
          </w:tcPr>
          <w:p>
            <w:pPr>
              <w:spacing w:after="0"/>
              <w:rPr>
                <w:sz w:val="24"/>
                <w:szCs w:val="24"/>
                <w:color w:val="auto"/>
              </w:rPr>
            </w:pPr>
          </w:p>
        </w:tc>
      </w:tr>
      <w:tr>
        <w:trPr>
          <w:trHeight w:val="945"/>
        </w:trPr>
        <w:tc>
          <w:tcPr>
            <w:tcW w:w="9500" w:type="dxa"/>
            <w:vAlign w:val="bottom"/>
          </w:tcPr>
          <w:p>
            <w:pPr>
              <w:ind w:left="40"/>
              <w:spacing w:after="0"/>
              <w:rPr>
                <w:sz w:val="20"/>
                <w:szCs w:val="20"/>
                <w:color w:val="auto"/>
              </w:rPr>
            </w:pPr>
            <w:r>
              <w:rPr>
                <w:rFonts w:ascii="Arial" w:cs="Arial" w:eastAsia="Arial" w:hAnsi="Arial"/>
                <w:sz w:val="18"/>
                <w:szCs w:val="18"/>
                <w:b w:val="1"/>
                <w:bCs w:val="1"/>
                <w:color w:val="auto"/>
              </w:rPr>
              <w:t>RECKSON OPERATING PARTNERSHIP, L.P.</w:t>
            </w:r>
          </w:p>
        </w:tc>
        <w:tc>
          <w:tcPr>
            <w:tcW w:w="1860" w:type="dxa"/>
            <w:vAlign w:val="bottom"/>
          </w:tcPr>
          <w:p>
            <w:pPr>
              <w:spacing w:after="0"/>
              <w:rPr>
                <w:sz w:val="24"/>
                <w:szCs w:val="24"/>
                <w:color w:val="auto"/>
              </w:rPr>
            </w:pPr>
          </w:p>
        </w:tc>
      </w:tr>
      <w:tr>
        <w:trPr>
          <w:trHeight w:val="405"/>
        </w:trPr>
        <w:tc>
          <w:tcPr>
            <w:tcW w:w="9500" w:type="dxa"/>
            <w:vAlign w:val="bottom"/>
          </w:tcPr>
          <w:p>
            <w:pPr>
              <w:ind w:left="40"/>
              <w:spacing w:after="0"/>
              <w:rPr>
                <w:rFonts w:ascii="Arial" w:cs="Arial" w:eastAsia="Arial" w:hAnsi="Arial"/>
                <w:sz w:val="18"/>
                <w:szCs w:val="18"/>
                <w:color w:val="auto"/>
              </w:rPr>
            </w:pPr>
            <w:hyperlink w:anchor="page37">
              <w:r>
                <w:rPr>
                  <w:rFonts w:ascii="Arial" w:cs="Arial" w:eastAsia="Arial" w:hAnsi="Arial"/>
                  <w:sz w:val="18"/>
                  <w:szCs w:val="18"/>
                  <w:color w:val="auto"/>
                </w:rPr>
                <w:t>Report of Independent Registered Public Accounting Firm</w:t>
              </w:r>
            </w:hyperlink>
          </w:p>
        </w:tc>
        <w:tc>
          <w:tcPr>
            <w:tcW w:w="186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70"/>
        </w:trPr>
        <w:tc>
          <w:tcPr>
            <w:tcW w:w="9500" w:type="dxa"/>
            <w:vAlign w:val="bottom"/>
          </w:tcPr>
          <w:p>
            <w:pPr>
              <w:ind w:left="40"/>
              <w:spacing w:after="0"/>
              <w:rPr>
                <w:rFonts w:ascii="Arial" w:cs="Arial" w:eastAsia="Arial" w:hAnsi="Arial"/>
                <w:sz w:val="18"/>
                <w:szCs w:val="18"/>
                <w:color w:val="auto"/>
              </w:rPr>
            </w:pPr>
            <w:hyperlink w:anchor="page38">
              <w:r>
                <w:rPr>
                  <w:rFonts w:ascii="Arial" w:cs="Arial" w:eastAsia="Arial" w:hAnsi="Arial"/>
                  <w:sz w:val="18"/>
                  <w:szCs w:val="18"/>
                  <w:color w:val="auto"/>
                </w:rPr>
                <w:t xml:space="preserve">Consolidated Balance Sheets as of December 31, 2018 </w:t>
              </w:r>
            </w:hyperlink>
            <w:r>
              <w:rPr>
                <w:rFonts w:ascii="Arial" w:cs="Arial" w:eastAsia="Arial" w:hAnsi="Arial"/>
                <w:sz w:val="18"/>
                <w:szCs w:val="18"/>
                <w:color w:val="auto"/>
              </w:rPr>
              <w:t>and 2017</w:t>
            </w:r>
          </w:p>
        </w:tc>
        <w:tc>
          <w:tcPr>
            <w:tcW w:w="18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70"/>
        </w:trPr>
        <w:tc>
          <w:tcPr>
            <w:tcW w:w="9500" w:type="dxa"/>
            <w:vAlign w:val="bottom"/>
          </w:tcPr>
          <w:p>
            <w:pPr>
              <w:ind w:left="40"/>
              <w:spacing w:after="0"/>
              <w:rPr>
                <w:rFonts w:ascii="Arial" w:cs="Arial" w:eastAsia="Arial" w:hAnsi="Arial"/>
                <w:sz w:val="18"/>
                <w:szCs w:val="18"/>
                <w:color w:val="auto"/>
              </w:rPr>
            </w:pPr>
            <w:hyperlink w:anchor="page40">
              <w:r>
                <w:rPr>
                  <w:rFonts w:ascii="Arial" w:cs="Arial" w:eastAsia="Arial" w:hAnsi="Arial"/>
                  <w:sz w:val="18"/>
                  <w:szCs w:val="18"/>
                  <w:color w:val="auto"/>
                </w:rPr>
                <w:t xml:space="preserve">Consolidated Statements of Operations for the years ended December 31, </w:t>
              </w:r>
            </w:hyperlink>
            <w:r>
              <w:rPr>
                <w:rFonts w:ascii="Arial" w:cs="Arial" w:eastAsia="Arial" w:hAnsi="Arial"/>
                <w:sz w:val="18"/>
                <w:szCs w:val="18"/>
                <w:color w:val="auto"/>
              </w:rPr>
              <w:t>2018, 2017 and 2016</w:t>
            </w:r>
          </w:p>
        </w:tc>
        <w:tc>
          <w:tcPr>
            <w:tcW w:w="186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70"/>
        </w:trPr>
        <w:tc>
          <w:tcPr>
            <w:tcW w:w="9500" w:type="dxa"/>
            <w:vAlign w:val="bottom"/>
          </w:tcPr>
          <w:p>
            <w:pPr>
              <w:ind w:left="40"/>
              <w:spacing w:after="0"/>
              <w:rPr>
                <w:rFonts w:ascii="Arial" w:cs="Arial" w:eastAsia="Arial" w:hAnsi="Arial"/>
                <w:sz w:val="18"/>
                <w:szCs w:val="18"/>
                <w:color w:val="auto"/>
              </w:rPr>
            </w:pPr>
            <w:hyperlink w:anchor="page41">
              <w:r>
                <w:rPr>
                  <w:rFonts w:ascii="Arial" w:cs="Arial" w:eastAsia="Arial" w:hAnsi="Arial"/>
                  <w:sz w:val="18"/>
                  <w:szCs w:val="18"/>
                  <w:color w:val="auto"/>
                </w:rPr>
                <w:t xml:space="preserve">Consolidated Statements of Comprehensive Income for the years ended December 31, </w:t>
              </w:r>
            </w:hyperlink>
            <w:r>
              <w:rPr>
                <w:rFonts w:ascii="Arial" w:cs="Arial" w:eastAsia="Arial" w:hAnsi="Arial"/>
                <w:sz w:val="18"/>
                <w:szCs w:val="18"/>
                <w:color w:val="auto"/>
              </w:rPr>
              <w:t>2018, 2017 and 2016</w:t>
            </w:r>
          </w:p>
        </w:tc>
        <w:tc>
          <w:tcPr>
            <w:tcW w:w="186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70"/>
        </w:trPr>
        <w:tc>
          <w:tcPr>
            <w:tcW w:w="9500" w:type="dxa"/>
            <w:vAlign w:val="bottom"/>
          </w:tcPr>
          <w:p>
            <w:pPr>
              <w:ind w:left="40"/>
              <w:spacing w:after="0"/>
              <w:rPr>
                <w:rFonts w:ascii="Arial" w:cs="Arial" w:eastAsia="Arial" w:hAnsi="Arial"/>
                <w:sz w:val="18"/>
                <w:szCs w:val="18"/>
                <w:color w:val="auto"/>
              </w:rPr>
            </w:pPr>
            <w:hyperlink w:anchor="page42">
              <w:r>
                <w:rPr>
                  <w:rFonts w:ascii="Arial" w:cs="Arial" w:eastAsia="Arial" w:hAnsi="Arial"/>
                  <w:sz w:val="18"/>
                  <w:szCs w:val="18"/>
                  <w:color w:val="auto"/>
                </w:rPr>
                <w:t xml:space="preserve">Consolidated Statements of Capital for the years ended December 31, </w:t>
              </w:r>
            </w:hyperlink>
            <w:r>
              <w:rPr>
                <w:rFonts w:ascii="Arial" w:cs="Arial" w:eastAsia="Arial" w:hAnsi="Arial"/>
                <w:sz w:val="18"/>
                <w:szCs w:val="18"/>
                <w:color w:val="auto"/>
              </w:rPr>
              <w:t>2018, 2017 and 2016</w:t>
            </w:r>
          </w:p>
        </w:tc>
        <w:tc>
          <w:tcPr>
            <w:tcW w:w="1860" w:type="dxa"/>
            <w:vAlign w:val="bottom"/>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70"/>
        </w:trPr>
        <w:tc>
          <w:tcPr>
            <w:tcW w:w="9500" w:type="dxa"/>
            <w:vAlign w:val="bottom"/>
          </w:tcPr>
          <w:p>
            <w:pPr>
              <w:ind w:left="40"/>
              <w:spacing w:after="0"/>
              <w:rPr>
                <w:rFonts w:ascii="Arial" w:cs="Arial" w:eastAsia="Arial" w:hAnsi="Arial"/>
                <w:sz w:val="18"/>
                <w:szCs w:val="18"/>
                <w:color w:val="auto"/>
              </w:rPr>
            </w:pPr>
            <w:hyperlink w:anchor="page43">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2018, 2017 and 2016</w:t>
            </w:r>
          </w:p>
        </w:tc>
        <w:tc>
          <w:tcPr>
            <w:tcW w:w="186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9500" w:type="dxa"/>
            <w:vAlign w:val="bottom"/>
          </w:tcPr>
          <w:p>
            <w:pPr>
              <w:ind w:left="40"/>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Notes to Consolidated Financial Statements</w:t>
              </w:r>
            </w:hyperlink>
          </w:p>
        </w:tc>
        <w:tc>
          <w:tcPr>
            <w:tcW w:w="186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270"/>
        </w:trPr>
        <w:tc>
          <w:tcPr>
            <w:tcW w:w="9500" w:type="dxa"/>
            <w:vAlign w:val="bottom"/>
          </w:tcPr>
          <w:p>
            <w:pPr>
              <w:ind w:left="40"/>
              <w:spacing w:after="0"/>
              <w:rPr>
                <w:sz w:val="20"/>
                <w:szCs w:val="20"/>
                <w:color w:val="auto"/>
              </w:rPr>
            </w:pPr>
            <w:r>
              <w:rPr>
                <w:rFonts w:ascii="Arial" w:cs="Arial" w:eastAsia="Arial" w:hAnsi="Arial"/>
                <w:sz w:val="18"/>
                <w:szCs w:val="18"/>
                <w:b w:val="1"/>
                <w:bCs w:val="1"/>
                <w:color w:val="auto"/>
              </w:rPr>
              <w:t>(a)(2)  Financial Statement Schedules</w:t>
            </w:r>
          </w:p>
        </w:tc>
        <w:tc>
          <w:tcPr>
            <w:tcW w:w="1860" w:type="dxa"/>
            <w:vAlign w:val="bottom"/>
          </w:tcPr>
          <w:p>
            <w:pPr>
              <w:spacing w:after="0"/>
              <w:rPr>
                <w:sz w:val="23"/>
                <w:szCs w:val="23"/>
                <w:color w:val="auto"/>
              </w:rPr>
            </w:pPr>
          </w:p>
        </w:tc>
      </w:tr>
      <w:tr>
        <w:trPr>
          <w:trHeight w:val="270"/>
        </w:trPr>
        <w:tc>
          <w:tcPr>
            <w:tcW w:w="9500" w:type="dxa"/>
            <w:vAlign w:val="bottom"/>
          </w:tcPr>
          <w:p>
            <w:pPr>
              <w:ind w:left="40"/>
              <w:spacing w:after="0"/>
              <w:rPr>
                <w:rFonts w:ascii="Arial" w:cs="Arial" w:eastAsia="Arial" w:hAnsi="Arial"/>
                <w:sz w:val="18"/>
                <w:szCs w:val="18"/>
                <w:color w:val="auto"/>
              </w:rPr>
            </w:pPr>
            <w:hyperlink w:anchor="page70">
              <w:r>
                <w:rPr>
                  <w:rFonts w:ascii="Arial" w:cs="Arial" w:eastAsia="Arial" w:hAnsi="Arial"/>
                  <w:sz w:val="18"/>
                  <w:szCs w:val="18"/>
                  <w:color w:val="auto"/>
                </w:rPr>
                <w:t>Schedule II</w:t>
              </w:r>
            </w:hyperlink>
            <w:r>
              <w:rPr>
                <w:rFonts w:ascii="Arial" w:cs="Arial" w:eastAsia="Arial" w:hAnsi="Arial"/>
                <w:sz w:val="18"/>
                <w:szCs w:val="18"/>
                <w:b w:val="1"/>
                <w:bCs w:val="1"/>
                <w:color w:val="auto"/>
              </w:rPr>
              <w:t>—</w:t>
            </w:r>
            <w:hyperlink w:anchor="page70">
              <w:r>
                <w:rPr>
                  <w:rFonts w:ascii="Arial" w:cs="Arial" w:eastAsia="Arial" w:hAnsi="Arial"/>
                  <w:sz w:val="18"/>
                  <w:szCs w:val="18"/>
                  <w:color w:val="auto"/>
                </w:rPr>
                <w:t xml:space="preserve">Valuation and Qualifying Accounts for the years ended December 31, </w:t>
              </w:r>
            </w:hyperlink>
            <w:r>
              <w:rPr>
                <w:rFonts w:ascii="Arial" w:cs="Arial" w:eastAsia="Arial" w:hAnsi="Arial"/>
                <w:sz w:val="18"/>
                <w:szCs w:val="18"/>
                <w:color w:val="auto"/>
              </w:rPr>
              <w:t>2018, 2017 and 2016</w:t>
            </w:r>
          </w:p>
        </w:tc>
        <w:tc>
          <w:tcPr>
            <w:tcW w:w="1860" w:type="dxa"/>
            <w:vAlign w:val="bottom"/>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70"/>
        </w:trPr>
        <w:tc>
          <w:tcPr>
            <w:tcW w:w="9500" w:type="dxa"/>
            <w:vAlign w:val="bottom"/>
          </w:tcPr>
          <w:p>
            <w:pPr>
              <w:ind w:left="40"/>
              <w:spacing w:after="0"/>
              <w:rPr>
                <w:rFonts w:ascii="Arial" w:cs="Arial" w:eastAsia="Arial" w:hAnsi="Arial"/>
                <w:sz w:val="18"/>
                <w:szCs w:val="18"/>
                <w:color w:val="auto"/>
              </w:rPr>
            </w:pPr>
            <w:hyperlink w:anchor="page71">
              <w:r>
                <w:rPr>
                  <w:rFonts w:ascii="Arial" w:cs="Arial" w:eastAsia="Arial" w:hAnsi="Arial"/>
                  <w:sz w:val="18"/>
                  <w:szCs w:val="18"/>
                  <w:color w:val="auto"/>
                </w:rPr>
                <w:t>Schedule III</w:t>
              </w:r>
            </w:hyperlink>
            <w:r>
              <w:rPr>
                <w:rFonts w:ascii="Arial" w:cs="Arial" w:eastAsia="Arial" w:hAnsi="Arial"/>
                <w:sz w:val="18"/>
                <w:szCs w:val="18"/>
                <w:b w:val="1"/>
                <w:bCs w:val="1"/>
                <w:color w:val="auto"/>
              </w:rPr>
              <w:t>—</w:t>
            </w:r>
            <w:hyperlink w:anchor="page71">
              <w:r>
                <w:rPr>
                  <w:rFonts w:ascii="Arial" w:cs="Arial" w:eastAsia="Arial" w:hAnsi="Arial"/>
                  <w:sz w:val="18"/>
                  <w:szCs w:val="18"/>
                  <w:color w:val="auto"/>
                </w:rPr>
                <w:t>Real Estate and Accumulated Depreciation as of December 31, 2018</w:t>
              </w:r>
            </w:hyperlink>
          </w:p>
        </w:tc>
        <w:tc>
          <w:tcPr>
            <w:tcW w:w="1860" w:type="dxa"/>
            <w:vAlign w:val="bottom"/>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r>
    </w:tbl>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Schedules other than those listed are omitted as they are not applicable or the required or equivalent information has been included in the financial statements or notes thereto.</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(a)(3) In reviewing the agreements included as exhibits to this Annual Report on Form 10-K, please remember they are included to provide you with information regarding their terms and are not intended to provide any other factual or disclosure information about us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79" w:lineRule="exact"/>
        <w:rPr>
          <w:sz w:val="20"/>
          <w:szCs w:val="20"/>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should not in all instances be treated as categorical statements of fact, but rather as a way of allocating the risk to one of the parties if those statements prove to be inaccurate;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to you or other investors;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1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Accordingly, these representations and warranties may not describe the actual state of affairs as of the date they were made or at any other time. Additional information about us may be found elsewhere in this Annual Report on Form 10-K and our other public filings, which are available without charge through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84" w:lineRule="exact"/>
        <w:rPr>
          <w:sz w:val="20"/>
          <w:szCs w:val="20"/>
          <w:color w:val="auto"/>
        </w:rPr>
      </w:pPr>
    </w:p>
    <w:p>
      <w:pPr>
        <w:ind w:left="840" w:right="80" w:hanging="458"/>
        <w:spacing w:after="0" w:line="293" w:lineRule="auto"/>
        <w:tabs>
          <w:tab w:leader="none" w:pos="820" w:val="left"/>
        </w:tabs>
        <w:rPr>
          <w:rFonts w:ascii="Arial" w:cs="Arial" w:eastAsia="Arial" w:hAnsi="Arial"/>
          <w:sz w:val="16"/>
          <w:szCs w:val="16"/>
          <w:color w:val="0000FF"/>
        </w:rPr>
      </w:pPr>
      <w:hyperlink r:id="rId13">
        <w:r>
          <w:rPr>
            <w:rFonts w:ascii="Arial" w:cs="Arial" w:eastAsia="Arial" w:hAnsi="Arial"/>
            <w:sz w:val="16"/>
            <w:szCs w:val="16"/>
            <w:u w:val="single" w:color="auto"/>
            <w:color w:val="0000FF"/>
          </w:rPr>
          <w:t>3.1</w:t>
        </w:r>
      </w:hyperlink>
      <w:r>
        <w:rPr>
          <w:rFonts w:ascii="Arial" w:cs="Arial" w:eastAsia="Arial" w:hAnsi="Arial"/>
          <w:sz w:val="16"/>
          <w:szCs w:val="16"/>
          <w:color w:val="0000FF"/>
        </w:rPr>
        <w:tab/>
        <w:t>Amended and Restated Agreement of Limited Partnership of ROP, dated December 6, 1995, incorporated by reference to SL Green's Annual Report on Form 10-K for the year ended December 31, 2017, filed with the SEC on February 23, 2018.</w:t>
      </w:r>
    </w:p>
    <w:p>
      <w:pPr>
        <w:spacing w:after="0" w:line="10" w:lineRule="exact"/>
        <w:rPr>
          <w:sz w:val="20"/>
          <w:szCs w:val="20"/>
          <w:color w:val="auto"/>
        </w:rPr>
      </w:pPr>
    </w:p>
    <w:p>
      <w:pPr>
        <w:ind w:left="840" w:right="500" w:hanging="458"/>
        <w:spacing w:after="0" w:line="293" w:lineRule="auto"/>
        <w:tabs>
          <w:tab w:leader="none" w:pos="820" w:val="left"/>
        </w:tabs>
        <w:rPr>
          <w:rFonts w:ascii="Arial" w:cs="Arial" w:eastAsia="Arial" w:hAnsi="Arial"/>
          <w:sz w:val="16"/>
          <w:szCs w:val="16"/>
          <w:color w:val="0000FF"/>
        </w:rPr>
      </w:pPr>
      <w:hyperlink r:id="rId14">
        <w:r>
          <w:rPr>
            <w:rFonts w:ascii="Arial" w:cs="Arial" w:eastAsia="Arial" w:hAnsi="Arial"/>
            <w:sz w:val="16"/>
            <w:szCs w:val="16"/>
            <w:u w:val="single" w:color="auto"/>
            <w:color w:val="0000FF"/>
          </w:rPr>
          <w:t>3.2</w:t>
        </w:r>
      </w:hyperlink>
      <w:r>
        <w:rPr>
          <w:rFonts w:ascii="Arial" w:cs="Arial" w:eastAsia="Arial" w:hAnsi="Arial"/>
          <w:sz w:val="16"/>
          <w:szCs w:val="16"/>
          <w:color w:val="0000FF"/>
        </w:rPr>
        <w:tab/>
        <w:t>Supplement to the Amended and Restated Agreement of Limited Partnership of ROP Establishing Series A Preferred Units of Limited Partnership Interest, incorporated by reference to RARC's Form 8-K, dated March 1, 1999, filed with the SEC on March 1, 1999.</w:t>
      </w:r>
    </w:p>
    <w:p>
      <w:pPr>
        <w:spacing w:after="0" w:line="10" w:lineRule="exact"/>
        <w:rPr>
          <w:sz w:val="20"/>
          <w:szCs w:val="20"/>
          <w:color w:val="auto"/>
        </w:rPr>
      </w:pPr>
    </w:p>
    <w:p>
      <w:pPr>
        <w:ind w:left="840" w:right="500" w:hanging="458"/>
        <w:spacing w:after="0" w:line="293" w:lineRule="auto"/>
        <w:tabs>
          <w:tab w:leader="none" w:pos="820" w:val="left"/>
        </w:tabs>
        <w:rPr>
          <w:rFonts w:ascii="Arial" w:cs="Arial" w:eastAsia="Arial" w:hAnsi="Arial"/>
          <w:sz w:val="16"/>
          <w:szCs w:val="16"/>
          <w:color w:val="0000FF"/>
        </w:rPr>
      </w:pPr>
      <w:hyperlink r:id="rId14">
        <w:r>
          <w:rPr>
            <w:rFonts w:ascii="Arial" w:cs="Arial" w:eastAsia="Arial" w:hAnsi="Arial"/>
            <w:sz w:val="16"/>
            <w:szCs w:val="16"/>
            <w:u w:val="single" w:color="auto"/>
            <w:color w:val="0000FF"/>
          </w:rPr>
          <w:t>3.3</w:t>
        </w:r>
      </w:hyperlink>
      <w:r>
        <w:rPr>
          <w:rFonts w:ascii="Arial" w:cs="Arial" w:eastAsia="Arial" w:hAnsi="Arial"/>
          <w:sz w:val="16"/>
          <w:szCs w:val="16"/>
          <w:color w:val="0000FF"/>
        </w:rPr>
        <w:tab/>
        <w:t>Supplement to the Amended and Restated Agreement of Limited Partnership of ROP Establishing Series B Preferred Units of Limited Partnership Interest, incorporated by reference to RARC's Form 8-K, dated March 1, 1999, filed with the SEC on March 1, 1999.</w:t>
      </w:r>
    </w:p>
    <w:p>
      <w:pPr>
        <w:spacing w:after="0" w:line="10" w:lineRule="exact"/>
        <w:rPr>
          <w:sz w:val="20"/>
          <w:szCs w:val="20"/>
          <w:color w:val="auto"/>
        </w:rPr>
      </w:pPr>
    </w:p>
    <w:p>
      <w:pPr>
        <w:ind w:left="840" w:hanging="458"/>
        <w:spacing w:after="0" w:line="293" w:lineRule="auto"/>
        <w:tabs>
          <w:tab w:leader="none" w:pos="820" w:val="left"/>
        </w:tabs>
        <w:rPr>
          <w:rFonts w:ascii="Arial" w:cs="Arial" w:eastAsia="Arial" w:hAnsi="Arial"/>
          <w:sz w:val="16"/>
          <w:szCs w:val="16"/>
          <w:color w:val="0000FF"/>
        </w:rPr>
      </w:pPr>
      <w:hyperlink r:id="rId14">
        <w:r>
          <w:rPr>
            <w:rFonts w:ascii="Arial" w:cs="Arial" w:eastAsia="Arial" w:hAnsi="Arial"/>
            <w:sz w:val="16"/>
            <w:szCs w:val="16"/>
            <w:u w:val="single" w:color="auto"/>
            <w:color w:val="0000FF"/>
          </w:rPr>
          <w:t>3.4</w:t>
        </w:r>
      </w:hyperlink>
      <w:r>
        <w:rPr>
          <w:rFonts w:ascii="Arial" w:cs="Arial" w:eastAsia="Arial" w:hAnsi="Arial"/>
          <w:sz w:val="16"/>
          <w:szCs w:val="16"/>
          <w:color w:val="0000FF"/>
        </w:rPr>
        <w:tab/>
        <w:t>Supplement to the Amended and Restated Agreement of Limited Partnership of ROP Establishing Series C Preferred Units of Limited Partnership Interest, incorporated by reference to RARC's Form 8-K, dated March 1, 1999, filed with the SEC on March 1, 1999.</w:t>
      </w:r>
    </w:p>
    <w:p>
      <w:pPr>
        <w:spacing w:after="0" w:line="10" w:lineRule="exact"/>
        <w:rPr>
          <w:sz w:val="20"/>
          <w:szCs w:val="20"/>
          <w:color w:val="auto"/>
        </w:rPr>
      </w:pPr>
    </w:p>
    <w:p>
      <w:pPr>
        <w:ind w:left="840" w:right="20" w:hanging="458"/>
        <w:spacing w:after="0" w:line="293" w:lineRule="auto"/>
        <w:tabs>
          <w:tab w:leader="none" w:pos="820" w:val="left"/>
        </w:tabs>
        <w:rPr>
          <w:rFonts w:ascii="Arial" w:cs="Arial" w:eastAsia="Arial" w:hAnsi="Arial"/>
          <w:sz w:val="16"/>
          <w:szCs w:val="16"/>
          <w:color w:val="0000FF"/>
        </w:rPr>
      </w:pPr>
      <w:hyperlink r:id="rId14">
        <w:r>
          <w:rPr>
            <w:rFonts w:ascii="Arial" w:cs="Arial" w:eastAsia="Arial" w:hAnsi="Arial"/>
            <w:sz w:val="16"/>
            <w:szCs w:val="16"/>
            <w:u w:val="single" w:color="auto"/>
            <w:color w:val="0000FF"/>
          </w:rPr>
          <w:t>3.5</w:t>
        </w:r>
      </w:hyperlink>
      <w:r>
        <w:rPr>
          <w:rFonts w:ascii="Arial" w:cs="Arial" w:eastAsia="Arial" w:hAnsi="Arial"/>
          <w:sz w:val="16"/>
          <w:szCs w:val="16"/>
          <w:color w:val="0000FF"/>
        </w:rPr>
        <w:tab/>
        <w:t>Supplement to the Amended and Restated Agreement of Limited Partnership of ROP Establishing Series D Preferred Units of Limited Partnership Interest, incorporated by reference to RARC's Form 8-K, dated March 1, 1999, filed with the SEC on March 1, 1999.</w:t>
      </w:r>
    </w:p>
    <w:p>
      <w:pPr>
        <w:spacing w:after="0" w:line="10" w:lineRule="exact"/>
        <w:rPr>
          <w:sz w:val="20"/>
          <w:szCs w:val="20"/>
          <w:color w:val="auto"/>
        </w:rPr>
      </w:pPr>
    </w:p>
    <w:p>
      <w:pPr>
        <w:ind w:left="840" w:right="500" w:hanging="458"/>
        <w:spacing w:after="0" w:line="342" w:lineRule="auto"/>
        <w:tabs>
          <w:tab w:leader="none" w:pos="820" w:val="left"/>
        </w:tabs>
        <w:rPr>
          <w:rFonts w:ascii="Arial" w:cs="Arial" w:eastAsia="Arial" w:hAnsi="Arial"/>
          <w:sz w:val="16"/>
          <w:szCs w:val="16"/>
          <w:color w:val="0000FF"/>
        </w:rPr>
      </w:pPr>
      <w:hyperlink r:id="rId15">
        <w:r>
          <w:rPr>
            <w:rFonts w:ascii="Arial" w:cs="Arial" w:eastAsia="Arial" w:hAnsi="Arial"/>
            <w:sz w:val="16"/>
            <w:szCs w:val="16"/>
            <w:u w:val="single" w:color="auto"/>
            <w:color w:val="0000FF"/>
          </w:rPr>
          <w:t>3.6</w:t>
        </w:r>
      </w:hyperlink>
      <w:r>
        <w:rPr>
          <w:rFonts w:ascii="Arial" w:cs="Arial" w:eastAsia="Arial" w:hAnsi="Arial"/>
          <w:sz w:val="16"/>
          <w:szCs w:val="16"/>
          <w:color w:val="0000FF"/>
        </w:rPr>
        <w:tab/>
      </w:r>
      <w:r>
        <w:rPr>
          <w:rFonts w:ascii="Arial" w:cs="Arial" w:eastAsia="Arial" w:hAnsi="Arial"/>
          <w:sz w:val="14"/>
          <w:szCs w:val="14"/>
          <w:color w:val="0000FF"/>
        </w:rPr>
        <w:t>Supplement to the Amended and Restated Agreement of Limited Partnership of ROP Establishing Series B Common Units of Limited Partnership Interest, incorporated by reference to RARC's Annual Report on Form 10-K for the year ended December 31, 1999, filed with the SEC on March 17, 2000.</w:t>
      </w:r>
    </w:p>
    <w:p>
      <w:pPr>
        <w:ind w:left="840" w:right="300" w:hanging="458"/>
        <w:spacing w:after="0" w:line="342" w:lineRule="auto"/>
        <w:tabs>
          <w:tab w:leader="none" w:pos="820" w:val="left"/>
        </w:tabs>
        <w:rPr>
          <w:rFonts w:ascii="Arial" w:cs="Arial" w:eastAsia="Arial" w:hAnsi="Arial"/>
          <w:sz w:val="16"/>
          <w:szCs w:val="16"/>
          <w:color w:val="0000FF"/>
        </w:rPr>
      </w:pPr>
      <w:hyperlink r:id="rId15">
        <w:r>
          <w:rPr>
            <w:rFonts w:ascii="Arial" w:cs="Arial" w:eastAsia="Arial" w:hAnsi="Arial"/>
            <w:sz w:val="16"/>
            <w:szCs w:val="16"/>
            <w:u w:val="single" w:color="auto"/>
            <w:color w:val="0000FF"/>
          </w:rPr>
          <w:t>3.7</w:t>
        </w:r>
      </w:hyperlink>
      <w:r>
        <w:rPr>
          <w:rFonts w:ascii="Arial" w:cs="Arial" w:eastAsia="Arial" w:hAnsi="Arial"/>
          <w:sz w:val="16"/>
          <w:szCs w:val="16"/>
          <w:color w:val="0000FF"/>
        </w:rPr>
        <w:tab/>
      </w:r>
      <w:r>
        <w:rPr>
          <w:rFonts w:ascii="Arial" w:cs="Arial" w:eastAsia="Arial" w:hAnsi="Arial"/>
          <w:sz w:val="14"/>
          <w:szCs w:val="14"/>
          <w:color w:val="0000FF"/>
        </w:rPr>
        <w:t>Supplement to the Amended and Restated Agreement of Limited Partnership of ROP Establishing Series E Preferred Partnership Units of Limited Partnership Interest, incorporated by reference to RARC's Annual Report on Form 10-K for the year ended December 31, 1999, filed with the SEC on March 17, 2000.</w:t>
      </w:r>
    </w:p>
    <w:p>
      <w:pPr>
        <w:ind w:left="840" w:hanging="458"/>
        <w:spacing w:after="0" w:line="319" w:lineRule="auto"/>
        <w:tabs>
          <w:tab w:leader="none" w:pos="820" w:val="left"/>
        </w:tabs>
        <w:rPr>
          <w:rFonts w:ascii="Arial" w:cs="Arial" w:eastAsia="Arial" w:hAnsi="Arial"/>
          <w:sz w:val="16"/>
          <w:szCs w:val="16"/>
          <w:color w:val="0000FF"/>
        </w:rPr>
      </w:pPr>
      <w:hyperlink r:id="rId16">
        <w:r>
          <w:rPr>
            <w:rFonts w:ascii="Arial" w:cs="Arial" w:eastAsia="Arial" w:hAnsi="Arial"/>
            <w:sz w:val="16"/>
            <w:szCs w:val="16"/>
            <w:u w:val="single" w:color="auto"/>
            <w:color w:val="0000FF"/>
          </w:rPr>
          <w:t>3.8</w:t>
        </w:r>
      </w:hyperlink>
      <w:r>
        <w:rPr>
          <w:rFonts w:ascii="Arial" w:cs="Arial" w:eastAsia="Arial" w:hAnsi="Arial"/>
          <w:sz w:val="16"/>
          <w:szCs w:val="16"/>
          <w:color w:val="0000FF"/>
        </w:rPr>
        <w:tab/>
      </w:r>
      <w:r>
        <w:rPr>
          <w:rFonts w:ascii="Arial" w:cs="Arial" w:eastAsia="Arial" w:hAnsi="Arial"/>
          <w:sz w:val="15"/>
          <w:szCs w:val="15"/>
          <w:color w:val="0000FF"/>
        </w:rPr>
        <w:t>Supplement to the Amended and Restated Agreement of Limited Partnership of ROP Establishing Series F Junior Participating Preferred Partnership Units, incorporated by reference to RARC's Annual Report on Form 10-K for the year ended December 31, 2000, filed with the SEC on March 22, 2001.</w:t>
      </w:r>
    </w:p>
    <w:p>
      <w:pPr>
        <w:spacing w:after="0" w:line="1" w:lineRule="exact"/>
        <w:rPr>
          <w:sz w:val="20"/>
          <w:szCs w:val="20"/>
          <w:color w:val="auto"/>
        </w:rPr>
      </w:pPr>
    </w:p>
    <w:p>
      <w:pPr>
        <w:ind w:left="840" w:right="20" w:hanging="458"/>
        <w:spacing w:after="0" w:line="319" w:lineRule="auto"/>
        <w:tabs>
          <w:tab w:leader="none" w:pos="820" w:val="left"/>
        </w:tabs>
        <w:rPr>
          <w:rFonts w:ascii="Arial" w:cs="Arial" w:eastAsia="Arial" w:hAnsi="Arial"/>
          <w:sz w:val="16"/>
          <w:szCs w:val="16"/>
          <w:color w:val="0000FF"/>
        </w:rPr>
      </w:pPr>
      <w:hyperlink r:id="rId17">
        <w:r>
          <w:rPr>
            <w:rFonts w:ascii="Arial" w:cs="Arial" w:eastAsia="Arial" w:hAnsi="Arial"/>
            <w:sz w:val="16"/>
            <w:szCs w:val="16"/>
            <w:u w:val="single" w:color="auto"/>
            <w:color w:val="0000FF"/>
          </w:rPr>
          <w:t>3.9</w:t>
        </w:r>
      </w:hyperlink>
      <w:r>
        <w:rPr>
          <w:rFonts w:ascii="Arial" w:cs="Arial" w:eastAsia="Arial" w:hAnsi="Arial"/>
          <w:sz w:val="16"/>
          <w:szCs w:val="16"/>
          <w:color w:val="0000FF"/>
        </w:rPr>
        <w:tab/>
      </w:r>
      <w:r>
        <w:rPr>
          <w:rFonts w:ascii="Arial" w:cs="Arial" w:eastAsia="Arial" w:hAnsi="Arial"/>
          <w:sz w:val="15"/>
          <w:szCs w:val="15"/>
          <w:color w:val="0000FF"/>
        </w:rPr>
        <w:t>Supplement to the Amended and Restated Agreement of Limited Partnership of ROP Establishing Class C Common Units of Limited Partnership Interest, incorporated by reference to RARC's Quarterly Report on Form 10-Q for the three months ended June 30, 2003, filed with the SEC on August 13, 2003.</w:t>
      </w:r>
    </w:p>
    <w:p>
      <w:pPr>
        <w:spacing w:after="0" w:line="1" w:lineRule="exact"/>
        <w:rPr>
          <w:sz w:val="20"/>
          <w:szCs w:val="20"/>
          <w:color w:val="auto"/>
        </w:rPr>
      </w:pPr>
    </w:p>
    <w:p>
      <w:pPr>
        <w:ind w:left="840" w:right="300" w:hanging="539"/>
        <w:spacing w:after="0" w:line="293" w:lineRule="auto"/>
        <w:tabs>
          <w:tab w:leader="none" w:pos="820" w:val="left"/>
        </w:tabs>
        <w:rPr>
          <w:rFonts w:ascii="Arial" w:cs="Arial" w:eastAsia="Arial" w:hAnsi="Arial"/>
          <w:sz w:val="16"/>
          <w:szCs w:val="16"/>
          <w:color w:val="0000FF"/>
        </w:rPr>
      </w:pPr>
      <w:hyperlink r:id="rId18">
        <w:r>
          <w:rPr>
            <w:rFonts w:ascii="Arial" w:cs="Arial" w:eastAsia="Arial" w:hAnsi="Arial"/>
            <w:sz w:val="16"/>
            <w:szCs w:val="16"/>
            <w:u w:val="single" w:color="auto"/>
            <w:color w:val="0000FF"/>
          </w:rPr>
          <w:t>3.10</w:t>
        </w:r>
      </w:hyperlink>
      <w:r>
        <w:rPr>
          <w:rFonts w:ascii="Arial" w:cs="Arial" w:eastAsia="Arial" w:hAnsi="Arial"/>
          <w:sz w:val="16"/>
          <w:szCs w:val="16"/>
          <w:color w:val="0000FF"/>
        </w:rPr>
        <w:tab/>
        <w:t>Supplement to the Amended and Restated Agreement of Limited Partnership of ROP Establishing LTIP Units of Limited Partnership Interest, incorporated by reference to RARC's Form 8-K, dated December 29, 2004, filed with the SEC on December 29, 2004.</w:t>
      </w:r>
    </w:p>
    <w:p>
      <w:pPr>
        <w:spacing w:after="0" w:line="10" w:lineRule="exact"/>
        <w:rPr>
          <w:sz w:val="20"/>
          <w:szCs w:val="20"/>
          <w:color w:val="auto"/>
        </w:rPr>
      </w:pPr>
    </w:p>
    <w:p>
      <w:pPr>
        <w:ind w:left="840" w:right="140" w:hanging="533"/>
        <w:spacing w:after="0" w:line="293" w:lineRule="auto"/>
        <w:tabs>
          <w:tab w:leader="none" w:pos="820" w:val="left"/>
        </w:tabs>
        <w:rPr>
          <w:rFonts w:ascii="Arial" w:cs="Arial" w:eastAsia="Arial" w:hAnsi="Arial"/>
          <w:sz w:val="16"/>
          <w:szCs w:val="16"/>
          <w:color w:val="0000FF"/>
        </w:rPr>
      </w:pPr>
      <w:hyperlink r:id="rId19">
        <w:r>
          <w:rPr>
            <w:rFonts w:ascii="Arial" w:cs="Arial" w:eastAsia="Arial" w:hAnsi="Arial"/>
            <w:sz w:val="16"/>
            <w:szCs w:val="16"/>
            <w:u w:val="single" w:color="auto"/>
            <w:color w:val="0000FF"/>
          </w:rPr>
          <w:t>3.11</w:t>
        </w:r>
      </w:hyperlink>
      <w:r>
        <w:rPr>
          <w:rFonts w:ascii="Arial" w:cs="Arial" w:eastAsia="Arial" w:hAnsi="Arial"/>
          <w:sz w:val="16"/>
          <w:szCs w:val="16"/>
          <w:color w:val="0000FF"/>
        </w:rPr>
        <w:tab/>
        <w:t>Supplement to the Amended and Restated Agreement of Limited Partnership of ROP Establishing 2005 LTIP Units of Limited Partnership Interest, incorporated by reference to RARC's Annual Report on Form 10-K for the year ended December 31, 2005, filed with the SEC on March 10, 2006.</w:t>
      </w:r>
    </w:p>
    <w:p>
      <w:pPr>
        <w:spacing w:after="0" w:line="10" w:lineRule="exact"/>
        <w:rPr>
          <w:sz w:val="20"/>
          <w:szCs w:val="20"/>
          <w:color w:val="auto"/>
        </w:rPr>
      </w:pPr>
    </w:p>
    <w:p>
      <w:pPr>
        <w:ind w:left="840" w:right="140" w:hanging="539"/>
        <w:spacing w:after="0" w:line="319" w:lineRule="auto"/>
        <w:tabs>
          <w:tab w:leader="none" w:pos="820" w:val="left"/>
        </w:tabs>
        <w:rPr>
          <w:rFonts w:ascii="Arial" w:cs="Arial" w:eastAsia="Arial" w:hAnsi="Arial"/>
          <w:sz w:val="16"/>
          <w:szCs w:val="16"/>
          <w:color w:val="0000FF"/>
        </w:rPr>
      </w:pPr>
      <w:hyperlink r:id="rId20">
        <w:r>
          <w:rPr>
            <w:rFonts w:ascii="Arial" w:cs="Arial" w:eastAsia="Arial" w:hAnsi="Arial"/>
            <w:sz w:val="16"/>
            <w:szCs w:val="16"/>
            <w:u w:val="single" w:color="auto"/>
            <w:color w:val="0000FF"/>
          </w:rPr>
          <w:t>3.12</w:t>
        </w:r>
      </w:hyperlink>
      <w:r>
        <w:rPr>
          <w:rFonts w:ascii="Arial" w:cs="Arial" w:eastAsia="Arial" w:hAnsi="Arial"/>
          <w:sz w:val="16"/>
          <w:szCs w:val="16"/>
          <w:color w:val="0000FF"/>
        </w:rPr>
        <w:tab/>
      </w:r>
      <w:r>
        <w:rPr>
          <w:rFonts w:ascii="Arial" w:cs="Arial" w:eastAsia="Arial" w:hAnsi="Arial"/>
          <w:sz w:val="15"/>
          <w:szCs w:val="15"/>
          <w:color w:val="0000FF"/>
        </w:rPr>
        <w:t>Supplement to the Amended and Restated Agreement of Limited Partnership of ROP Establishing 2006 LTIP Units of Limited Partnership Interest, incorporated by reference to RARC's Quarterly Report on Form 10-Q for the three months ended March 31, 2006, filed with the SEC on May 9, 2006.</w:t>
      </w:r>
    </w:p>
    <w:p>
      <w:pPr>
        <w:spacing w:after="0" w:line="1" w:lineRule="exact"/>
        <w:rPr>
          <w:sz w:val="20"/>
          <w:szCs w:val="20"/>
          <w:color w:val="auto"/>
        </w:rPr>
      </w:pPr>
    </w:p>
    <w:p>
      <w:pPr>
        <w:ind w:left="840" w:right="320" w:hanging="539"/>
        <w:spacing w:after="0" w:line="319" w:lineRule="auto"/>
        <w:tabs>
          <w:tab w:leader="none" w:pos="820" w:val="left"/>
        </w:tabs>
        <w:rPr>
          <w:rFonts w:ascii="Arial" w:cs="Arial" w:eastAsia="Arial" w:hAnsi="Arial"/>
          <w:sz w:val="16"/>
          <w:szCs w:val="16"/>
          <w:color w:val="0000FF"/>
        </w:rPr>
      </w:pPr>
      <w:hyperlink r:id="rId21">
        <w:r>
          <w:rPr>
            <w:rFonts w:ascii="Arial" w:cs="Arial" w:eastAsia="Arial" w:hAnsi="Arial"/>
            <w:sz w:val="16"/>
            <w:szCs w:val="16"/>
            <w:u w:val="single" w:color="auto"/>
            <w:color w:val="0000FF"/>
          </w:rPr>
          <w:t>3.13</w:t>
        </w:r>
      </w:hyperlink>
      <w:r>
        <w:rPr>
          <w:rFonts w:ascii="Arial" w:cs="Arial" w:eastAsia="Arial" w:hAnsi="Arial"/>
          <w:sz w:val="16"/>
          <w:szCs w:val="16"/>
          <w:color w:val="0000FF"/>
        </w:rPr>
        <w:tab/>
      </w:r>
      <w:r>
        <w:rPr>
          <w:rFonts w:ascii="Arial" w:cs="Arial" w:eastAsia="Arial" w:hAnsi="Arial"/>
          <w:sz w:val="15"/>
          <w:szCs w:val="15"/>
          <w:color w:val="0000FF"/>
        </w:rPr>
        <w:t>Supplement to the Amended and Restated Agreement of Limited Partnership of ROP relating to the succession as a general partner of WAGP, incorporated by reference to the Company's Annual Report on Form 10-K for the year ended December 31, 2007, filed with the SEC on March 31, 2008.</w:t>
      </w:r>
    </w:p>
    <w:p>
      <w:pPr>
        <w:spacing w:after="0" w:line="1" w:lineRule="exact"/>
        <w:rPr>
          <w:sz w:val="20"/>
          <w:szCs w:val="20"/>
          <w:color w:val="auto"/>
        </w:rPr>
      </w:pPr>
    </w:p>
    <w:p>
      <w:pPr>
        <w:ind w:left="840" w:right="240" w:hanging="458"/>
        <w:spacing w:after="0" w:line="293" w:lineRule="auto"/>
        <w:tabs>
          <w:tab w:leader="none" w:pos="820" w:val="left"/>
        </w:tabs>
        <w:rPr>
          <w:rFonts w:ascii="Arial" w:cs="Arial" w:eastAsia="Arial" w:hAnsi="Arial"/>
          <w:sz w:val="16"/>
          <w:szCs w:val="16"/>
          <w:color w:val="0000FF"/>
        </w:rPr>
      </w:pPr>
      <w:hyperlink r:id="rId22">
        <w:r>
          <w:rPr>
            <w:rFonts w:ascii="Arial" w:cs="Arial" w:eastAsia="Arial" w:hAnsi="Arial"/>
            <w:sz w:val="16"/>
            <w:szCs w:val="16"/>
            <w:u w:val="single" w:color="auto"/>
            <w:color w:val="0000FF"/>
          </w:rPr>
          <w:t>4.1</w:t>
        </w:r>
      </w:hyperlink>
      <w:r>
        <w:rPr>
          <w:rFonts w:ascii="Arial" w:cs="Arial" w:eastAsia="Arial" w:hAnsi="Arial"/>
          <w:sz w:val="16"/>
          <w:szCs w:val="16"/>
          <w:color w:val="0000FF"/>
        </w:rPr>
        <w:tab/>
        <w:t>Indenture, dated as of March 16, 2010, among ROP, as Issuer, SL Green and the Operating Partnership, as Co-Obligors, and The Bank of New York Mellon, as Trustee, incorporated by reference to the Company's Form 8-K, dated March 16, 2010, filed with the SEC on March 17, 2010.</w:t>
      </w:r>
    </w:p>
    <w:p>
      <w:pPr>
        <w:spacing w:after="0" w:line="10" w:lineRule="exact"/>
        <w:rPr>
          <w:sz w:val="20"/>
          <w:szCs w:val="20"/>
          <w:color w:val="auto"/>
        </w:rPr>
      </w:pPr>
    </w:p>
    <w:p>
      <w:pPr>
        <w:ind w:left="380"/>
        <w:spacing w:after="0"/>
        <w:tabs>
          <w:tab w:leader="none" w:pos="820" w:val="left"/>
        </w:tabs>
        <w:rPr>
          <w:rFonts w:ascii="Arial" w:cs="Arial" w:eastAsia="Arial" w:hAnsi="Arial"/>
          <w:sz w:val="16"/>
          <w:szCs w:val="16"/>
          <w:color w:val="0000FF"/>
        </w:rPr>
      </w:pPr>
      <w:hyperlink r:id="rId22">
        <w:r>
          <w:rPr>
            <w:rFonts w:ascii="Arial" w:cs="Arial" w:eastAsia="Arial" w:hAnsi="Arial"/>
            <w:sz w:val="16"/>
            <w:szCs w:val="16"/>
            <w:u w:val="single" w:color="auto"/>
            <w:color w:val="0000FF"/>
          </w:rPr>
          <w:t>4.2</w:t>
        </w:r>
      </w:hyperlink>
      <w:r>
        <w:rPr>
          <w:rFonts w:ascii="Arial" w:cs="Arial" w:eastAsia="Arial" w:hAnsi="Arial"/>
          <w:sz w:val="16"/>
          <w:szCs w:val="16"/>
          <w:color w:val="0000FF"/>
        </w:rPr>
        <w:tab/>
      </w:r>
      <w:r>
        <w:rPr>
          <w:rFonts w:ascii="Arial" w:cs="Arial" w:eastAsia="Arial" w:hAnsi="Arial"/>
          <w:sz w:val="14"/>
          <w:szCs w:val="14"/>
          <w:color w:val="0000FF"/>
        </w:rPr>
        <w:t>Form of 7.75% Senior Note due 2020 of ROP, SL Green and the Operating Partnership, incorporated by reference to the Company's Form 8-K, dated March 16,</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2010, filed with the SEC on March 17, 2010.</w:t>
      </w:r>
    </w:p>
    <w:p>
      <w:pPr>
        <w:spacing w:after="0" w:line="69" w:lineRule="exact"/>
        <w:rPr>
          <w:sz w:val="20"/>
          <w:szCs w:val="20"/>
          <w:color w:val="auto"/>
        </w:rPr>
      </w:pPr>
    </w:p>
    <w:p>
      <w:pPr>
        <w:ind w:left="840" w:right="360" w:hanging="458"/>
        <w:spacing w:after="0" w:line="273" w:lineRule="auto"/>
        <w:tabs>
          <w:tab w:leader="none" w:pos="820" w:val="left"/>
        </w:tabs>
        <w:rPr>
          <w:rFonts w:ascii="Arial" w:cs="Arial" w:eastAsia="Arial" w:hAnsi="Arial"/>
          <w:sz w:val="16"/>
          <w:szCs w:val="16"/>
          <w:color w:val="0000FF"/>
        </w:rPr>
      </w:pPr>
      <w:hyperlink r:id="rId23">
        <w:r>
          <w:rPr>
            <w:rFonts w:ascii="Arial" w:cs="Arial" w:eastAsia="Arial" w:hAnsi="Arial"/>
            <w:sz w:val="16"/>
            <w:szCs w:val="16"/>
            <w:u w:val="single" w:color="auto"/>
            <w:color w:val="0000FF"/>
          </w:rPr>
          <w:t>4.3</w:t>
        </w:r>
      </w:hyperlink>
      <w:r>
        <w:rPr>
          <w:rFonts w:ascii="Arial" w:cs="Arial" w:eastAsia="Arial" w:hAnsi="Arial"/>
          <w:sz w:val="16"/>
          <w:szCs w:val="16"/>
          <w:color w:val="0000FF"/>
        </w:rPr>
        <w:tab/>
        <w:t>First Supplemental Indenture, dated as of December 28, 2018, among SL Green Realty Corp., SL Green Operating Partnership, L.P., Reckson Operating Partnership, L.P. and The Bank of New York Mellon, as Trustee, to the Indenture, dated as of March 16, 2010, among SL Green Realty Corp., SL Green Operating Partnership, L.P., Reckson Operating Partnership, L.P. and The Bank of New York Mellon, as Trustee, incorporated by reference to the Company's Form 8-K, dated December 28, 2018, filed with the SEC on January 2, 2019.</w:t>
      </w:r>
    </w:p>
    <w:p>
      <w:pPr>
        <w:spacing w:after="0" w:line="27" w:lineRule="exact"/>
        <w:rPr>
          <w:sz w:val="20"/>
          <w:szCs w:val="20"/>
          <w:color w:val="auto"/>
        </w:rPr>
      </w:pPr>
    </w:p>
    <w:p>
      <w:pPr>
        <w:ind w:left="840" w:right="20" w:hanging="458"/>
        <w:spacing w:after="0" w:line="293" w:lineRule="auto"/>
        <w:tabs>
          <w:tab w:leader="none" w:pos="820" w:val="left"/>
        </w:tabs>
        <w:rPr>
          <w:rFonts w:ascii="Arial" w:cs="Arial" w:eastAsia="Arial" w:hAnsi="Arial"/>
          <w:sz w:val="16"/>
          <w:szCs w:val="16"/>
          <w:color w:val="0000FF"/>
        </w:rPr>
      </w:pPr>
      <w:hyperlink r:id="rId24">
        <w:r>
          <w:rPr>
            <w:rFonts w:ascii="Arial" w:cs="Arial" w:eastAsia="Arial" w:hAnsi="Arial"/>
            <w:sz w:val="16"/>
            <w:szCs w:val="16"/>
            <w:u w:val="single" w:color="auto"/>
            <w:color w:val="0000FF"/>
          </w:rPr>
          <w:t>4.4</w:t>
        </w:r>
      </w:hyperlink>
      <w:r>
        <w:rPr>
          <w:rFonts w:ascii="Arial" w:cs="Arial" w:eastAsia="Arial" w:hAnsi="Arial"/>
          <w:sz w:val="16"/>
          <w:szCs w:val="16"/>
          <w:color w:val="0000FF"/>
        </w:rPr>
        <w:tab/>
        <w:t>Indenture, dated as of October 12, 2010, by and among the Operating Partnership, as Issuer, ROP, as Guarantor, SL Green and The Bank of New York Mellon, as Trustee, incorporated by reference to the Company's Form 8-K, dated October 14, 2010, filed with the SEC on October 14, 2010.</w:t>
      </w:r>
    </w:p>
    <w:p>
      <w:pPr>
        <w:spacing w:after="0" w:line="10" w:lineRule="exact"/>
        <w:rPr>
          <w:sz w:val="20"/>
          <w:szCs w:val="20"/>
          <w:color w:val="auto"/>
        </w:rPr>
      </w:pPr>
    </w:p>
    <w:p>
      <w:pPr>
        <w:ind w:left="840" w:right="360" w:hanging="458"/>
        <w:spacing w:after="0" w:line="293" w:lineRule="auto"/>
        <w:tabs>
          <w:tab w:leader="none" w:pos="820" w:val="left"/>
        </w:tabs>
        <w:rPr>
          <w:rFonts w:ascii="Arial" w:cs="Arial" w:eastAsia="Arial" w:hAnsi="Arial"/>
          <w:sz w:val="16"/>
          <w:szCs w:val="16"/>
          <w:color w:val="0000FF"/>
        </w:rPr>
      </w:pPr>
      <w:hyperlink r:id="rId25">
        <w:r>
          <w:rPr>
            <w:rFonts w:ascii="Arial" w:cs="Arial" w:eastAsia="Arial" w:hAnsi="Arial"/>
            <w:sz w:val="16"/>
            <w:szCs w:val="16"/>
            <w:u w:val="single" w:color="auto"/>
            <w:color w:val="0000FF"/>
          </w:rPr>
          <w:t>4.5</w:t>
        </w:r>
      </w:hyperlink>
      <w:r>
        <w:rPr>
          <w:rFonts w:ascii="Arial" w:cs="Arial" w:eastAsia="Arial" w:hAnsi="Arial"/>
          <w:sz w:val="16"/>
          <w:szCs w:val="16"/>
          <w:color w:val="0000FF"/>
        </w:rPr>
        <w:tab/>
        <w:t>Indenture, dated as of August 5, 2011, among SL Green, the Operating Partnership and ROP, as Co-Obligors, and The Bank of New York Mellon, as Trustee, incorporated by reference to the Company's Form 8-K, dated August 5, 2011, filed with the SEC on August 5, 2011.</w:t>
      </w:r>
    </w:p>
    <w:p>
      <w:pPr>
        <w:spacing w:after="0" w:line="10" w:lineRule="exact"/>
        <w:rPr>
          <w:sz w:val="20"/>
          <w:szCs w:val="20"/>
          <w:color w:val="auto"/>
        </w:rPr>
      </w:pPr>
    </w:p>
    <w:p>
      <w:pPr>
        <w:ind w:left="840" w:right="240" w:hanging="458"/>
        <w:spacing w:after="0" w:line="319" w:lineRule="auto"/>
        <w:tabs>
          <w:tab w:leader="none" w:pos="820" w:val="left"/>
        </w:tabs>
        <w:rPr>
          <w:rFonts w:ascii="Arial" w:cs="Arial" w:eastAsia="Arial" w:hAnsi="Arial"/>
          <w:sz w:val="16"/>
          <w:szCs w:val="16"/>
          <w:color w:val="0000FF"/>
        </w:rPr>
      </w:pPr>
      <w:hyperlink r:id="rId26">
        <w:r>
          <w:rPr>
            <w:rFonts w:ascii="Arial" w:cs="Arial" w:eastAsia="Arial" w:hAnsi="Arial"/>
            <w:sz w:val="16"/>
            <w:szCs w:val="16"/>
            <w:u w:val="single" w:color="auto"/>
            <w:color w:val="0000FF"/>
          </w:rPr>
          <w:t>4.6</w:t>
        </w:r>
      </w:hyperlink>
      <w:r>
        <w:rPr>
          <w:rFonts w:ascii="Arial" w:cs="Arial" w:eastAsia="Arial" w:hAnsi="Arial"/>
          <w:sz w:val="16"/>
          <w:szCs w:val="16"/>
          <w:color w:val="0000FF"/>
        </w:rPr>
        <w:tab/>
      </w:r>
      <w:r>
        <w:rPr>
          <w:rFonts w:ascii="Arial" w:cs="Arial" w:eastAsia="Arial" w:hAnsi="Arial"/>
          <w:sz w:val="15"/>
          <w:szCs w:val="15"/>
          <w:color w:val="0000FF"/>
        </w:rPr>
        <w:t>Second Supplemental Indenture, dated as of November 15, 2012, among SL Green, the Operating Partnership and ROP, as Co-Obligors, and The Bank of New York Mellon, as Trustee, incorporated by reference to the Company's Form 8-K, dated November 15, 2012, filed with the SEC on November 15, 2012.</w:t>
      </w:r>
    </w:p>
    <w:p>
      <w:pPr>
        <w:spacing w:after="0" w:line="1" w:lineRule="exact"/>
        <w:rPr>
          <w:sz w:val="20"/>
          <w:szCs w:val="20"/>
          <w:color w:val="auto"/>
        </w:rPr>
      </w:pPr>
    </w:p>
    <w:p>
      <w:pPr>
        <w:ind w:left="840" w:right="220" w:hanging="458"/>
        <w:spacing w:after="0" w:line="293" w:lineRule="auto"/>
        <w:tabs>
          <w:tab w:leader="none" w:pos="820" w:val="left"/>
        </w:tabs>
        <w:rPr>
          <w:rFonts w:ascii="Arial" w:cs="Arial" w:eastAsia="Arial" w:hAnsi="Arial"/>
          <w:sz w:val="16"/>
          <w:szCs w:val="16"/>
          <w:color w:val="0000FF"/>
        </w:rPr>
      </w:pPr>
      <w:hyperlink r:id="rId26">
        <w:r>
          <w:rPr>
            <w:rFonts w:ascii="Arial" w:cs="Arial" w:eastAsia="Arial" w:hAnsi="Arial"/>
            <w:sz w:val="16"/>
            <w:szCs w:val="16"/>
            <w:u w:val="single" w:color="auto"/>
            <w:color w:val="0000FF"/>
          </w:rPr>
          <w:t>4.7</w:t>
        </w:r>
      </w:hyperlink>
      <w:r>
        <w:rPr>
          <w:rFonts w:ascii="Arial" w:cs="Arial" w:eastAsia="Arial" w:hAnsi="Arial"/>
          <w:sz w:val="16"/>
          <w:szCs w:val="16"/>
          <w:color w:val="0000FF"/>
        </w:rPr>
        <w:tab/>
        <w:t>Form of 4.50% Senior Note due 2022 of SL Green, the Operating Partnership and ROP, as Co-Obligors, incorporated by reference to the Company's Form 8-K, dated November 15, 2012, filed with the SEC on November 15, 2012.</w:t>
      </w:r>
    </w:p>
    <w:p>
      <w:pPr>
        <w:spacing w:after="0" w:line="10" w:lineRule="exact"/>
        <w:rPr>
          <w:sz w:val="20"/>
          <w:szCs w:val="20"/>
          <w:color w:val="auto"/>
        </w:rPr>
      </w:pPr>
    </w:p>
    <w:p>
      <w:pPr>
        <w:ind w:left="840" w:right="120" w:hanging="458"/>
        <w:spacing w:after="0" w:line="273" w:lineRule="auto"/>
        <w:tabs>
          <w:tab w:leader="none" w:pos="820" w:val="left"/>
        </w:tabs>
        <w:rPr>
          <w:rFonts w:ascii="Arial" w:cs="Arial" w:eastAsia="Arial" w:hAnsi="Arial"/>
          <w:sz w:val="16"/>
          <w:szCs w:val="16"/>
          <w:color w:val="0000FF"/>
        </w:rPr>
      </w:pPr>
      <w:hyperlink r:id="rId27">
        <w:r>
          <w:rPr>
            <w:rFonts w:ascii="Arial" w:cs="Arial" w:eastAsia="Arial" w:hAnsi="Arial"/>
            <w:sz w:val="16"/>
            <w:szCs w:val="16"/>
            <w:u w:val="single" w:color="auto"/>
            <w:color w:val="0000FF"/>
          </w:rPr>
          <w:t>4.8</w:t>
        </w:r>
      </w:hyperlink>
      <w:r>
        <w:rPr>
          <w:rFonts w:ascii="Arial" w:cs="Arial" w:eastAsia="Arial" w:hAnsi="Arial"/>
          <w:sz w:val="16"/>
          <w:szCs w:val="16"/>
          <w:color w:val="0000FF"/>
        </w:rPr>
        <w:tab/>
        <w:t>Third Supplemental Indenture, dated as of December 28, 2018, among SL Green Realty Corp., SL Green Operating Partnership, L.P. and The Bank of New York Mellon, as Trustee, to the Indenture, dated as of August 5, 2011, among SL Green Realty Corp., SL Green Operating Partnership, L.P., Reckson Operating Partnership, L.P. and The Bank of New York Mellon, as Trustee, incorporated by reference to the Company's Form 8-K, dated December 28, 2018, filed with the SEC on January 2, 2019.</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right"/>
        <w:ind w:left="380"/>
        <w:spacing w:after="0" w:line="319" w:lineRule="auto"/>
        <w:rPr>
          <w:rFonts w:ascii="Arial" w:cs="Arial" w:eastAsia="Arial" w:hAnsi="Arial"/>
          <w:sz w:val="15"/>
          <w:szCs w:val="15"/>
          <w:color w:val="0000FF"/>
        </w:rPr>
      </w:pPr>
      <w:hyperlink r:id="rId28">
        <w:r>
          <w:rPr>
            <w:rFonts w:ascii="Arial" w:cs="Arial" w:eastAsia="Arial" w:hAnsi="Arial"/>
            <w:sz w:val="15"/>
            <w:szCs w:val="15"/>
            <w:u w:val="single" w:color="auto"/>
            <w:color w:val="0000FF"/>
          </w:rPr>
          <w:t>4.9</w:t>
        </w:r>
        <w:r>
          <w:rPr>
            <w:rFonts w:ascii="Arial" w:cs="Arial" w:eastAsia="Arial" w:hAnsi="Arial"/>
            <w:sz w:val="15"/>
            <w:szCs w:val="15"/>
            <w:color w:val="0000FF"/>
          </w:rPr>
          <w:t xml:space="preserve">   </w:t>
        </w:r>
      </w:hyperlink>
      <w:r>
        <w:rPr>
          <w:rFonts w:ascii="Arial" w:cs="Arial" w:eastAsia="Arial" w:hAnsi="Arial"/>
          <w:sz w:val="15"/>
          <w:szCs w:val="15"/>
          <w:color w:val="000000"/>
        </w:rPr>
        <w:t>Indenture,</w:t>
      </w:r>
      <w:r>
        <w:rPr>
          <w:rFonts w:ascii="Arial" w:cs="Arial" w:eastAsia="Arial" w:hAnsi="Arial"/>
          <w:sz w:val="15"/>
          <w:szCs w:val="15"/>
          <w:color w:val="0000FF"/>
        </w:rPr>
        <w:t xml:space="preserve"> </w:t>
      </w:r>
      <w:r>
        <w:rPr>
          <w:rFonts w:ascii="Arial" w:cs="Arial" w:eastAsia="Arial" w:hAnsi="Arial"/>
          <w:sz w:val="15"/>
          <w:szCs w:val="15"/>
          <w:color w:val="000000"/>
        </w:rPr>
        <w:t>dated as of October 5, 2017, among SL Green, the Operating Partnership and ROP and Wells Fargo Securities, LLC and J.P. Morgan Securities LLC, as</w:t>
      </w:r>
      <w:r>
        <w:rPr>
          <w:rFonts w:ascii="Arial" w:cs="Arial" w:eastAsia="Arial" w:hAnsi="Arial"/>
          <w:sz w:val="15"/>
          <w:szCs w:val="15"/>
          <w:color w:val="0000FF"/>
        </w:rPr>
        <w:t xml:space="preserve"> </w:t>
      </w:r>
      <w:r>
        <w:rPr>
          <w:rFonts w:ascii="Arial" w:cs="Arial" w:eastAsia="Arial" w:hAnsi="Arial"/>
          <w:sz w:val="15"/>
          <w:szCs w:val="15"/>
          <w:color w:val="000000"/>
        </w:rPr>
        <w:t>representatives of the several underwriters, incorporated by reference to the Company’s Form 8-K, dated October 5, 2017, filed with the SEC on October 5, 2017.</w:t>
      </w:r>
    </w:p>
    <w:p>
      <w:pPr>
        <w:spacing w:after="0" w:line="1" w:lineRule="exact"/>
        <w:rPr>
          <w:sz w:val="20"/>
          <w:szCs w:val="20"/>
          <w:color w:val="auto"/>
        </w:rPr>
      </w:pPr>
    </w:p>
    <w:p>
      <w:pPr>
        <w:ind w:left="840" w:right="180" w:hanging="539"/>
        <w:spacing w:after="0" w:line="319" w:lineRule="auto"/>
        <w:tabs>
          <w:tab w:leader="none" w:pos="820" w:val="left"/>
        </w:tabs>
        <w:rPr>
          <w:rFonts w:ascii="Arial" w:cs="Arial" w:eastAsia="Arial" w:hAnsi="Arial"/>
          <w:sz w:val="16"/>
          <w:szCs w:val="16"/>
          <w:color w:val="0000FF"/>
        </w:rPr>
      </w:pPr>
      <w:hyperlink r:id="rId29">
        <w:r>
          <w:rPr>
            <w:rFonts w:ascii="Arial" w:cs="Arial" w:eastAsia="Arial" w:hAnsi="Arial"/>
            <w:sz w:val="16"/>
            <w:szCs w:val="16"/>
            <w:u w:val="single" w:color="auto"/>
            <w:color w:val="0000FF"/>
          </w:rPr>
          <w:t>4.10</w:t>
        </w:r>
      </w:hyperlink>
      <w:r>
        <w:rPr>
          <w:rFonts w:ascii="Arial" w:cs="Arial" w:eastAsia="Arial" w:hAnsi="Arial"/>
          <w:sz w:val="16"/>
          <w:szCs w:val="16"/>
          <w:color w:val="0000FF"/>
        </w:rPr>
        <w:tab/>
      </w:r>
      <w:r>
        <w:rPr>
          <w:rFonts w:ascii="Arial" w:cs="Arial" w:eastAsia="Arial" w:hAnsi="Arial"/>
          <w:sz w:val="15"/>
          <w:szCs w:val="15"/>
          <w:color w:val="0000FF"/>
        </w:rPr>
        <w:t>First Supplemental Indenture, dated as of October 5, 2017, among the Operating Partnership, as Issuer, SL Green and ROP, as Guarantors, and the Bank of New York Mellon, as Trustee, incorporated by reference to the Company’s Form 8-K, dated October 5, 2017, filed with the SEC on October 5, 2017.</w:t>
      </w:r>
    </w:p>
    <w:p>
      <w:pPr>
        <w:spacing w:after="0" w:line="1" w:lineRule="exact"/>
        <w:rPr>
          <w:sz w:val="20"/>
          <w:szCs w:val="20"/>
          <w:color w:val="auto"/>
        </w:rPr>
      </w:pPr>
    </w:p>
    <w:p>
      <w:pPr>
        <w:ind w:left="840" w:right="60" w:hanging="533"/>
        <w:spacing w:after="0" w:line="293" w:lineRule="auto"/>
        <w:tabs>
          <w:tab w:leader="none" w:pos="820" w:val="left"/>
        </w:tabs>
        <w:rPr>
          <w:rFonts w:ascii="Arial" w:cs="Arial" w:eastAsia="Arial" w:hAnsi="Arial"/>
          <w:sz w:val="16"/>
          <w:szCs w:val="16"/>
          <w:color w:val="0000FF"/>
        </w:rPr>
      </w:pPr>
      <w:hyperlink r:id="rId28">
        <w:r>
          <w:rPr>
            <w:rFonts w:ascii="Arial" w:cs="Arial" w:eastAsia="Arial" w:hAnsi="Arial"/>
            <w:sz w:val="16"/>
            <w:szCs w:val="16"/>
            <w:u w:val="single" w:color="auto"/>
            <w:color w:val="0000FF"/>
          </w:rPr>
          <w:t>4.11</w:t>
        </w:r>
      </w:hyperlink>
      <w:r>
        <w:rPr>
          <w:rFonts w:ascii="Arial" w:cs="Arial" w:eastAsia="Arial" w:hAnsi="Arial"/>
          <w:sz w:val="16"/>
          <w:szCs w:val="16"/>
          <w:color w:val="0000FF"/>
        </w:rPr>
        <w:tab/>
        <w:t>Form of 3.250% Senior Note due 2022 of the Operating Partnership, incorporated by reference to the Company’s Form 8-K, dated October 5, 2017, filed with the SEC on October 5, 2017.</w:t>
      </w:r>
    </w:p>
    <w:p>
      <w:pPr>
        <w:spacing w:after="0" w:line="10" w:lineRule="exact"/>
        <w:rPr>
          <w:sz w:val="20"/>
          <w:szCs w:val="20"/>
          <w:color w:val="auto"/>
        </w:rPr>
      </w:pPr>
    </w:p>
    <w:p>
      <w:pPr>
        <w:jc w:val="both"/>
        <w:ind w:left="840" w:hanging="539"/>
        <w:spacing w:after="0" w:line="287" w:lineRule="auto"/>
        <w:tabs>
          <w:tab w:leader="none" w:pos="820" w:val="left"/>
        </w:tabs>
        <w:rPr>
          <w:rFonts w:ascii="Arial" w:cs="Arial" w:eastAsia="Arial" w:hAnsi="Arial"/>
          <w:sz w:val="16"/>
          <w:szCs w:val="16"/>
          <w:color w:val="0000FF"/>
        </w:rPr>
      </w:pPr>
      <w:hyperlink r:id="rId30">
        <w:r>
          <w:rPr>
            <w:rFonts w:ascii="Arial" w:cs="Arial" w:eastAsia="Arial" w:hAnsi="Arial"/>
            <w:sz w:val="16"/>
            <w:szCs w:val="16"/>
            <w:u w:val="single" w:color="auto"/>
            <w:color w:val="0000FF"/>
          </w:rPr>
          <w:t>10.1</w:t>
        </w:r>
      </w:hyperlink>
      <w:r>
        <w:rPr>
          <w:rFonts w:ascii="Arial" w:cs="Arial" w:eastAsia="Arial" w:hAnsi="Arial"/>
          <w:sz w:val="16"/>
          <w:szCs w:val="16"/>
          <w:color w:val="0000FF"/>
        </w:rPr>
        <w:tab/>
      </w:r>
      <w:r>
        <w:rPr>
          <w:rFonts w:ascii="Arial" w:cs="Arial" w:eastAsia="Arial" w:hAnsi="Arial"/>
          <w:sz w:val="15"/>
          <w:szCs w:val="15"/>
          <w:color w:val="0000FF"/>
        </w:rPr>
        <w:t>Second Amended and Restated Credit Agreement, dated as of November 21, 2017, by and among SL Green Realty Corp. and SL Green Operating Partnership, L.P., as Borrowers, each of the Lenders party thereto, Wells Fargo Bank, National Association, as Administrative Agent, Wells Fargo Securities, LLC, JPMorgan Chase Bank, N.A., Deutsche Bank Securities Inc. and U.S. Bank National Association, as joint lead arrangers and joint bookrunners for the Revolving Credit Facility and Term Loan A Facility, Merrill Lynch, Pierce, Fenner &amp; Smith Incorporated and BMO Capital Markets Corp., as joint lead arrangers for the Revolving Credit Facility and Term Loan A Facility, JPMorgan Chase Bank, N.A., as syndication agent for the Revolving Credit Facility and Term Loan A Facility, Deutsche Bank Securities, Inc., U.S. Bank National Association, Bank of America, N.A., and Bank of Montreal, as documentation agents for the Revolving Credit Facility and Term Loan A Facility, Wells Fargo Securities, LLC and U.S. Bank National Association, as joint lead arrangers and joint bookrunners for the Term Loan B Facility, U.S. Bank National Association, as syndication agent for the Term Loan B Facility, and the other lenders and agents a party thereto, incorporated by reference to the Company's Form 8-K, dated November 27, 2017, filed with the SEC on November 27, 2017.</w:t>
      </w:r>
    </w:p>
    <w:p>
      <w:pPr>
        <w:spacing w:after="0" w:line="21" w:lineRule="exact"/>
        <w:rPr>
          <w:sz w:val="20"/>
          <w:szCs w:val="20"/>
          <w:color w:val="auto"/>
        </w:rPr>
      </w:pPr>
    </w:p>
    <w:p>
      <w:pPr>
        <w:ind w:left="300"/>
        <w:spacing w:after="0"/>
        <w:tabs>
          <w:tab w:leader="none" w:pos="820" w:val="left"/>
        </w:tabs>
        <w:rPr>
          <w:rFonts w:ascii="Arial" w:cs="Arial" w:eastAsia="Arial" w:hAnsi="Arial"/>
          <w:sz w:val="16"/>
          <w:szCs w:val="16"/>
          <w:color w:val="0000FF"/>
        </w:rPr>
      </w:pPr>
      <w:hyperlink w:anchor="page79">
        <w:r>
          <w:rPr>
            <w:rFonts w:ascii="Arial" w:cs="Arial" w:eastAsia="Arial" w:hAnsi="Arial"/>
            <w:sz w:val="16"/>
            <w:szCs w:val="16"/>
            <w:u w:val="single" w:color="auto"/>
            <w:color w:val="0000FF"/>
          </w:rPr>
          <w:t>21.1</w:t>
        </w:r>
      </w:hyperlink>
      <w:r>
        <w:rPr>
          <w:rFonts w:ascii="Arial" w:cs="Arial" w:eastAsia="Arial" w:hAnsi="Arial"/>
          <w:sz w:val="16"/>
          <w:szCs w:val="16"/>
          <w:color w:val="0000FF"/>
        </w:rPr>
        <w:tab/>
      </w:r>
      <w:r>
        <w:rPr>
          <w:rFonts w:ascii="Arial" w:cs="Arial" w:eastAsia="Arial" w:hAnsi="Arial"/>
          <w:sz w:val="14"/>
          <w:szCs w:val="14"/>
          <w:color w:val="0000FF"/>
        </w:rPr>
        <w:t>Statement of Subsidiaries, filed herewith.</w:t>
      </w:r>
    </w:p>
    <w:p>
      <w:pPr>
        <w:spacing w:after="0" w:line="86" w:lineRule="exact"/>
        <w:rPr>
          <w:sz w:val="20"/>
          <w:szCs w:val="20"/>
          <w:color w:val="auto"/>
        </w:rPr>
      </w:pPr>
    </w:p>
    <w:p>
      <w:pPr>
        <w:ind w:left="840" w:right="40" w:hanging="539"/>
        <w:spacing w:after="0" w:line="293" w:lineRule="auto"/>
        <w:tabs>
          <w:tab w:leader="none" w:pos="820" w:val="left"/>
        </w:tabs>
        <w:rPr>
          <w:rFonts w:ascii="Arial" w:cs="Arial" w:eastAsia="Arial" w:hAnsi="Arial"/>
          <w:sz w:val="16"/>
          <w:szCs w:val="16"/>
          <w:color w:val="0000FF"/>
        </w:rPr>
      </w:pPr>
      <w:hyperlink w:anchor="page80">
        <w:r>
          <w:rPr>
            <w:rFonts w:ascii="Arial" w:cs="Arial" w:eastAsia="Arial" w:hAnsi="Arial"/>
            <w:sz w:val="16"/>
            <w:szCs w:val="16"/>
            <w:u w:val="single" w:color="auto"/>
            <w:color w:val="0000FF"/>
          </w:rPr>
          <w:t>31.1</w:t>
        </w:r>
      </w:hyperlink>
      <w:r>
        <w:rPr>
          <w:rFonts w:ascii="Arial" w:cs="Arial" w:eastAsia="Arial" w:hAnsi="Arial"/>
          <w:sz w:val="16"/>
          <w:szCs w:val="16"/>
          <w:color w:val="0000FF"/>
        </w:rPr>
        <w:tab/>
        <w:t>Certification of Marc Holliday President of Wyoming Acquisition GP LLC, the sole general partner of Registrant, pursuant to Rule 13a-14(a) or Rule 15(d)-14(a), filed herewith.</w:t>
      </w:r>
    </w:p>
    <w:p>
      <w:pPr>
        <w:spacing w:after="0" w:line="10" w:lineRule="exact"/>
        <w:rPr>
          <w:sz w:val="20"/>
          <w:szCs w:val="20"/>
          <w:color w:val="auto"/>
        </w:rPr>
      </w:pPr>
    </w:p>
    <w:p>
      <w:pPr>
        <w:ind w:left="840" w:right="700" w:hanging="539"/>
        <w:spacing w:after="0" w:line="293" w:lineRule="auto"/>
        <w:tabs>
          <w:tab w:leader="none" w:pos="820" w:val="left"/>
        </w:tabs>
        <w:rPr>
          <w:rFonts w:ascii="Arial" w:cs="Arial" w:eastAsia="Arial" w:hAnsi="Arial"/>
          <w:sz w:val="16"/>
          <w:szCs w:val="16"/>
          <w:color w:val="0000FF"/>
        </w:rPr>
      </w:pPr>
      <w:hyperlink w:anchor="page81">
        <w:r>
          <w:rPr>
            <w:rFonts w:ascii="Arial" w:cs="Arial" w:eastAsia="Arial" w:hAnsi="Arial"/>
            <w:sz w:val="16"/>
            <w:szCs w:val="16"/>
            <w:u w:val="single" w:color="auto"/>
            <w:color w:val="0000FF"/>
          </w:rPr>
          <w:t>31.2</w:t>
        </w:r>
      </w:hyperlink>
      <w:r>
        <w:rPr>
          <w:rFonts w:ascii="Arial" w:cs="Arial" w:eastAsia="Arial" w:hAnsi="Arial"/>
          <w:sz w:val="16"/>
          <w:szCs w:val="16"/>
          <w:color w:val="0000FF"/>
        </w:rPr>
        <w:tab/>
        <w:t>Certification of Matthew J. DiLiberto, Treasurer of Wyoming Acquisition GP LLC, the sole general partner of Registrant, pursuant to Rule 13a-14(a) or Rule 15(d)-14(a), filed herewith.</w:t>
      </w:r>
    </w:p>
    <w:p>
      <w:pPr>
        <w:spacing w:after="0" w:line="10" w:lineRule="exact"/>
        <w:rPr>
          <w:sz w:val="20"/>
          <w:szCs w:val="20"/>
          <w:color w:val="auto"/>
        </w:rPr>
      </w:pPr>
    </w:p>
    <w:p>
      <w:pPr>
        <w:ind w:left="840" w:right="380" w:hanging="539"/>
        <w:spacing w:after="0" w:line="293" w:lineRule="auto"/>
        <w:tabs>
          <w:tab w:leader="none" w:pos="820" w:val="left"/>
        </w:tabs>
        <w:rPr>
          <w:rFonts w:ascii="Arial" w:cs="Arial" w:eastAsia="Arial" w:hAnsi="Arial"/>
          <w:sz w:val="16"/>
          <w:szCs w:val="16"/>
          <w:color w:val="0000FF"/>
        </w:rPr>
      </w:pPr>
      <w:hyperlink w:anchor="page82">
        <w:r>
          <w:rPr>
            <w:rFonts w:ascii="Arial" w:cs="Arial" w:eastAsia="Arial" w:hAnsi="Arial"/>
            <w:sz w:val="16"/>
            <w:szCs w:val="16"/>
            <w:u w:val="single" w:color="auto"/>
            <w:color w:val="0000FF"/>
          </w:rPr>
          <w:t>32.1</w:t>
        </w:r>
      </w:hyperlink>
      <w:r>
        <w:rPr>
          <w:rFonts w:ascii="Arial" w:cs="Arial" w:eastAsia="Arial" w:hAnsi="Arial"/>
          <w:sz w:val="16"/>
          <w:szCs w:val="16"/>
          <w:color w:val="0000FF"/>
        </w:rPr>
        <w:tab/>
        <w:t>Certification of Marc Holliday, President of Wyoming Acquisition GP LLC, the sole general partner of Registrant, pursuant to Section 1350 of Chapter 63 of Title 18 of the United States Code, filed herewith.</w:t>
      </w:r>
    </w:p>
    <w:p>
      <w:pPr>
        <w:spacing w:after="0" w:line="10" w:lineRule="exact"/>
        <w:rPr>
          <w:sz w:val="20"/>
          <w:szCs w:val="20"/>
          <w:color w:val="auto"/>
        </w:rPr>
      </w:pPr>
    </w:p>
    <w:p>
      <w:pPr>
        <w:ind w:left="840" w:right="80" w:hanging="539"/>
        <w:spacing w:after="0" w:line="293" w:lineRule="auto"/>
        <w:tabs>
          <w:tab w:leader="none" w:pos="820" w:val="left"/>
        </w:tabs>
        <w:rPr>
          <w:rFonts w:ascii="Arial" w:cs="Arial" w:eastAsia="Arial" w:hAnsi="Arial"/>
          <w:sz w:val="16"/>
          <w:szCs w:val="16"/>
          <w:color w:val="0000FF"/>
        </w:rPr>
      </w:pPr>
      <w:hyperlink w:anchor="page83">
        <w:r>
          <w:rPr>
            <w:rFonts w:ascii="Arial" w:cs="Arial" w:eastAsia="Arial" w:hAnsi="Arial"/>
            <w:sz w:val="16"/>
            <w:szCs w:val="16"/>
            <w:u w:val="single" w:color="auto"/>
            <w:color w:val="0000FF"/>
          </w:rPr>
          <w:t>32.2</w:t>
        </w:r>
      </w:hyperlink>
      <w:r>
        <w:rPr>
          <w:rFonts w:ascii="Arial" w:cs="Arial" w:eastAsia="Arial" w:hAnsi="Arial"/>
          <w:sz w:val="16"/>
          <w:szCs w:val="16"/>
          <w:color w:val="0000FF"/>
        </w:rPr>
        <w:tab/>
        <w:t>Certification of Matthew J. DiLiberto, Treasurer of Wyoming Acquisition GP LLC, the sole general partner of Registrant, pursuant to Section 1350 of Chapter 63 of Title 18 of the United States Code, filed herewith.</w:t>
      </w:r>
    </w:p>
    <w:p>
      <w:pPr>
        <w:spacing w:after="0" w:line="10" w:lineRule="exact"/>
        <w:rPr>
          <w:sz w:val="20"/>
          <w:szCs w:val="20"/>
          <w:color w:val="auto"/>
        </w:rPr>
      </w:pPr>
    </w:p>
    <w:p>
      <w:pPr>
        <w:ind w:left="840" w:right="60" w:hanging="620"/>
        <w:spacing w:after="0" w:line="293" w:lineRule="auto"/>
        <w:tabs>
          <w:tab w:leader="none" w:pos="8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5"/>
          <w:szCs w:val="15"/>
          <w:color w:val="auto"/>
        </w:rPr>
        <w:t>The following financial statements from Reckson Operating Partnership, L.P.’s Annual Report on Form 10-K for the year ended December 31, 2018, formatted in XBRL: (i) Consolidated Balance Sheets as of December 31, 2018 and 2017, (ii) Consolidated Statements of Operations for the years ended December 31, 2018, 2017 and 2016, (iii) Consolidated Statements of Comprehensive Income for the years ended December 31, 2018, 2017 and 2016, (iv) Consolidated Statements of Capital for the years ended December 31, 2018, 2017 and 2016, (v) Consolidated Statements of Cash Flows for the years ended December 31, 2018, 2017 and 2016, and (vi) Notes to the Consolidated Financial Statements, detail tagged and filed herewith.</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28, 2019.</w:t>
      </w:r>
    </w:p>
    <w:p>
      <w:pPr>
        <w:spacing w:after="0" w:line="220"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RECKSON OPERATING PARTNERSHIP, L.P.</w:t>
      </w:r>
    </w:p>
    <w:p>
      <w:pPr>
        <w:spacing w:after="0" w:line="18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BY: WYOMING ACQUISITION GP LLC</w:t>
      </w:r>
    </w:p>
    <w:p>
      <w:pPr>
        <w:spacing w:after="0" w:line="67"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jc w:val="center"/>
              <w:spacing w:after="0"/>
              <w:rPr>
                <w:sz w:val="20"/>
                <w:szCs w:val="20"/>
                <w:color w:val="auto"/>
              </w:rPr>
            </w:pPr>
            <w:r>
              <w:rPr>
                <w:rFonts w:ascii="Arial" w:cs="Arial" w:eastAsia="Arial" w:hAnsi="Arial"/>
                <w:sz w:val="18"/>
                <w:szCs w:val="18"/>
                <w:color w:val="auto"/>
                <w:w w:val="93"/>
              </w:rPr>
              <w:t>/s/ Matthew J. DiLiberto</w:t>
            </w:r>
          </w:p>
        </w:tc>
      </w:tr>
      <w:tr>
        <w:trPr>
          <w:trHeight w:val="27"/>
        </w:trPr>
        <w:tc>
          <w:tcPr>
            <w:tcW w:w="6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22"/>
        </w:trPr>
        <w:tc>
          <w:tcPr>
            <w:tcW w:w="66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5"/>
              </w:rPr>
              <w:t>Matthew J. DiLiberto</w:t>
            </w:r>
          </w:p>
        </w:tc>
      </w:tr>
      <w:tr>
        <w:trPr>
          <w:trHeight w:val="230"/>
        </w:trPr>
        <w:tc>
          <w:tcPr>
            <w:tcW w:w="66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auto"/>
                <w:w w:val="89"/>
              </w:rPr>
              <w:t>Treasurer</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24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indicated on March 28, 2019.</w:t>
      </w:r>
    </w:p>
    <w:p>
      <w:pPr>
        <w:sectPr>
          <w:pgSz w:w="11900" w:h="16838" w:orient="portrait"/>
          <w:cols w:equalWidth="0" w:num="1">
            <w:col w:w="11420"/>
          </w:cols>
          <w:pgMar w:left="240" w:top="125" w:right="239" w:bottom="1440" w:gutter="0" w:footer="0" w:header="0"/>
        </w:sectPr>
      </w:pPr>
    </w:p>
    <w:p>
      <w:pPr>
        <w:spacing w:after="0" w:line="284"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Signature</w:t>
      </w:r>
    </w:p>
    <w:p>
      <w:pPr>
        <w:spacing w:after="0" w:line="32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38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Marc Holliday</w:t>
      </w:r>
    </w:p>
    <w:p>
      <w:pPr>
        <w:spacing w:after="0" w:line="387"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538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Matthew J. DiLiberto</w:t>
      </w:r>
    </w:p>
    <w:p>
      <w:pPr>
        <w:spacing w:after="0" w:line="387"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3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Andrew S. Levine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120"/>
        <w:spacing w:after="0"/>
        <w:rPr>
          <w:sz w:val="20"/>
          <w:szCs w:val="20"/>
          <w:color w:val="auto"/>
        </w:rPr>
      </w:pPr>
      <w:r>
        <w:rPr>
          <w:rFonts w:ascii="Arial" w:cs="Arial" w:eastAsia="Arial" w:hAnsi="Arial"/>
          <w:sz w:val="14"/>
          <w:szCs w:val="14"/>
          <w:b w:val="1"/>
          <w:bCs w:val="1"/>
          <w:color w:val="auto"/>
        </w:rPr>
        <w:t>Title</w:t>
      </w:r>
    </w:p>
    <w:p>
      <w:pPr>
        <w:spacing w:after="0" w:line="347" w:lineRule="exact"/>
        <w:rPr>
          <w:sz w:val="20"/>
          <w:szCs w:val="20"/>
          <w:color w:val="auto"/>
        </w:rPr>
      </w:pPr>
    </w:p>
    <w:p>
      <w:pPr>
        <w:jc w:val="center"/>
        <w:ind w:right="1420"/>
        <w:spacing w:after="0"/>
        <w:rPr>
          <w:sz w:val="20"/>
          <w:szCs w:val="20"/>
          <w:color w:val="auto"/>
        </w:rPr>
      </w:pPr>
      <w:r>
        <w:rPr>
          <w:rFonts w:ascii="Arial" w:cs="Arial" w:eastAsia="Arial" w:hAnsi="Arial"/>
          <w:sz w:val="16"/>
          <w:szCs w:val="16"/>
          <w:color w:val="auto"/>
        </w:rPr>
        <w:t>President of WAGP, the sole general partner of the Registrant</w:t>
      </w:r>
    </w:p>
    <w:p>
      <w:pPr>
        <w:spacing w:after="0" w:line="46"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jc w:val="both"/>
        <w:ind w:right="1420" w:firstLine="30"/>
        <w:spacing w:after="0" w:line="342" w:lineRule="auto"/>
        <w:rPr>
          <w:sz w:val="20"/>
          <w:szCs w:val="20"/>
          <w:color w:val="auto"/>
        </w:rPr>
      </w:pPr>
      <w:r>
        <w:rPr>
          <w:rFonts w:ascii="Arial" w:cs="Arial" w:eastAsia="Arial" w:hAnsi="Arial"/>
          <w:sz w:val="16"/>
          <w:szCs w:val="16"/>
          <w:color w:val="auto"/>
        </w:rPr>
        <w:t>Treasurer of WAGP, the sole general partner of the Registrant (Principal Financial Officer and Principal Accounting Officer)</w:t>
      </w: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6"/>
          <w:szCs w:val="16"/>
          <w:color w:val="auto"/>
        </w:rPr>
        <w:t>Director of WAGP, the sole general partner of the Registrant</w:t>
      </w:r>
    </w:p>
    <w:p>
      <w:pPr>
        <w:spacing w:after="0" w:line="371" w:lineRule="exact"/>
        <w:rPr>
          <w:sz w:val="20"/>
          <w:szCs w:val="20"/>
          <w:color w:val="auto"/>
        </w:rPr>
      </w:pPr>
    </w:p>
    <w:p>
      <w:pPr>
        <w:sectPr>
          <w:pgSz w:w="11900" w:h="16838" w:orient="portrait"/>
          <w:cols w:equalWidth="0" w:num="2">
            <w:col w:w="4780" w:space="720"/>
            <w:col w:w="5920"/>
          </w:cols>
          <w:pgMar w:left="240" w:top="125" w:right="2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0320" w:type="dxa"/>
            <w:vAlign w:val="bottom"/>
            <w:gridSpan w:val="2"/>
          </w:tcPr>
          <w:p>
            <w:pPr>
              <w:ind w:left="3340"/>
              <w:spacing w:after="0"/>
              <w:rPr>
                <w:sz w:val="20"/>
                <w:szCs w:val="20"/>
                <w:color w:val="auto"/>
              </w:rPr>
            </w:pPr>
            <w:r>
              <w:rPr>
                <w:rFonts w:ascii="Arial" w:cs="Arial" w:eastAsia="Arial" w:hAnsi="Arial"/>
                <w:sz w:val="18"/>
                <w:szCs w:val="18"/>
                <w:b w:val="1"/>
                <w:bCs w:val="1"/>
                <w:color w:val="auto"/>
              </w:rPr>
              <w:t>RECKSON OPERATING PARTNERSHIP, L.P.</w:t>
            </w:r>
          </w:p>
        </w:tc>
      </w:tr>
      <w:tr>
        <w:trPr>
          <w:trHeight w:val="234"/>
        </w:trPr>
        <w:tc>
          <w:tcPr>
            <w:tcW w:w="2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360" w:type="dxa"/>
            <w:vAlign w:val="bottom"/>
          </w:tcPr>
          <w:p>
            <w:pPr>
              <w:ind w:left="220"/>
              <w:spacing w:after="0"/>
              <w:rPr>
                <w:sz w:val="20"/>
                <w:szCs w:val="20"/>
                <w:color w:val="auto"/>
              </w:rPr>
            </w:pPr>
            <w:r>
              <w:rPr>
                <w:rFonts w:ascii="Arial" w:cs="Arial" w:eastAsia="Arial" w:hAnsi="Arial"/>
                <w:sz w:val="18"/>
                <w:szCs w:val="18"/>
                <w:b w:val="1"/>
                <w:bCs w:val="1"/>
                <w:color w:val="auto"/>
              </w:rPr>
              <w:t>LIST OF SUBSIDIARIES</w:t>
            </w:r>
          </w:p>
        </w:tc>
      </w:tr>
      <w:tr>
        <w:trPr>
          <w:trHeight w:val="54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6360" w:type="dxa"/>
            <w:vAlign w:val="bottom"/>
          </w:tcPr>
          <w:p>
            <w:pPr>
              <w:ind w:left="1500"/>
              <w:spacing w:after="0"/>
              <w:rPr>
                <w:sz w:val="20"/>
                <w:szCs w:val="20"/>
                <w:color w:val="auto"/>
              </w:rPr>
            </w:pPr>
            <w:r>
              <w:rPr>
                <w:rFonts w:ascii="Arial" w:cs="Arial" w:eastAsia="Arial" w:hAnsi="Arial"/>
                <w:sz w:val="14"/>
                <w:szCs w:val="14"/>
                <w:b w:val="1"/>
                <w:bCs w:val="1"/>
                <w:color w:val="auto"/>
              </w:rPr>
              <w:t>PROPERTY OWNER</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NEW YORK CITY</w:t>
            </w:r>
          </w:p>
        </w:tc>
        <w:tc>
          <w:tcPr>
            <w:tcW w:w="6360" w:type="dxa"/>
            <w:vAlign w:val="bottom"/>
          </w:tcPr>
          <w:p>
            <w:pPr>
              <w:ind w:left="1500"/>
              <w:spacing w:after="0"/>
              <w:rPr>
                <w:sz w:val="20"/>
                <w:szCs w:val="20"/>
                <w:color w:val="auto"/>
              </w:rPr>
            </w:pPr>
            <w:r>
              <w:rPr>
                <w:rFonts w:ascii="Arial" w:cs="Arial" w:eastAsia="Arial" w:hAnsi="Arial"/>
                <w:sz w:val="14"/>
                <w:szCs w:val="14"/>
                <w:b w:val="1"/>
                <w:bCs w:val="1"/>
                <w:color w:val="auto"/>
              </w:rPr>
              <w:t>(incorporated in Delaware unless otherwise indicated)</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110 Greene Street</w:t>
            </w:r>
          </w:p>
        </w:tc>
        <w:tc>
          <w:tcPr>
            <w:tcW w:w="6360" w:type="dxa"/>
            <w:vAlign w:val="bottom"/>
          </w:tcPr>
          <w:p>
            <w:pPr>
              <w:ind w:left="1500"/>
              <w:spacing w:after="0"/>
              <w:rPr>
                <w:sz w:val="20"/>
                <w:szCs w:val="20"/>
                <w:color w:val="auto"/>
              </w:rPr>
            </w:pPr>
            <w:r>
              <w:rPr>
                <w:rFonts w:ascii="Arial" w:cs="Arial" w:eastAsia="Arial" w:hAnsi="Arial"/>
                <w:sz w:val="14"/>
                <w:szCs w:val="14"/>
                <w:color w:val="auto"/>
              </w:rPr>
              <w:t>110 Greene Fee Owner LP</w:t>
            </w:r>
          </w:p>
        </w:tc>
      </w:tr>
      <w:tr>
        <w:trPr>
          <w:trHeight w:val="270"/>
        </w:trPr>
        <w:tc>
          <w:tcPr>
            <w:tcW w:w="2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110 Greene Member LLC</w:t>
            </w:r>
          </w:p>
        </w:tc>
      </w:tr>
      <w:tr>
        <w:trPr>
          <w:trHeight w:val="270"/>
        </w:trPr>
        <w:tc>
          <w:tcPr>
            <w:tcW w:w="2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110 Greene Member II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115 Spring Street</w:t>
            </w:r>
          </w:p>
        </w:tc>
        <w:tc>
          <w:tcPr>
            <w:tcW w:w="6360" w:type="dxa"/>
            <w:vAlign w:val="bottom"/>
          </w:tcPr>
          <w:p>
            <w:pPr>
              <w:ind w:left="1500"/>
              <w:spacing w:after="0"/>
              <w:rPr>
                <w:sz w:val="20"/>
                <w:szCs w:val="20"/>
                <w:color w:val="auto"/>
              </w:rPr>
            </w:pPr>
            <w:r>
              <w:rPr>
                <w:rFonts w:ascii="Arial" w:cs="Arial" w:eastAsia="Arial" w:hAnsi="Arial"/>
                <w:sz w:val="14"/>
                <w:szCs w:val="14"/>
                <w:color w:val="auto"/>
              </w:rPr>
              <w:t>115 Spring Mezz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125 Park Avenue</w:t>
            </w:r>
          </w:p>
        </w:tc>
        <w:tc>
          <w:tcPr>
            <w:tcW w:w="6360" w:type="dxa"/>
            <w:vAlign w:val="bottom"/>
          </w:tcPr>
          <w:p>
            <w:pPr>
              <w:ind w:left="1500"/>
              <w:spacing w:after="0"/>
              <w:rPr>
                <w:sz w:val="20"/>
                <w:szCs w:val="20"/>
                <w:color w:val="auto"/>
              </w:rPr>
            </w:pPr>
            <w:r>
              <w:rPr>
                <w:rFonts w:ascii="Arial" w:cs="Arial" w:eastAsia="Arial" w:hAnsi="Arial"/>
                <w:sz w:val="14"/>
                <w:szCs w:val="14"/>
                <w:color w:val="auto"/>
              </w:rPr>
              <w:t>125 Park Owner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131-137 Spring Street</w:t>
            </w:r>
          </w:p>
        </w:tc>
        <w:tc>
          <w:tcPr>
            <w:tcW w:w="6360" w:type="dxa"/>
            <w:vAlign w:val="bottom"/>
          </w:tcPr>
          <w:p>
            <w:pPr>
              <w:ind w:left="1500"/>
              <w:spacing w:after="0"/>
              <w:rPr>
                <w:sz w:val="20"/>
                <w:szCs w:val="20"/>
                <w:color w:val="auto"/>
              </w:rPr>
            </w:pPr>
            <w:r>
              <w:rPr>
                <w:rFonts w:ascii="Arial" w:cs="Arial" w:eastAsia="Arial" w:hAnsi="Arial"/>
                <w:sz w:val="14"/>
                <w:szCs w:val="14"/>
                <w:color w:val="auto"/>
              </w:rPr>
              <w:t>131 Spring Owner LLC</w:t>
            </w:r>
          </w:p>
        </w:tc>
      </w:tr>
      <w:tr>
        <w:trPr>
          <w:trHeight w:val="270"/>
        </w:trPr>
        <w:tc>
          <w:tcPr>
            <w:tcW w:w="2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131 Spring Fee Owner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304 Park Avenue</w:t>
            </w:r>
          </w:p>
        </w:tc>
        <w:tc>
          <w:tcPr>
            <w:tcW w:w="6360" w:type="dxa"/>
            <w:vAlign w:val="bottom"/>
          </w:tcPr>
          <w:p>
            <w:pPr>
              <w:ind w:left="1500"/>
              <w:spacing w:after="0"/>
              <w:rPr>
                <w:sz w:val="20"/>
                <w:szCs w:val="20"/>
                <w:color w:val="auto"/>
              </w:rPr>
            </w:pPr>
            <w:r>
              <w:rPr>
                <w:rFonts w:ascii="Arial" w:cs="Arial" w:eastAsia="Arial" w:hAnsi="Arial"/>
                <w:sz w:val="14"/>
                <w:szCs w:val="14"/>
                <w:color w:val="auto"/>
              </w:rPr>
              <w:t>304 PAS Owner LLC</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315</w:t>
            </w:r>
          </w:p>
        </w:tc>
        <w:tc>
          <w:tcPr>
            <w:tcW w:w="3960" w:type="dxa"/>
            <w:vAlign w:val="bottom"/>
          </w:tcPr>
          <w:p>
            <w:pPr>
              <w:ind w:left="20"/>
              <w:spacing w:after="0"/>
              <w:rPr>
                <w:sz w:val="20"/>
                <w:szCs w:val="20"/>
                <w:color w:val="auto"/>
              </w:rPr>
            </w:pPr>
            <w:r>
              <w:rPr>
                <w:rFonts w:ascii="Arial" w:cs="Arial" w:eastAsia="Arial" w:hAnsi="Arial"/>
                <w:sz w:val="14"/>
                <w:szCs w:val="14"/>
                <w:color w:val="auto"/>
              </w:rPr>
              <w:t>West 33th Street</w:t>
            </w:r>
          </w:p>
        </w:tc>
        <w:tc>
          <w:tcPr>
            <w:tcW w:w="6360" w:type="dxa"/>
            <w:vAlign w:val="bottom"/>
          </w:tcPr>
          <w:p>
            <w:pPr>
              <w:ind w:left="1500"/>
              <w:spacing w:after="0"/>
              <w:rPr>
                <w:sz w:val="20"/>
                <w:szCs w:val="20"/>
                <w:color w:val="auto"/>
              </w:rPr>
            </w:pPr>
            <w:r>
              <w:rPr>
                <w:rFonts w:ascii="Arial" w:cs="Arial" w:eastAsia="Arial" w:hAnsi="Arial"/>
                <w:sz w:val="14"/>
                <w:szCs w:val="14"/>
                <w:color w:val="auto"/>
              </w:rPr>
              <w:t>33/34 West Owner LLC</w:t>
            </w:r>
          </w:p>
        </w:tc>
      </w:tr>
      <w:tr>
        <w:trPr>
          <w:trHeight w:val="270"/>
        </w:trPr>
        <w:tc>
          <w:tcPr>
            <w:tcW w:w="2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SP West 33-34 Hotel parcel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625 Madison Avenue</w:t>
            </w:r>
          </w:p>
        </w:tc>
        <w:tc>
          <w:tcPr>
            <w:tcW w:w="6360" w:type="dxa"/>
            <w:vAlign w:val="bottom"/>
          </w:tcPr>
          <w:p>
            <w:pPr>
              <w:ind w:left="1500"/>
              <w:spacing w:after="0"/>
              <w:rPr>
                <w:sz w:val="20"/>
                <w:szCs w:val="20"/>
                <w:color w:val="auto"/>
              </w:rPr>
            </w:pPr>
            <w:r>
              <w:rPr>
                <w:rFonts w:ascii="Arial" w:cs="Arial" w:eastAsia="Arial" w:hAnsi="Arial"/>
                <w:sz w:val="14"/>
                <w:szCs w:val="14"/>
                <w:color w:val="auto"/>
              </w:rPr>
              <w:t>SLG 625 Lessee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635 Sixth Avenue</w:t>
            </w:r>
          </w:p>
        </w:tc>
        <w:tc>
          <w:tcPr>
            <w:tcW w:w="6360" w:type="dxa"/>
            <w:vAlign w:val="bottom"/>
          </w:tcPr>
          <w:p>
            <w:pPr>
              <w:ind w:left="1500"/>
              <w:spacing w:after="0"/>
              <w:rPr>
                <w:sz w:val="20"/>
                <w:szCs w:val="20"/>
                <w:color w:val="auto"/>
              </w:rPr>
            </w:pPr>
            <w:r>
              <w:rPr>
                <w:rFonts w:ascii="Arial" w:cs="Arial" w:eastAsia="Arial" w:hAnsi="Arial"/>
                <w:sz w:val="14"/>
                <w:szCs w:val="14"/>
                <w:color w:val="auto"/>
              </w:rPr>
              <w:t>635 Owner LLC</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641</w:t>
            </w:r>
          </w:p>
        </w:tc>
        <w:tc>
          <w:tcPr>
            <w:tcW w:w="3960" w:type="dxa"/>
            <w:vAlign w:val="bottom"/>
          </w:tcPr>
          <w:p>
            <w:pPr>
              <w:ind w:left="20"/>
              <w:spacing w:after="0"/>
              <w:rPr>
                <w:sz w:val="20"/>
                <w:szCs w:val="20"/>
                <w:color w:val="auto"/>
              </w:rPr>
            </w:pPr>
            <w:r>
              <w:rPr>
                <w:rFonts w:ascii="Arial" w:cs="Arial" w:eastAsia="Arial" w:hAnsi="Arial"/>
                <w:sz w:val="14"/>
                <w:szCs w:val="14"/>
                <w:color w:val="auto"/>
              </w:rPr>
              <w:t>Sixth Avenue</w:t>
            </w:r>
          </w:p>
        </w:tc>
        <w:tc>
          <w:tcPr>
            <w:tcW w:w="6360" w:type="dxa"/>
            <w:vAlign w:val="bottom"/>
          </w:tcPr>
          <w:p>
            <w:pPr>
              <w:ind w:left="1500"/>
              <w:spacing w:after="0"/>
              <w:rPr>
                <w:sz w:val="20"/>
                <w:szCs w:val="20"/>
                <w:color w:val="auto"/>
              </w:rPr>
            </w:pPr>
            <w:r>
              <w:rPr>
                <w:rFonts w:ascii="Arial" w:cs="Arial" w:eastAsia="Arial" w:hAnsi="Arial"/>
                <w:sz w:val="14"/>
                <w:szCs w:val="14"/>
                <w:color w:val="auto"/>
              </w:rPr>
              <w:t>641 Sixth Fee Owner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110 E 42</w:t>
            </w:r>
            <w:r>
              <w:rPr>
                <w:rFonts w:ascii="Arial" w:cs="Arial" w:eastAsia="Arial" w:hAnsi="Arial"/>
                <w:sz w:val="8"/>
                <w:szCs w:val="8"/>
                <w:color w:val="auto"/>
              </w:rPr>
              <w:t>nd</w:t>
            </w:r>
            <w:r>
              <w:rPr>
                <w:rFonts w:ascii="Arial" w:cs="Arial" w:eastAsia="Arial" w:hAnsi="Arial"/>
                <w:sz w:val="14"/>
                <w:szCs w:val="14"/>
                <w:color w:val="auto"/>
              </w:rPr>
              <w:t xml:space="preserve"> Street</w:t>
            </w:r>
          </w:p>
        </w:tc>
        <w:tc>
          <w:tcPr>
            <w:tcW w:w="6360" w:type="dxa"/>
            <w:vAlign w:val="bottom"/>
          </w:tcPr>
          <w:p>
            <w:pPr>
              <w:ind w:left="1500"/>
              <w:spacing w:after="0"/>
              <w:rPr>
                <w:sz w:val="20"/>
                <w:szCs w:val="20"/>
                <w:color w:val="auto"/>
              </w:rPr>
            </w:pPr>
            <w:r>
              <w:rPr>
                <w:rFonts w:ascii="Arial" w:cs="Arial" w:eastAsia="Arial" w:hAnsi="Arial"/>
                <w:sz w:val="14"/>
                <w:szCs w:val="14"/>
                <w:color w:val="auto"/>
              </w:rPr>
              <w:t>Gotham 42</w:t>
            </w:r>
            <w:r>
              <w:rPr>
                <w:rFonts w:ascii="Arial" w:cs="Arial" w:eastAsia="Arial" w:hAnsi="Arial"/>
                <w:sz w:val="8"/>
                <w:szCs w:val="8"/>
                <w:color w:val="auto"/>
              </w:rPr>
              <w:t>nd</w:t>
            </w:r>
            <w:r>
              <w:rPr>
                <w:rFonts w:ascii="Arial" w:cs="Arial" w:eastAsia="Arial" w:hAnsi="Arial"/>
                <w:sz w:val="14"/>
                <w:szCs w:val="14"/>
                <w:color w:val="auto"/>
              </w:rPr>
              <w:t xml:space="preserve"> Street LLC</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609</w:t>
            </w:r>
          </w:p>
        </w:tc>
        <w:tc>
          <w:tcPr>
            <w:tcW w:w="3960" w:type="dxa"/>
            <w:vAlign w:val="bottom"/>
          </w:tcPr>
          <w:p>
            <w:pPr>
              <w:ind w:left="20"/>
              <w:spacing w:after="0"/>
              <w:rPr>
                <w:sz w:val="20"/>
                <w:szCs w:val="20"/>
                <w:color w:val="auto"/>
              </w:rPr>
            </w:pPr>
            <w:r>
              <w:rPr>
                <w:rFonts w:ascii="Arial" w:cs="Arial" w:eastAsia="Arial" w:hAnsi="Arial"/>
                <w:sz w:val="14"/>
                <w:szCs w:val="14"/>
                <w:color w:val="auto"/>
              </w:rPr>
              <w:t>Fifth Avenue</w:t>
            </w:r>
          </w:p>
        </w:tc>
        <w:tc>
          <w:tcPr>
            <w:tcW w:w="6360" w:type="dxa"/>
            <w:vAlign w:val="bottom"/>
          </w:tcPr>
          <w:p>
            <w:pPr>
              <w:ind w:left="1500"/>
              <w:spacing w:after="0"/>
              <w:rPr>
                <w:sz w:val="20"/>
                <w:szCs w:val="20"/>
                <w:color w:val="auto"/>
              </w:rPr>
            </w:pPr>
            <w:r>
              <w:rPr>
                <w:rFonts w:ascii="Arial" w:cs="Arial" w:eastAsia="Arial" w:hAnsi="Arial"/>
                <w:sz w:val="14"/>
                <w:szCs w:val="14"/>
                <w:color w:val="auto"/>
              </w:rPr>
              <w:t>609 Owners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1350 Avenue of the Americas, New York, New York</w:t>
            </w:r>
          </w:p>
        </w:tc>
        <w:tc>
          <w:tcPr>
            <w:tcW w:w="6360" w:type="dxa"/>
            <w:vAlign w:val="bottom"/>
          </w:tcPr>
          <w:p>
            <w:pPr>
              <w:ind w:left="1500"/>
              <w:spacing w:after="0"/>
              <w:rPr>
                <w:sz w:val="20"/>
                <w:szCs w:val="20"/>
                <w:color w:val="auto"/>
              </w:rPr>
            </w:pPr>
            <w:r>
              <w:rPr>
                <w:rFonts w:ascii="Arial" w:cs="Arial" w:eastAsia="Arial" w:hAnsi="Arial"/>
                <w:sz w:val="14"/>
                <w:szCs w:val="14"/>
                <w:color w:val="auto"/>
              </w:rPr>
              <w:t>1350 LLC (owned directly by ROP)</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711 Third Avenue</w:t>
            </w:r>
          </w:p>
        </w:tc>
        <w:tc>
          <w:tcPr>
            <w:tcW w:w="6360" w:type="dxa"/>
            <w:vAlign w:val="bottom"/>
          </w:tcPr>
          <w:p>
            <w:pPr>
              <w:ind w:left="1500"/>
              <w:spacing w:after="0"/>
              <w:rPr>
                <w:sz w:val="20"/>
                <w:szCs w:val="20"/>
                <w:color w:val="auto"/>
              </w:rPr>
            </w:pPr>
            <w:r>
              <w:rPr>
                <w:rFonts w:ascii="Arial" w:cs="Arial" w:eastAsia="Arial" w:hAnsi="Arial"/>
                <w:sz w:val="14"/>
                <w:szCs w:val="14"/>
                <w:color w:val="auto"/>
              </w:rPr>
              <w:t>SLG 711 Fee LLC</w:t>
            </w:r>
          </w:p>
        </w:tc>
      </w:tr>
      <w:tr>
        <w:trPr>
          <w:trHeight w:val="270"/>
        </w:trPr>
        <w:tc>
          <w:tcPr>
            <w:tcW w:w="2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SLG 711 Third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750 Third Avenue, New York, New York</w:t>
            </w:r>
          </w:p>
        </w:tc>
        <w:tc>
          <w:tcPr>
            <w:tcW w:w="6360" w:type="dxa"/>
            <w:vAlign w:val="bottom"/>
          </w:tcPr>
          <w:p>
            <w:pPr>
              <w:ind w:left="1500"/>
              <w:spacing w:after="0"/>
              <w:rPr>
                <w:sz w:val="20"/>
                <w:szCs w:val="20"/>
                <w:color w:val="auto"/>
              </w:rPr>
            </w:pPr>
            <w:r>
              <w:rPr>
                <w:rFonts w:ascii="Arial" w:cs="Arial" w:eastAsia="Arial" w:hAnsi="Arial"/>
                <w:sz w:val="14"/>
                <w:szCs w:val="14"/>
                <w:color w:val="auto"/>
              </w:rPr>
              <w:t>750 Third Owner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752 Madison Avenue</w:t>
            </w:r>
          </w:p>
        </w:tc>
        <w:tc>
          <w:tcPr>
            <w:tcW w:w="6360" w:type="dxa"/>
            <w:vAlign w:val="bottom"/>
          </w:tcPr>
          <w:p>
            <w:pPr>
              <w:ind w:left="1500"/>
              <w:spacing w:after="0"/>
              <w:rPr>
                <w:sz w:val="20"/>
                <w:szCs w:val="20"/>
                <w:color w:val="auto"/>
              </w:rPr>
            </w:pPr>
            <w:r>
              <w:rPr>
                <w:rFonts w:ascii="Arial" w:cs="Arial" w:eastAsia="Arial" w:hAnsi="Arial"/>
                <w:sz w:val="14"/>
                <w:szCs w:val="14"/>
                <w:color w:val="auto"/>
              </w:rPr>
              <w:t>752 Madison Member LLC</w:t>
            </w:r>
          </w:p>
        </w:tc>
      </w:tr>
      <w:tr>
        <w:trPr>
          <w:trHeight w:val="270"/>
        </w:trPr>
        <w:tc>
          <w:tcPr>
            <w:tcW w:w="2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752 Madison TRS LLC</w:t>
            </w:r>
          </w:p>
        </w:tc>
      </w:tr>
      <w:tr>
        <w:trPr>
          <w:trHeight w:val="270"/>
        </w:trPr>
        <w:tc>
          <w:tcPr>
            <w:tcW w:w="2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752 Madison Mezz LLC</w:t>
            </w:r>
          </w:p>
        </w:tc>
      </w:tr>
      <w:tr>
        <w:trPr>
          <w:trHeight w:val="270"/>
        </w:trPr>
        <w:tc>
          <w:tcPr>
            <w:tcW w:w="2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752 Madison Principal 3 LLC</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461</w:t>
            </w:r>
          </w:p>
        </w:tc>
        <w:tc>
          <w:tcPr>
            <w:tcW w:w="3960" w:type="dxa"/>
            <w:vAlign w:val="bottom"/>
          </w:tcPr>
          <w:p>
            <w:pPr>
              <w:ind w:left="20"/>
              <w:spacing w:after="0"/>
              <w:rPr>
                <w:sz w:val="20"/>
                <w:szCs w:val="20"/>
                <w:color w:val="auto"/>
              </w:rPr>
            </w:pPr>
            <w:r>
              <w:rPr>
                <w:rFonts w:ascii="Arial" w:cs="Arial" w:eastAsia="Arial" w:hAnsi="Arial"/>
                <w:sz w:val="14"/>
                <w:szCs w:val="14"/>
                <w:color w:val="auto"/>
              </w:rPr>
              <w:t>Fifth Avenue, New York, New York</w:t>
            </w:r>
          </w:p>
        </w:tc>
        <w:tc>
          <w:tcPr>
            <w:tcW w:w="6360" w:type="dxa"/>
            <w:vAlign w:val="bottom"/>
          </w:tcPr>
          <w:p>
            <w:pPr>
              <w:ind w:left="1500"/>
              <w:spacing w:after="0"/>
              <w:rPr>
                <w:sz w:val="20"/>
                <w:szCs w:val="20"/>
                <w:color w:val="auto"/>
              </w:rPr>
            </w:pPr>
            <w:r>
              <w:rPr>
                <w:rFonts w:ascii="Arial" w:cs="Arial" w:eastAsia="Arial" w:hAnsi="Arial"/>
                <w:sz w:val="14"/>
                <w:szCs w:val="14"/>
                <w:color w:val="auto"/>
              </w:rPr>
              <w:t>Green 461 Fifth Lessee LLC (Delaware, New York)</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555</w:t>
            </w:r>
          </w:p>
        </w:tc>
        <w:tc>
          <w:tcPr>
            <w:tcW w:w="3960" w:type="dxa"/>
            <w:vAlign w:val="bottom"/>
          </w:tcPr>
          <w:p>
            <w:pPr>
              <w:ind w:left="20"/>
              <w:spacing w:after="0"/>
              <w:rPr>
                <w:sz w:val="20"/>
                <w:szCs w:val="20"/>
                <w:color w:val="auto"/>
              </w:rPr>
            </w:pPr>
            <w:r>
              <w:rPr>
                <w:rFonts w:ascii="Arial" w:cs="Arial" w:eastAsia="Arial" w:hAnsi="Arial"/>
                <w:sz w:val="14"/>
                <w:szCs w:val="14"/>
                <w:color w:val="auto"/>
              </w:rPr>
              <w:t>West 57</w:t>
            </w:r>
            <w:r>
              <w:rPr>
                <w:rFonts w:ascii="Arial" w:cs="Arial" w:eastAsia="Arial" w:hAnsi="Arial"/>
                <w:sz w:val="8"/>
                <w:szCs w:val="8"/>
                <w:color w:val="auto"/>
              </w:rPr>
              <w:t>th</w:t>
            </w:r>
            <w:r>
              <w:rPr>
                <w:rFonts w:ascii="Arial" w:cs="Arial" w:eastAsia="Arial" w:hAnsi="Arial"/>
                <w:sz w:val="14"/>
                <w:szCs w:val="14"/>
                <w:color w:val="auto"/>
              </w:rPr>
              <w:t xml:space="preserve"> Street, New York, New York</w:t>
            </w:r>
          </w:p>
        </w:tc>
        <w:tc>
          <w:tcPr>
            <w:tcW w:w="6360" w:type="dxa"/>
            <w:vAlign w:val="bottom"/>
          </w:tcPr>
          <w:p>
            <w:pPr>
              <w:ind w:left="1500"/>
              <w:spacing w:after="0"/>
              <w:rPr>
                <w:sz w:val="20"/>
                <w:szCs w:val="20"/>
                <w:color w:val="auto"/>
              </w:rPr>
            </w:pPr>
            <w:r>
              <w:rPr>
                <w:rFonts w:ascii="Arial" w:cs="Arial" w:eastAsia="Arial" w:hAnsi="Arial"/>
                <w:sz w:val="14"/>
                <w:szCs w:val="14"/>
                <w:color w:val="auto"/>
              </w:rPr>
              <w:t>Green W. 57</w:t>
            </w:r>
            <w:r>
              <w:rPr>
                <w:rFonts w:ascii="Arial" w:cs="Arial" w:eastAsia="Arial" w:hAnsi="Arial"/>
                <w:sz w:val="8"/>
                <w:szCs w:val="8"/>
                <w:color w:val="auto"/>
              </w:rPr>
              <w:t>th</w:t>
            </w:r>
            <w:r>
              <w:rPr>
                <w:rFonts w:ascii="Arial" w:cs="Arial" w:eastAsia="Arial" w:hAnsi="Arial"/>
                <w:sz w:val="14"/>
                <w:szCs w:val="14"/>
                <w:color w:val="auto"/>
              </w:rPr>
              <w:t xml:space="preserve"> St. LLC (New York)</w:t>
            </w:r>
          </w:p>
        </w:tc>
      </w:tr>
      <w:tr>
        <w:trPr>
          <w:trHeight w:val="169"/>
        </w:trPr>
        <w:tc>
          <w:tcPr>
            <w:tcW w:w="4200" w:type="dxa"/>
            <w:vAlign w:val="bottom"/>
            <w:gridSpan w:val="2"/>
          </w:tcPr>
          <w:p>
            <w:pPr>
              <w:spacing w:after="0"/>
              <w:rPr>
                <w:sz w:val="20"/>
                <w:szCs w:val="20"/>
                <w:color w:val="auto"/>
              </w:rPr>
            </w:pPr>
            <w:r>
              <w:rPr>
                <w:rFonts w:ascii="Arial" w:cs="Arial" w:eastAsia="Arial" w:hAnsi="Arial"/>
                <w:sz w:val="14"/>
                <w:szCs w:val="14"/>
                <w:color w:val="auto"/>
                <w:w w:val="98"/>
              </w:rPr>
              <w:t>1185 Avenue of the Americas, New York, New York (Ground Lease)</w:t>
            </w:r>
          </w:p>
        </w:tc>
        <w:tc>
          <w:tcPr>
            <w:tcW w:w="6360" w:type="dxa"/>
            <w:vAlign w:val="bottom"/>
          </w:tcPr>
          <w:p>
            <w:pPr>
              <w:ind w:left="1500"/>
              <w:spacing w:after="0" w:line="161" w:lineRule="exact"/>
              <w:rPr>
                <w:sz w:val="20"/>
                <w:szCs w:val="20"/>
                <w:color w:val="auto"/>
              </w:rPr>
            </w:pPr>
            <w:r>
              <w:rPr>
                <w:rFonts w:ascii="Arial" w:cs="Arial" w:eastAsia="Arial" w:hAnsi="Arial"/>
                <w:sz w:val="14"/>
                <w:szCs w:val="14"/>
                <w:color w:val="auto"/>
                <w:w w:val="96"/>
              </w:rPr>
              <w:t>SLG 1185 Sixth A LLC (SLG 1185 Sixth A LLC is now indirectly wholly</w:t>
            </w:r>
            <w:r>
              <w:rPr>
                <w:rFonts w:ascii="MS PGothic" w:cs="MS PGothic" w:eastAsia="MS PGothic" w:hAnsi="MS PGothic"/>
                <w:sz w:val="14"/>
                <w:szCs w:val="14"/>
                <w:color w:val="auto"/>
                <w:w w:val="96"/>
              </w:rPr>
              <w:t>‑</w:t>
            </w:r>
            <w:r>
              <w:rPr>
                <w:rFonts w:ascii="Arial" w:cs="Arial" w:eastAsia="Arial" w:hAnsi="Arial"/>
                <w:sz w:val="14"/>
                <w:szCs w:val="14"/>
                <w:color w:val="auto"/>
                <w:w w:val="96"/>
              </w:rPr>
              <w:t>owned by</w:t>
            </w:r>
          </w:p>
        </w:tc>
      </w:tr>
      <w:tr>
        <w:trPr>
          <w:trHeight w:val="182"/>
        </w:trPr>
        <w:tc>
          <w:tcPr>
            <w:tcW w:w="2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6360" w:type="dxa"/>
            <w:vAlign w:val="bottom"/>
          </w:tcPr>
          <w:p>
            <w:pPr>
              <w:ind w:left="1500"/>
              <w:spacing w:after="0"/>
              <w:rPr>
                <w:sz w:val="20"/>
                <w:szCs w:val="20"/>
                <w:color w:val="auto"/>
              </w:rPr>
            </w:pPr>
            <w:r>
              <w:rPr>
                <w:rFonts w:ascii="Arial" w:cs="Arial" w:eastAsia="Arial" w:hAnsi="Arial"/>
                <w:sz w:val="14"/>
                <w:szCs w:val="14"/>
                <w:color w:val="auto"/>
              </w:rPr>
              <w:t>ROP)</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810</w:t>
            </w:r>
          </w:p>
        </w:tc>
        <w:tc>
          <w:tcPr>
            <w:tcW w:w="3960" w:type="dxa"/>
            <w:vAlign w:val="bottom"/>
          </w:tcPr>
          <w:p>
            <w:pPr>
              <w:ind w:left="20"/>
              <w:spacing w:after="0"/>
              <w:rPr>
                <w:sz w:val="20"/>
                <w:szCs w:val="20"/>
                <w:color w:val="auto"/>
              </w:rPr>
            </w:pPr>
            <w:r>
              <w:rPr>
                <w:rFonts w:ascii="Arial" w:cs="Arial" w:eastAsia="Arial" w:hAnsi="Arial"/>
                <w:sz w:val="14"/>
                <w:szCs w:val="14"/>
                <w:color w:val="auto"/>
              </w:rPr>
              <w:t>Seventh Avenue, New York, New York (Air Rights Lease)</w:t>
            </w:r>
          </w:p>
        </w:tc>
        <w:tc>
          <w:tcPr>
            <w:tcW w:w="6360" w:type="dxa"/>
            <w:vAlign w:val="bottom"/>
          </w:tcPr>
          <w:p>
            <w:pPr>
              <w:ind w:left="1500"/>
              <w:spacing w:after="0"/>
              <w:rPr>
                <w:sz w:val="20"/>
                <w:szCs w:val="20"/>
                <w:color w:val="auto"/>
              </w:rPr>
            </w:pPr>
            <w:r>
              <w:rPr>
                <w:rFonts w:ascii="Arial" w:cs="Arial" w:eastAsia="Arial" w:hAnsi="Arial"/>
                <w:sz w:val="14"/>
                <w:szCs w:val="14"/>
                <w:color w:val="auto"/>
              </w:rPr>
              <w:t>SLG 810 Seventh Lease LLC</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Williamsburg Terrace, Brooklyn New York</w:t>
            </w:r>
          </w:p>
        </w:tc>
        <w:tc>
          <w:tcPr>
            <w:tcW w:w="6360" w:type="dxa"/>
            <w:vAlign w:val="bottom"/>
          </w:tcPr>
          <w:p>
            <w:pPr>
              <w:ind w:left="1500"/>
              <w:spacing w:after="0"/>
              <w:rPr>
                <w:sz w:val="20"/>
                <w:szCs w:val="20"/>
                <w:color w:val="auto"/>
              </w:rPr>
            </w:pPr>
            <w:r>
              <w:rPr>
                <w:rFonts w:ascii="Arial" w:cs="Arial" w:eastAsia="Arial" w:hAnsi="Arial"/>
                <w:sz w:val="14"/>
                <w:szCs w:val="14"/>
                <w:color w:val="auto"/>
              </w:rPr>
              <w:t>North 3rd Acquisition LLC</w:t>
            </w:r>
          </w:p>
        </w:tc>
      </w:tr>
      <w:tr>
        <w:trPr>
          <w:trHeight w:val="270"/>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WESTCHESTER</w:t>
            </w:r>
          </w:p>
        </w:tc>
        <w:tc>
          <w:tcPr>
            <w:tcW w:w="6360" w:type="dxa"/>
            <w:vAlign w:val="bottom"/>
          </w:tcPr>
          <w:p>
            <w:pPr>
              <w:spacing w:after="0"/>
              <w:rPr>
                <w:sz w:val="23"/>
                <w:szCs w:val="23"/>
                <w:color w:val="auto"/>
              </w:rPr>
            </w:pP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100</w:t>
            </w:r>
          </w:p>
        </w:tc>
        <w:tc>
          <w:tcPr>
            <w:tcW w:w="3960" w:type="dxa"/>
            <w:vAlign w:val="bottom"/>
          </w:tcPr>
          <w:p>
            <w:pPr>
              <w:ind w:left="20"/>
              <w:spacing w:after="0"/>
              <w:rPr>
                <w:sz w:val="20"/>
                <w:szCs w:val="20"/>
                <w:color w:val="auto"/>
              </w:rPr>
            </w:pPr>
            <w:r>
              <w:rPr>
                <w:rFonts w:ascii="Arial" w:cs="Arial" w:eastAsia="Arial" w:hAnsi="Arial"/>
                <w:sz w:val="14"/>
                <w:szCs w:val="14"/>
                <w:color w:val="auto"/>
              </w:rPr>
              <w:t>Summit Lake Drive, Valhalla, New York</w:t>
            </w:r>
          </w:p>
        </w:tc>
        <w:tc>
          <w:tcPr>
            <w:tcW w:w="6360" w:type="dxa"/>
            <w:vAlign w:val="bottom"/>
          </w:tcPr>
          <w:p>
            <w:pPr>
              <w:ind w:left="1500"/>
              <w:spacing w:after="0"/>
              <w:rPr>
                <w:sz w:val="20"/>
                <w:szCs w:val="20"/>
                <w:color w:val="auto"/>
              </w:rPr>
            </w:pPr>
            <w:r>
              <w:rPr>
                <w:rFonts w:ascii="Arial" w:cs="Arial" w:eastAsia="Arial" w:hAnsi="Arial"/>
                <w:sz w:val="14"/>
                <w:szCs w:val="14"/>
                <w:color w:val="auto"/>
              </w:rPr>
              <w:t>ROP</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200</w:t>
            </w:r>
          </w:p>
        </w:tc>
        <w:tc>
          <w:tcPr>
            <w:tcW w:w="3960" w:type="dxa"/>
            <w:vAlign w:val="bottom"/>
          </w:tcPr>
          <w:p>
            <w:pPr>
              <w:ind w:left="20"/>
              <w:spacing w:after="0"/>
              <w:rPr>
                <w:sz w:val="20"/>
                <w:szCs w:val="20"/>
                <w:color w:val="auto"/>
              </w:rPr>
            </w:pPr>
            <w:r>
              <w:rPr>
                <w:rFonts w:ascii="Arial" w:cs="Arial" w:eastAsia="Arial" w:hAnsi="Arial"/>
                <w:sz w:val="14"/>
                <w:szCs w:val="14"/>
                <w:color w:val="auto"/>
              </w:rPr>
              <w:t>Summit Lake Drive, Valhalla, New York</w:t>
            </w:r>
          </w:p>
        </w:tc>
        <w:tc>
          <w:tcPr>
            <w:tcW w:w="6360" w:type="dxa"/>
            <w:vAlign w:val="bottom"/>
          </w:tcPr>
          <w:p>
            <w:pPr>
              <w:ind w:left="1500"/>
              <w:spacing w:after="0"/>
              <w:rPr>
                <w:sz w:val="20"/>
                <w:szCs w:val="20"/>
                <w:color w:val="auto"/>
              </w:rPr>
            </w:pPr>
            <w:r>
              <w:rPr>
                <w:rFonts w:ascii="Arial" w:cs="Arial" w:eastAsia="Arial" w:hAnsi="Arial"/>
                <w:sz w:val="14"/>
                <w:szCs w:val="14"/>
                <w:color w:val="auto"/>
              </w:rPr>
              <w:t>ROP</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500</w:t>
            </w:r>
          </w:p>
        </w:tc>
        <w:tc>
          <w:tcPr>
            <w:tcW w:w="3960" w:type="dxa"/>
            <w:vAlign w:val="bottom"/>
          </w:tcPr>
          <w:p>
            <w:pPr>
              <w:ind w:left="20"/>
              <w:spacing w:after="0"/>
              <w:rPr>
                <w:sz w:val="20"/>
                <w:szCs w:val="20"/>
                <w:color w:val="auto"/>
              </w:rPr>
            </w:pPr>
            <w:r>
              <w:rPr>
                <w:rFonts w:ascii="Arial" w:cs="Arial" w:eastAsia="Arial" w:hAnsi="Arial"/>
                <w:sz w:val="14"/>
                <w:szCs w:val="14"/>
                <w:color w:val="auto"/>
              </w:rPr>
              <w:t>Summit Lake Drive, Valhalla, New York</w:t>
            </w:r>
          </w:p>
        </w:tc>
        <w:tc>
          <w:tcPr>
            <w:tcW w:w="6360" w:type="dxa"/>
            <w:vAlign w:val="bottom"/>
          </w:tcPr>
          <w:p>
            <w:pPr>
              <w:ind w:left="1500"/>
              <w:spacing w:after="0"/>
              <w:rPr>
                <w:sz w:val="20"/>
                <w:szCs w:val="20"/>
                <w:color w:val="auto"/>
              </w:rPr>
            </w:pPr>
            <w:r>
              <w:rPr>
                <w:rFonts w:ascii="Arial" w:cs="Arial" w:eastAsia="Arial" w:hAnsi="Arial"/>
                <w:sz w:val="14"/>
                <w:szCs w:val="14"/>
                <w:color w:val="auto"/>
              </w:rPr>
              <w:t>ROP</w:t>
            </w:r>
          </w:p>
        </w:tc>
      </w:tr>
      <w:tr>
        <w:trPr>
          <w:trHeight w:val="203"/>
        </w:trPr>
        <w:tc>
          <w:tcPr>
            <w:tcW w:w="240" w:type="dxa"/>
            <w:vAlign w:val="bottom"/>
          </w:tcPr>
          <w:p>
            <w:pPr>
              <w:spacing w:after="0"/>
              <w:rPr>
                <w:sz w:val="20"/>
                <w:szCs w:val="20"/>
                <w:color w:val="auto"/>
              </w:rPr>
            </w:pPr>
            <w:r>
              <w:rPr>
                <w:rFonts w:ascii="Arial" w:cs="Arial" w:eastAsia="Arial" w:hAnsi="Arial"/>
                <w:sz w:val="14"/>
                <w:szCs w:val="14"/>
                <w:color w:val="auto"/>
                <w:w w:val="94"/>
              </w:rPr>
              <w:t>360</w:t>
            </w:r>
          </w:p>
        </w:tc>
        <w:tc>
          <w:tcPr>
            <w:tcW w:w="3960" w:type="dxa"/>
            <w:vAlign w:val="bottom"/>
          </w:tcPr>
          <w:p>
            <w:pPr>
              <w:ind w:left="20"/>
              <w:spacing w:after="0"/>
              <w:rPr>
                <w:sz w:val="20"/>
                <w:szCs w:val="20"/>
                <w:color w:val="auto"/>
              </w:rPr>
            </w:pPr>
            <w:r>
              <w:rPr>
                <w:rFonts w:ascii="Arial" w:cs="Arial" w:eastAsia="Arial" w:hAnsi="Arial"/>
                <w:sz w:val="14"/>
                <w:szCs w:val="14"/>
                <w:color w:val="auto"/>
              </w:rPr>
              <w:t>Hamilton Avenue, White Plains, New York</w:t>
            </w:r>
          </w:p>
        </w:tc>
        <w:tc>
          <w:tcPr>
            <w:tcW w:w="6360" w:type="dxa"/>
            <w:vAlign w:val="bottom"/>
          </w:tcPr>
          <w:p>
            <w:pPr>
              <w:ind w:left="1500"/>
              <w:spacing w:after="0" w:line="161" w:lineRule="exact"/>
              <w:rPr>
                <w:sz w:val="20"/>
                <w:szCs w:val="20"/>
                <w:color w:val="auto"/>
              </w:rPr>
            </w:pPr>
            <w:r>
              <w:rPr>
                <w:rFonts w:ascii="Arial" w:cs="Arial" w:eastAsia="Arial" w:hAnsi="Arial"/>
                <w:sz w:val="14"/>
                <w:szCs w:val="14"/>
                <w:color w:val="auto"/>
              </w:rPr>
              <w:t>360 Hamilton Plaza LLC (wholly</w:t>
            </w:r>
            <w:r>
              <w:rPr>
                <w:rFonts w:ascii="MS PGothic" w:cs="MS PGothic" w:eastAsia="MS PGothic" w:hAnsi="MS PGothic"/>
                <w:sz w:val="14"/>
                <w:szCs w:val="14"/>
                <w:color w:val="auto"/>
              </w:rPr>
              <w:t>‑</w:t>
            </w:r>
            <w:r>
              <w:rPr>
                <w:rFonts w:ascii="Arial" w:cs="Arial" w:eastAsia="Arial" w:hAnsi="Arial"/>
                <w:sz w:val="14"/>
                <w:szCs w:val="14"/>
                <w:color w:val="auto"/>
              </w:rPr>
              <w:t>owned by ROP)</w:t>
            </w:r>
          </w:p>
        </w:tc>
      </w:tr>
      <w:tr>
        <w:trPr>
          <w:trHeight w:val="270"/>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CONNECTICUT</w:t>
            </w:r>
          </w:p>
        </w:tc>
        <w:tc>
          <w:tcPr>
            <w:tcW w:w="6360" w:type="dxa"/>
            <w:vAlign w:val="bottom"/>
          </w:tcPr>
          <w:p>
            <w:pPr>
              <w:spacing w:after="0"/>
              <w:rPr>
                <w:sz w:val="23"/>
                <w:szCs w:val="23"/>
                <w:color w:val="auto"/>
              </w:rPr>
            </w:pP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1055 Washington Blvd, Stamford, Connecticut</w:t>
            </w:r>
          </w:p>
        </w:tc>
        <w:tc>
          <w:tcPr>
            <w:tcW w:w="6360" w:type="dxa"/>
            <w:vAlign w:val="bottom"/>
          </w:tcPr>
          <w:p>
            <w:pPr>
              <w:ind w:left="1500"/>
              <w:spacing w:after="0" w:line="161" w:lineRule="exact"/>
              <w:rPr>
                <w:sz w:val="20"/>
                <w:szCs w:val="20"/>
                <w:color w:val="auto"/>
              </w:rPr>
            </w:pPr>
            <w:r>
              <w:rPr>
                <w:rFonts w:ascii="Arial" w:cs="Arial" w:eastAsia="Arial" w:hAnsi="Arial"/>
                <w:sz w:val="14"/>
                <w:szCs w:val="14"/>
                <w:color w:val="auto"/>
              </w:rPr>
              <w:t>1055 Washington Blvd. LLC (wholly</w:t>
            </w:r>
            <w:r>
              <w:rPr>
                <w:rFonts w:ascii="MS PGothic" w:cs="MS PGothic" w:eastAsia="MS PGothic" w:hAnsi="MS PGothic"/>
                <w:sz w:val="14"/>
                <w:szCs w:val="14"/>
                <w:color w:val="auto"/>
              </w:rPr>
              <w:t>‑</w:t>
            </w:r>
            <w:r>
              <w:rPr>
                <w:rFonts w:ascii="Arial" w:cs="Arial" w:eastAsia="Arial" w:hAnsi="Arial"/>
                <w:sz w:val="14"/>
                <w:szCs w:val="14"/>
                <w:color w:val="auto"/>
              </w:rPr>
              <w:t>owned by ROP)</w:t>
            </w:r>
          </w:p>
        </w:tc>
      </w:tr>
      <w:tr>
        <w:trPr>
          <w:trHeight w:val="203"/>
        </w:trPr>
        <w:tc>
          <w:tcPr>
            <w:tcW w:w="4200" w:type="dxa"/>
            <w:vAlign w:val="bottom"/>
            <w:gridSpan w:val="2"/>
          </w:tcPr>
          <w:p>
            <w:pPr>
              <w:spacing w:after="0"/>
              <w:rPr>
                <w:sz w:val="20"/>
                <w:szCs w:val="20"/>
                <w:color w:val="auto"/>
              </w:rPr>
            </w:pPr>
            <w:r>
              <w:rPr>
                <w:rFonts w:ascii="Arial" w:cs="Arial" w:eastAsia="Arial" w:hAnsi="Arial"/>
                <w:sz w:val="14"/>
                <w:szCs w:val="14"/>
                <w:color w:val="auto"/>
              </w:rPr>
              <w:t>1010 Washington Blvd, Stamford, Connecticut</w:t>
            </w:r>
          </w:p>
        </w:tc>
        <w:tc>
          <w:tcPr>
            <w:tcW w:w="6360" w:type="dxa"/>
            <w:vAlign w:val="bottom"/>
          </w:tcPr>
          <w:p>
            <w:pPr>
              <w:ind w:left="1500"/>
              <w:spacing w:after="0"/>
              <w:rPr>
                <w:sz w:val="20"/>
                <w:szCs w:val="20"/>
                <w:color w:val="auto"/>
              </w:rPr>
            </w:pPr>
            <w:r>
              <w:rPr>
                <w:rFonts w:ascii="Arial" w:cs="Arial" w:eastAsia="Arial" w:hAnsi="Arial"/>
                <w:sz w:val="14"/>
                <w:szCs w:val="14"/>
                <w:color w:val="auto"/>
              </w:rPr>
              <w:t>1010 Washington SLG Owner LLC</w:t>
            </w:r>
          </w:p>
        </w:tc>
      </w:tr>
    </w:tbl>
    <w:p>
      <w:pPr>
        <w:spacing w:after="0" w:line="200" w:lineRule="exact"/>
        <w:rPr>
          <w:sz w:val="20"/>
          <w:szCs w:val="20"/>
          <w:color w:val="auto"/>
        </w:rPr>
      </w:pPr>
    </w:p>
    <w:p>
      <w:pPr>
        <w:spacing w:after="0" w:line="20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Other subsidiaries: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SL Green Funding LLC*</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SLG Funding REIT LLC*</w:t>
      </w:r>
    </w:p>
    <w:p>
      <w:pPr>
        <w:spacing w:after="0" w:line="348"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ROP also has partial ownership interests in the following properties (through JV interests):</w:t>
      </w:r>
    </w:p>
    <w:p>
      <w:pPr>
        <w:spacing w:after="0" w:line="46" w:lineRule="exact"/>
        <w:rPr>
          <w:sz w:val="20"/>
          <w:szCs w:val="20"/>
          <w:color w:val="auto"/>
        </w:rPr>
      </w:pPr>
    </w:p>
    <w:p>
      <w:pPr>
        <w:ind w:left="280"/>
        <w:spacing w:after="0"/>
        <w:tabs>
          <w:tab w:leader="none" w:pos="5960" w:val="left"/>
        </w:tabs>
        <w:rPr>
          <w:sz w:val="20"/>
          <w:szCs w:val="20"/>
          <w:color w:val="auto"/>
        </w:rPr>
      </w:pPr>
      <w:r>
        <w:rPr>
          <w:rFonts w:ascii="Arial" w:cs="Arial" w:eastAsia="Arial" w:hAnsi="Arial"/>
          <w:sz w:val="14"/>
          <w:szCs w:val="14"/>
          <w:color w:val="auto"/>
        </w:rPr>
        <w:t>919 Third Avenue, New York, New York</w:t>
      </w:r>
      <w:r>
        <w:rPr>
          <w:sz w:val="20"/>
          <w:szCs w:val="20"/>
          <w:color w:val="auto"/>
        </w:rPr>
        <w:tab/>
      </w:r>
      <w:r>
        <w:rPr>
          <w:rFonts w:ascii="Arial" w:cs="Arial" w:eastAsia="Arial" w:hAnsi="Arial"/>
          <w:sz w:val="13"/>
          <w:szCs w:val="13"/>
          <w:color w:val="auto"/>
        </w:rPr>
        <w:t>Metropolitan 919 3rd Avenue LLC (subsidiary of JV with NYSTRS)</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 The purpose of this entity is to engage in debt and preferred equity finance investments through various wholly-owned subsidiaries which are not included in this list.</w:t>
      </w:r>
    </w:p>
    <w:p>
      <w:pPr>
        <w:sectPr>
          <w:pgSz w:w="11900" w:h="16838" w:orient="portrait"/>
          <w:cols w:equalWidth="0" w:num="1">
            <w:col w:w="11420"/>
          </w:cols>
          <w:pgMar w:left="240" w:top="580" w:right="239" w:bottom="1440" w:gutter="0" w:footer="0" w:header="0"/>
        </w:sectPr>
      </w:pPr>
    </w:p>
    <w:bookmarkStart w:id="79" w:name="page80"/>
    <w:bookmarkEnd w:id="79"/>
    <w:p>
      <w:pPr>
        <w:ind w:left="10480"/>
        <w:spacing w:after="0"/>
        <w:rPr>
          <w:sz w:val="20"/>
          <w:szCs w:val="20"/>
          <w:color w:val="auto"/>
        </w:rPr>
      </w:pPr>
      <w:r>
        <w:rPr>
          <w:rFonts w:ascii="Arial" w:cs="Arial" w:eastAsia="Arial" w:hAnsi="Arial"/>
          <w:sz w:val="16"/>
          <w:szCs w:val="16"/>
          <w:b w:val="1"/>
          <w:bCs w:val="1"/>
          <w:color w:val="auto"/>
        </w:rPr>
        <w:t>Exhibit 31.1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283"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Reckson Operating Partnership, L.P. (the "registrant");</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644"/>
        <w:spacing w:after="0" w:line="250"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20" w:hanging="644"/>
        <w:spacing w:after="0" w:line="281"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5"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563"/>
        <w:spacing w:after="0" w:line="274" w:lineRule="auto"/>
        <w:tabs>
          <w:tab w:leader="none" w:pos="1300" w:val="left"/>
        </w:tabs>
        <w:numPr>
          <w:ilvl w:val="2"/>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563"/>
        <w:spacing w:after="0" w:line="261" w:lineRule="auto"/>
        <w:tabs>
          <w:tab w:leader="none" w:pos="13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28, 2019</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ectPr>
          <w:pgSz w:w="11900" w:h="16838" w:orient="portrait"/>
          <w:cols w:equalWidth="0" w:num="1">
            <w:col w:w="11420"/>
          </w:cols>
          <w:pgMar w:left="240" w:top="715" w:right="239" w:bottom="1440" w:gutter="0" w:footer="0" w:header="0"/>
        </w:sectPr>
      </w:pPr>
    </w:p>
    <w:bookmarkStart w:id="80" w:name="page81"/>
    <w:bookmarkEnd w:id="80"/>
    <w:p>
      <w:pPr>
        <w:ind w:left="10480"/>
        <w:spacing w:after="0"/>
        <w:rPr>
          <w:sz w:val="20"/>
          <w:szCs w:val="20"/>
          <w:color w:val="auto"/>
        </w:rPr>
      </w:pPr>
      <w:r>
        <w:rPr>
          <w:rFonts w:ascii="Arial" w:cs="Arial" w:eastAsia="Arial" w:hAnsi="Arial"/>
          <w:sz w:val="16"/>
          <w:szCs w:val="16"/>
          <w:b w:val="1"/>
          <w:bCs w:val="1"/>
          <w:color w:val="auto"/>
        </w:rPr>
        <w:t>Exhibit 31.2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283"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Reckson Operating Partnership, L.P. (the "registrant");</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644"/>
        <w:spacing w:after="0" w:line="250"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20" w:hanging="644"/>
        <w:spacing w:after="0" w:line="281"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5"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274" w:lineRule="auto"/>
        <w:tabs>
          <w:tab w:leader="none" w:pos="13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0" w:hanging="644"/>
        <w:spacing w:after="0" w:line="261"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28, 2019</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J. DiLiberto</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ectPr>
          <w:pgSz w:w="11900" w:h="16838" w:orient="portrait"/>
          <w:cols w:equalWidth="0" w:num="1">
            <w:col w:w="11420"/>
          </w:cols>
          <w:pgMar w:left="240" w:top="972"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 Marc Holliday, President of Wyoming Acquisition GP LLC, the sole general partner of Reckson Operating Partnership, L. P. (the "registrant"), certify pursuant to section 906 of the Sarbanes-Oxley Act of 2002, 18 U.S.C. Section 1350, that:</w:t>
      </w:r>
    </w:p>
    <w:p>
      <w:pPr>
        <w:spacing w:after="0" w:line="224" w:lineRule="exact"/>
        <w:rPr>
          <w:sz w:val="20"/>
          <w:szCs w:val="20"/>
          <w:color w:val="auto"/>
        </w:rPr>
      </w:pPr>
    </w:p>
    <w:p>
      <w:pPr>
        <w:ind w:left="800" w:right="20" w:hanging="782"/>
        <w:spacing w:after="0" w:line="277" w:lineRule="auto"/>
        <w:rPr>
          <w:sz w:val="20"/>
          <w:szCs w:val="20"/>
          <w:color w:val="auto"/>
        </w:rPr>
      </w:pPr>
      <w:r>
        <w:rPr>
          <w:rFonts w:ascii="Arial" w:cs="Arial" w:eastAsia="Arial" w:hAnsi="Arial"/>
          <w:sz w:val="18"/>
          <w:szCs w:val="18"/>
          <w:color w:val="auto"/>
        </w:rPr>
        <w:t>1.The Annual Report on Form 10-K of the registrant for the annual period ended December 31, 2018 (the "Report") fully complies with the requirements of Section 13(a) or 15(d), as applicable, of the Securities Exchange Act of 1934 (15 U.S.C. 78m or 78o(d)); and</w:t>
      </w:r>
    </w:p>
    <w:p>
      <w:pPr>
        <w:spacing w:after="0" w:line="89"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1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pacing w:after="0" w:line="3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March 28, 2019</w:t>
      </w:r>
    </w:p>
    <w:p>
      <w:pPr>
        <w:sectPr>
          <w:pgSz w:w="11900" w:h="16838" w:orient="portrait"/>
          <w:cols w:equalWidth="0" w:num="1">
            <w:col w:w="11420"/>
          </w:cols>
          <w:pgMar w:left="240" w:top="972"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 Matthew J. DiLiberto, Treasurer and of Wyoming Acquisition GP LLC, the sole general partner of Reckson Operating Partnership, L. P. (the "registrant"), certify pursuant to section 906 of the Sarbanes-Oxley Act of 2002, 18 U.S.C. Section 1350, that:</w:t>
      </w:r>
    </w:p>
    <w:p>
      <w:pPr>
        <w:spacing w:after="0" w:line="224" w:lineRule="exact"/>
        <w:rPr>
          <w:sz w:val="20"/>
          <w:szCs w:val="20"/>
          <w:color w:val="auto"/>
        </w:rPr>
      </w:pPr>
    </w:p>
    <w:p>
      <w:pPr>
        <w:ind w:left="800" w:right="20" w:hanging="782"/>
        <w:spacing w:after="0" w:line="277" w:lineRule="auto"/>
        <w:rPr>
          <w:sz w:val="20"/>
          <w:szCs w:val="20"/>
          <w:color w:val="auto"/>
        </w:rPr>
      </w:pPr>
      <w:r>
        <w:rPr>
          <w:rFonts w:ascii="Arial" w:cs="Arial" w:eastAsia="Arial" w:hAnsi="Arial"/>
          <w:sz w:val="18"/>
          <w:szCs w:val="18"/>
          <w:color w:val="auto"/>
        </w:rPr>
        <w:t>1.The Annual Report on Form 10-K of the registrant for the annual period ended December 31, 2018 (the "Report") fully complies with the requirements of Section 13(a) or 15(d), as applicable, of the Securities Exchange Act of 1934 (15 U.S.C. 78m or 78o(d)); and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results of operations of the registrant.</w:t>
      </w:r>
    </w:p>
    <w:p>
      <w:pPr>
        <w:spacing w:after="0" w:line="39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349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57"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Matthew J. DiLiberto</w:t>
      </w:r>
    </w:p>
    <w:p>
      <w:pPr>
        <w:spacing w:after="0" w:line="63"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of Wyoming Acquisition GP LLC,</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sole general partner of the registrant</w:t>
      </w:r>
    </w:p>
    <w:p>
      <w:pPr>
        <w:spacing w:after="0" w:line="33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March 28, 2019</w:t>
      </w:r>
    </w:p>
    <w:sectPr>
      <w:pgSz w:w="11900" w:h="16838" w:orient="portrait"/>
      <w:cols w:equalWidth="0" w:num="1">
        <w:col w:w="11420"/>
      </w:cols>
      <w:pgMar w:left="240" w:top="7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lowerRoman"/>
      <w:start w:val="1"/>
    </w:lvl>
  </w:abstractNum>
  <w:abstractNum w:abstractNumId="12">
    <w:nsid w:val="3A95F874"/>
    <w:multiLevelType w:val="hybridMultilevel"/>
    <w:lvl w:ilvl="0">
      <w:lvlJc w:val="left"/>
      <w:lvlText w:val="%1."/>
      <w:numFmt w:val="lowerRoman"/>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2"/>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4"/>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8"/>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6"/>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1"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13" Type="http://schemas.openxmlformats.org/officeDocument/2006/relationships/hyperlink" Target="http://www.sec.gov/Archives/edgar/data/1040971/000104097118000006/slg2017123110kex101.htm" TargetMode="External"/><Relationship Id="rId14" Type="http://schemas.openxmlformats.org/officeDocument/2006/relationships/hyperlink" Target="http://www.sec.gov/Archives/edgar/data/930548/0000905148-99-000346.txt" TargetMode="External"/><Relationship Id="rId15" Type="http://schemas.openxmlformats.org/officeDocument/2006/relationships/hyperlink" Target="http://www.sec.gov/Archives/edgar/data/930548/000100515000000343/0001005150-00-000343.txt" TargetMode="External"/><Relationship Id="rId16" Type="http://schemas.openxmlformats.org/officeDocument/2006/relationships/hyperlink" Target="http://www.sec.gov/Archives/edgar/data/930548/000100515001000237/0001005150-01-000237-0002.txt" TargetMode="External"/><Relationship Id="rId17" Type="http://schemas.openxmlformats.org/officeDocument/2006/relationships/hyperlink" Target="http://www.sec.gov/Archives/edgar/data/930548/000100515003001307/ex10-04.txt" TargetMode="External"/><Relationship Id="rId18" Type="http://schemas.openxmlformats.org/officeDocument/2006/relationships/hyperlink" Target="http://www.sec.gov/Archives/edgar/data/930548/000090514804005479/efc4-2295_5641627exhibit104.txt" TargetMode="External"/><Relationship Id="rId19" Type="http://schemas.openxmlformats.org/officeDocument/2006/relationships/hyperlink" Target="http://www.sec.gov/Archives/edgar/data/930548/000112528206001573/b412116_ex10-11.txt" TargetMode="External"/><Relationship Id="rId20" Type="http://schemas.openxmlformats.org/officeDocument/2006/relationships/hyperlink" Target="http://www.sec.gov/Archives/edgar/data/930548/000112528206002644/b413130_ex10-1.txt" TargetMode="External"/><Relationship Id="rId21" Type="http://schemas.openxmlformats.org/officeDocument/2006/relationships/hyperlink" Target="http://www.sec.gov/Archives/edgar/data/930810/000104746908003869/a2184189zex-3_12.htm" TargetMode="External"/><Relationship Id="rId22" Type="http://schemas.openxmlformats.org/officeDocument/2006/relationships/hyperlink" Target="http://www.sec.gov/Archives/edgar/data/930810/000110465910014668/a10-3904_2ex4d1.htm" TargetMode="External"/><Relationship Id="rId23" Type="http://schemas.openxmlformats.org/officeDocument/2006/relationships/hyperlink" Target="http://www.sec.gov/Archives/edgar/data/930810/000110465919000085/a18-42181_1ex4d1.htm" TargetMode="External"/><Relationship Id="rId24" Type="http://schemas.openxmlformats.org/officeDocument/2006/relationships/hyperlink" Target="http://www.sec.gov/Archives/edgar/data/930810/000110465910052285/a10-19279_1ex4d1.htm" TargetMode="External"/><Relationship Id="rId25" Type="http://schemas.openxmlformats.org/officeDocument/2006/relationships/hyperlink" Target="http://www.sec.gov/Archives/edgar/data/930810/000110465911044350/a11-23855_1ex4d1.htm" TargetMode="External"/><Relationship Id="rId26" Type="http://schemas.openxmlformats.org/officeDocument/2006/relationships/hyperlink" Target="http://www.sec.gov/Archives/edgar/data/930810/000110465912078232/a12-26250_4ex4d1.htm" TargetMode="External"/><Relationship Id="rId27" Type="http://schemas.openxmlformats.org/officeDocument/2006/relationships/hyperlink" Target="http://www.sec.gov/Archives/edgar/data/930810/000110465919000085/a18-42181_1ex4d2.htm" TargetMode="External"/><Relationship Id="rId28" Type="http://schemas.openxmlformats.org/officeDocument/2006/relationships/hyperlink" Target="http://www.sec.gov/Archives/edgar/data/930810/000110465917061122/a17-22604_6ex4d1.htm" TargetMode="External"/><Relationship Id="rId29" Type="http://schemas.openxmlformats.org/officeDocument/2006/relationships/hyperlink" Target="http://www.sec.gov/Archives/edgar/data/930810/000110465917061122/a17-22604_6ex4d2.htm" TargetMode="External"/><Relationship Id="rId30" Type="http://schemas.openxmlformats.org/officeDocument/2006/relationships/hyperlink" Target="http://www.sec.gov/Archives/edgar/data/930810/000110465917070358/a17-27465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2019-12-28T14:26:28Z</dcterms:created>
  <dcterms:modified xsi:type="dcterms:W3CDTF">2019-12-28T14:26:28Z</dcterms:modified>
</cp:coreProperties>
</file>