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760" w:hanging="420"/>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1934</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 w:lineRule="exact"/>
        <w:rPr>
          <w:sz w:val="24"/>
          <w:szCs w:val="24"/>
          <w:color w:val="auto"/>
        </w:rPr>
      </w:pPr>
    </w:p>
    <w:p>
      <w:pPr>
        <w:jc w:val="center"/>
        <w:ind w:left="5240" w:right="320" w:hanging="4908"/>
        <w:spacing w:after="0" w:line="254" w:lineRule="auto"/>
        <w:tabs>
          <w:tab w:leader="none" w:pos="766"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3"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1-13199 (SL Green Realty Corp.)</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33-167793-02 (SL Green Operating Partnership, L.P.)</w:t>
      </w:r>
    </w:p>
    <w:p>
      <w:pPr>
        <w:spacing w:after="0" w:line="144"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SL GREEN REALTY CORP.</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SL GREEN OPERATING PARTNERSHIP, L.P.</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124"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SL Green Realty Corp.</w:t>
            </w:r>
          </w:p>
        </w:tc>
        <w:tc>
          <w:tcPr>
            <w:tcW w:w="2980" w:type="dxa"/>
            <w:vAlign w:val="bottom"/>
          </w:tcPr>
          <w:p>
            <w:pPr>
              <w:jc w:val="center"/>
              <w:ind w:right="439"/>
              <w:spacing w:after="0"/>
              <w:rPr>
                <w:sz w:val="20"/>
                <w:szCs w:val="20"/>
                <w:color w:val="auto"/>
              </w:rPr>
            </w:pPr>
            <w:r>
              <w:rPr>
                <w:rFonts w:ascii="Arial" w:cs="Arial" w:eastAsia="Arial" w:hAnsi="Arial"/>
                <w:sz w:val="18"/>
                <w:szCs w:val="18"/>
                <w:b w:val="1"/>
                <w:bCs w:val="1"/>
                <w:color w:val="auto"/>
                <w:w w:val="98"/>
              </w:rPr>
              <w:t>Maryland</w:t>
            </w:r>
          </w:p>
        </w:tc>
        <w:tc>
          <w:tcPr>
            <w:tcW w:w="1820" w:type="dxa"/>
            <w:vAlign w:val="bottom"/>
          </w:tcPr>
          <w:p>
            <w:pPr>
              <w:jc w:val="center"/>
              <w:ind w:left="784"/>
              <w:spacing w:after="0"/>
              <w:rPr>
                <w:sz w:val="20"/>
                <w:szCs w:val="20"/>
                <w:color w:val="auto"/>
              </w:rPr>
            </w:pPr>
            <w:r>
              <w:rPr>
                <w:rFonts w:ascii="Arial" w:cs="Arial" w:eastAsia="Arial" w:hAnsi="Arial"/>
                <w:sz w:val="18"/>
                <w:szCs w:val="18"/>
                <w:b w:val="1"/>
                <w:bCs w:val="1"/>
                <w:color w:val="auto"/>
                <w:w w:val="91"/>
              </w:rPr>
              <w:t>13-3956775</w:t>
            </w:r>
          </w:p>
        </w:tc>
      </w:tr>
      <w:tr>
        <w:trPr>
          <w:trHeight w:val="251"/>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SL Green Operating Partnership, L.P.</w:t>
            </w:r>
          </w:p>
        </w:tc>
        <w:tc>
          <w:tcPr>
            <w:tcW w:w="2980" w:type="dxa"/>
            <w:vAlign w:val="bottom"/>
          </w:tcPr>
          <w:p>
            <w:pPr>
              <w:jc w:val="center"/>
              <w:ind w:right="439"/>
              <w:spacing w:after="0"/>
              <w:rPr>
                <w:sz w:val="20"/>
                <w:szCs w:val="20"/>
                <w:color w:val="auto"/>
              </w:rPr>
            </w:pPr>
            <w:r>
              <w:rPr>
                <w:rFonts w:ascii="Arial" w:cs="Arial" w:eastAsia="Arial" w:hAnsi="Arial"/>
                <w:sz w:val="18"/>
                <w:szCs w:val="18"/>
                <w:b w:val="1"/>
                <w:bCs w:val="1"/>
                <w:color w:val="auto"/>
                <w:w w:val="93"/>
              </w:rPr>
              <w:t>Delaware</w:t>
            </w:r>
          </w:p>
        </w:tc>
        <w:tc>
          <w:tcPr>
            <w:tcW w:w="1820" w:type="dxa"/>
            <w:vAlign w:val="bottom"/>
          </w:tcPr>
          <w:p>
            <w:pPr>
              <w:jc w:val="center"/>
              <w:ind w:left="784"/>
              <w:spacing w:after="0"/>
              <w:rPr>
                <w:sz w:val="20"/>
                <w:szCs w:val="20"/>
                <w:color w:val="auto"/>
              </w:rPr>
            </w:pPr>
            <w:r>
              <w:rPr>
                <w:rFonts w:ascii="Arial" w:cs="Arial" w:eastAsia="Arial" w:hAnsi="Arial"/>
                <w:sz w:val="18"/>
                <w:szCs w:val="18"/>
                <w:b w:val="1"/>
                <w:bCs w:val="1"/>
                <w:color w:val="auto"/>
                <w:w w:val="91"/>
              </w:rPr>
              <w:t>13-3960938</w:t>
            </w:r>
          </w:p>
        </w:tc>
      </w:tr>
      <w:tr>
        <w:trPr>
          <w:trHeight w:val="154"/>
        </w:trPr>
        <w:tc>
          <w:tcPr>
            <w:tcW w:w="3320" w:type="dxa"/>
            <w:vAlign w:val="bottom"/>
          </w:tcPr>
          <w:p>
            <w:pPr>
              <w:spacing w:after="0"/>
              <w:rPr>
                <w:sz w:val="13"/>
                <w:szCs w:val="13"/>
                <w:color w:val="auto"/>
              </w:rPr>
            </w:pPr>
          </w:p>
        </w:tc>
        <w:tc>
          <w:tcPr>
            <w:tcW w:w="2980" w:type="dxa"/>
            <w:vAlign w:val="bottom"/>
          </w:tcPr>
          <w:p>
            <w:pPr>
              <w:jc w:val="center"/>
              <w:ind w:right="439"/>
              <w:spacing w:after="0" w:line="154" w:lineRule="exact"/>
              <w:rPr>
                <w:sz w:val="20"/>
                <w:szCs w:val="20"/>
                <w:color w:val="auto"/>
              </w:rPr>
            </w:pPr>
            <w:r>
              <w:rPr>
                <w:rFonts w:ascii="Arial" w:cs="Arial" w:eastAsia="Arial" w:hAnsi="Arial"/>
                <w:sz w:val="14"/>
                <w:szCs w:val="14"/>
                <w:color w:val="auto"/>
                <w:w w:val="94"/>
              </w:rPr>
              <w:t>(State or other jurisdiction of</w:t>
            </w:r>
          </w:p>
        </w:tc>
        <w:tc>
          <w:tcPr>
            <w:tcW w:w="1820" w:type="dxa"/>
            <w:vAlign w:val="bottom"/>
          </w:tcPr>
          <w:p>
            <w:pPr>
              <w:jc w:val="center"/>
              <w:ind w:left="804"/>
              <w:spacing w:after="0"/>
              <w:rPr>
                <w:sz w:val="20"/>
                <w:szCs w:val="20"/>
                <w:color w:val="auto"/>
              </w:rPr>
            </w:pPr>
            <w:r>
              <w:rPr>
                <w:rFonts w:ascii="Arial" w:cs="Arial" w:eastAsia="Arial" w:hAnsi="Arial"/>
                <w:sz w:val="13"/>
                <w:szCs w:val="13"/>
                <w:color w:val="auto"/>
                <w:w w:val="90"/>
              </w:rPr>
              <w:t>(I.R.S. Employer</w:t>
            </w:r>
          </w:p>
        </w:tc>
      </w:tr>
      <w:tr>
        <w:trPr>
          <w:trHeight w:val="182"/>
        </w:trPr>
        <w:tc>
          <w:tcPr>
            <w:tcW w:w="3320" w:type="dxa"/>
            <w:vAlign w:val="bottom"/>
          </w:tcPr>
          <w:p>
            <w:pPr>
              <w:spacing w:after="0"/>
              <w:rPr>
                <w:sz w:val="15"/>
                <w:szCs w:val="15"/>
                <w:color w:val="auto"/>
              </w:rPr>
            </w:pPr>
          </w:p>
        </w:tc>
        <w:tc>
          <w:tcPr>
            <w:tcW w:w="2980" w:type="dxa"/>
            <w:vAlign w:val="bottom"/>
          </w:tcPr>
          <w:p>
            <w:pPr>
              <w:jc w:val="center"/>
              <w:ind w:right="439"/>
              <w:spacing w:after="0"/>
              <w:rPr>
                <w:sz w:val="20"/>
                <w:szCs w:val="20"/>
                <w:color w:val="auto"/>
              </w:rPr>
            </w:pPr>
            <w:r>
              <w:rPr>
                <w:rFonts w:ascii="Arial" w:cs="Arial" w:eastAsia="Arial" w:hAnsi="Arial"/>
                <w:sz w:val="14"/>
                <w:szCs w:val="14"/>
                <w:color w:val="auto"/>
                <w:w w:val="95"/>
              </w:rPr>
              <w:t>incorporation or organization)</w:t>
            </w:r>
          </w:p>
        </w:tc>
        <w:tc>
          <w:tcPr>
            <w:tcW w:w="1820" w:type="dxa"/>
            <w:vAlign w:val="bottom"/>
          </w:tcPr>
          <w:p>
            <w:pPr>
              <w:jc w:val="center"/>
              <w:ind w:left="804"/>
              <w:spacing w:after="0"/>
              <w:rPr>
                <w:sz w:val="20"/>
                <w:szCs w:val="20"/>
                <w:color w:val="auto"/>
              </w:rPr>
            </w:pPr>
            <w:r>
              <w:rPr>
                <w:rFonts w:ascii="Arial" w:cs="Arial" w:eastAsia="Arial" w:hAnsi="Arial"/>
                <w:sz w:val="13"/>
                <w:szCs w:val="13"/>
                <w:color w:val="auto"/>
                <w:w w:val="92"/>
              </w:rPr>
              <w:t>Identification No.)</w:t>
            </w:r>
          </w:p>
        </w:tc>
      </w:tr>
    </w:tbl>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Vanderbilt Avenue, New York, NY 10017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594-2700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52"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6" w:lineRule="exact"/>
        <w:rPr>
          <w:sz w:val="24"/>
          <w:szCs w:val="24"/>
          <w:color w:val="auto"/>
        </w:rPr>
      </w:pPr>
    </w:p>
    <w:p>
      <w:pPr>
        <w:spacing w:after="0"/>
        <w:tabs>
          <w:tab w:leader="none" w:pos="1820" w:val="left"/>
          <w:tab w:leader="none" w:pos="2400" w:val="left"/>
          <w:tab w:leader="none" w:pos="3360" w:val="left"/>
          <w:tab w:leader="none" w:pos="6220" w:val="left"/>
          <w:tab w:leader="none" w:pos="6800" w:val="left"/>
        </w:tabs>
        <w:rPr>
          <w:sz w:val="20"/>
          <w:szCs w:val="20"/>
          <w:color w:val="auto"/>
        </w:rPr>
      </w:pPr>
      <w:r>
        <w:rPr>
          <w:rFonts w:ascii="Arial" w:cs="Arial" w:eastAsia="Arial" w:hAnsi="Arial"/>
          <w:sz w:val="18"/>
          <w:szCs w:val="18"/>
          <w:color w:val="auto"/>
        </w:rPr>
        <w:t>SL Green Realty Corp.</w:t>
        <w:tab/>
        <w:t>Yes x</w:t>
        <w:tab/>
        <w:t>No o</w:t>
      </w:r>
      <w:r>
        <w:rPr>
          <w:sz w:val="20"/>
          <w:szCs w:val="20"/>
          <w:color w:val="auto"/>
        </w:rPr>
        <w:tab/>
      </w:r>
      <w:r>
        <w:rPr>
          <w:rFonts w:ascii="Arial" w:cs="Arial" w:eastAsia="Arial" w:hAnsi="Arial"/>
          <w:sz w:val="18"/>
          <w:szCs w:val="18"/>
          <w:color w:val="auto"/>
        </w:rPr>
        <w:t>SL Green Operating Partnership, L.P.</w:t>
        <w:tab/>
        <w:t>Yes x</w:t>
      </w:r>
      <w:r>
        <w:rPr>
          <w:sz w:val="20"/>
          <w:szCs w:val="20"/>
          <w:color w:val="auto"/>
        </w:rPr>
        <w:tab/>
      </w:r>
      <w:r>
        <w:rPr>
          <w:rFonts w:ascii="Arial" w:cs="Arial" w:eastAsia="Arial" w:hAnsi="Arial"/>
          <w:sz w:val="17"/>
          <w:szCs w:val="17"/>
          <w:color w:val="auto"/>
        </w:rPr>
        <w:t>No o</w:t>
      </w:r>
    </w:p>
    <w:p>
      <w:pPr>
        <w:spacing w:after="0" w:line="117"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 w:lineRule="exact"/>
        <w:rPr>
          <w:sz w:val="24"/>
          <w:szCs w:val="24"/>
          <w:color w:val="auto"/>
        </w:rPr>
      </w:pPr>
    </w:p>
    <w:p>
      <w:pPr>
        <w:spacing w:after="0"/>
        <w:tabs>
          <w:tab w:leader="none" w:pos="1860" w:val="left"/>
          <w:tab w:leader="none" w:pos="2440" w:val="left"/>
          <w:tab w:leader="none" w:pos="3400" w:val="left"/>
          <w:tab w:leader="none" w:pos="6280" w:val="left"/>
          <w:tab w:leader="none" w:pos="6840" w:val="left"/>
        </w:tabs>
        <w:rPr>
          <w:sz w:val="20"/>
          <w:szCs w:val="20"/>
          <w:color w:val="auto"/>
        </w:rPr>
      </w:pPr>
      <w:r>
        <w:rPr>
          <w:rFonts w:ascii="Arial" w:cs="Arial" w:eastAsia="Arial" w:hAnsi="Arial"/>
          <w:sz w:val="18"/>
          <w:szCs w:val="18"/>
          <w:color w:val="auto"/>
        </w:rPr>
        <w:t>SL Green Realty Corp.</w:t>
        <w:tab/>
        <w:t>Yes x</w:t>
        <w:tab/>
        <w:t>No o</w:t>
      </w:r>
      <w:r>
        <w:rPr>
          <w:sz w:val="20"/>
          <w:szCs w:val="20"/>
          <w:color w:val="auto"/>
        </w:rPr>
        <w:tab/>
      </w:r>
      <w:r>
        <w:rPr>
          <w:rFonts w:ascii="Arial" w:cs="Arial" w:eastAsia="Arial" w:hAnsi="Arial"/>
          <w:sz w:val="18"/>
          <w:szCs w:val="18"/>
          <w:color w:val="auto"/>
        </w:rPr>
        <w:t>SL Green Operating Partnership, L.P.</w:t>
        <w:tab/>
        <w:t>Yes x</w:t>
      </w:r>
      <w:r>
        <w:rPr>
          <w:sz w:val="20"/>
          <w:szCs w:val="20"/>
          <w:color w:val="auto"/>
        </w:rPr>
        <w:tab/>
      </w:r>
      <w:r>
        <w:rPr>
          <w:rFonts w:ascii="Arial" w:cs="Arial" w:eastAsia="Arial" w:hAnsi="Arial"/>
          <w:sz w:val="17"/>
          <w:szCs w:val="17"/>
          <w:color w:val="auto"/>
        </w:rPr>
        <w:t>No o</w:t>
      </w:r>
    </w:p>
    <w:p>
      <w:pPr>
        <w:spacing w:after="0" w:line="200" w:lineRule="exact"/>
        <w:rPr>
          <w:sz w:val="24"/>
          <w:szCs w:val="24"/>
          <w:color w:val="auto"/>
        </w:rPr>
      </w:pPr>
    </w:p>
    <w:p>
      <w:pPr>
        <w:spacing w:after="0" w:line="26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SL Green Realty Corp.</w:t>
            </w: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31"/>
        </w:trPr>
        <w:tc>
          <w:tcPr>
            <w:tcW w:w="326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2340" w:type="dxa"/>
            <w:vAlign w:val="bottom"/>
          </w:tcPr>
          <w:p>
            <w:pPr>
              <w:jc w:val="center"/>
              <w:ind w:right="970"/>
              <w:spacing w:after="0"/>
              <w:rPr>
                <w:sz w:val="20"/>
                <w:szCs w:val="20"/>
                <w:color w:val="auto"/>
              </w:rPr>
            </w:pPr>
            <w:r>
              <w:rPr>
                <w:rFonts w:ascii="Arial" w:cs="Arial" w:eastAsia="Arial" w:hAnsi="Arial"/>
                <w:sz w:val="18"/>
                <w:szCs w:val="18"/>
                <w:color w:val="auto"/>
                <w:w w:val="88"/>
              </w:rPr>
              <w:t>x</w:t>
            </w:r>
          </w:p>
        </w:tc>
        <w:tc>
          <w:tcPr>
            <w:tcW w:w="530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2340" w:type="dxa"/>
            <w:vAlign w:val="bottom"/>
          </w:tcPr>
          <w:p>
            <w:pPr>
              <w:jc w:val="center"/>
              <w:ind w:right="970"/>
              <w:spacing w:after="0" w:line="181" w:lineRule="exact"/>
              <w:rPr>
                <w:sz w:val="20"/>
                <w:szCs w:val="20"/>
                <w:color w:val="auto"/>
              </w:rPr>
            </w:pPr>
            <w:r>
              <w:rPr>
                <w:rFonts w:ascii="MS PGothic" w:cs="MS PGothic" w:eastAsia="MS PGothic" w:hAnsi="MS PGothic"/>
                <w:sz w:val="18"/>
                <w:szCs w:val="18"/>
                <w:color w:val="auto"/>
                <w:w w:val="88"/>
              </w:rPr>
              <w:t>☐</w:t>
            </w:r>
          </w:p>
        </w:tc>
        <w:tc>
          <w:tcPr>
            <w:tcW w:w="53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83"/>
        </w:trPr>
        <w:tc>
          <w:tcPr>
            <w:tcW w:w="3260" w:type="dxa"/>
            <w:vAlign w:val="bottom"/>
          </w:tcPr>
          <w:p>
            <w:pPr>
              <w:ind w:left="20"/>
              <w:spacing w:after="0"/>
              <w:rPr>
                <w:sz w:val="20"/>
                <w:szCs w:val="20"/>
                <w:color w:val="auto"/>
              </w:rPr>
            </w:pPr>
            <w:r>
              <w:rPr>
                <w:rFonts w:ascii="Arial" w:cs="Arial" w:eastAsia="Arial" w:hAnsi="Arial"/>
                <w:sz w:val="18"/>
                <w:szCs w:val="18"/>
                <w:color w:val="auto"/>
              </w:rPr>
              <w:t>Smaller Reporting Company</w:t>
            </w:r>
          </w:p>
        </w:tc>
        <w:tc>
          <w:tcPr>
            <w:tcW w:w="2340" w:type="dxa"/>
            <w:vAlign w:val="bottom"/>
          </w:tcPr>
          <w:p>
            <w:pPr>
              <w:jc w:val="center"/>
              <w:ind w:right="970"/>
              <w:spacing w:after="0" w:line="181" w:lineRule="exact"/>
              <w:rPr>
                <w:sz w:val="20"/>
                <w:szCs w:val="20"/>
                <w:color w:val="auto"/>
              </w:rPr>
            </w:pPr>
            <w:r>
              <w:rPr>
                <w:rFonts w:ascii="MS PGothic" w:cs="MS PGothic" w:eastAsia="MS PGothic" w:hAnsi="MS PGothic"/>
                <w:sz w:val="18"/>
                <w:szCs w:val="18"/>
                <w:color w:val="auto"/>
                <w:w w:val="88"/>
              </w:rPr>
              <w:t>☐</w:t>
            </w:r>
          </w:p>
        </w:tc>
        <w:tc>
          <w:tcPr>
            <w:tcW w:w="5300" w:type="dxa"/>
            <w:vAlign w:val="bottom"/>
          </w:tcPr>
          <w:p>
            <w:pPr>
              <w:ind w:left="1640"/>
              <w:spacing w:after="0"/>
              <w:rPr>
                <w:sz w:val="20"/>
                <w:szCs w:val="20"/>
                <w:color w:val="auto"/>
              </w:rPr>
            </w:pPr>
            <w:r>
              <w:rPr>
                <w:rFonts w:ascii="Arial" w:cs="Arial" w:eastAsia="Arial" w:hAnsi="Arial"/>
                <w:sz w:val="18"/>
                <w:szCs w:val="18"/>
                <w:color w:val="auto"/>
              </w:rPr>
              <w:t>Emerging Growth Company</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1"/>
        </w:trPr>
        <w:tc>
          <w:tcPr>
            <w:tcW w:w="10900" w:type="dxa"/>
            <w:vAlign w:val="bottom"/>
            <w:gridSpan w:val="3"/>
          </w:tcPr>
          <w:p>
            <w:pPr>
              <w:ind w:left="20"/>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 complying with any</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10900" w:type="dxa"/>
            <w:vAlign w:val="bottom"/>
            <w:gridSpan w:val="3"/>
          </w:tcPr>
          <w:p>
            <w:pPr>
              <w:ind w:left="20"/>
              <w:spacing w:after="0"/>
              <w:rPr>
                <w:sz w:val="20"/>
                <w:szCs w:val="20"/>
                <w:color w:val="auto"/>
              </w:rPr>
            </w:pPr>
            <w:r>
              <w:rPr>
                <w:rFonts w:ascii="Arial" w:cs="Arial" w:eastAsia="Arial" w:hAnsi="Arial"/>
                <w:sz w:val="18"/>
                <w:szCs w:val="18"/>
                <w:color w:val="auto"/>
              </w:rPr>
              <w:t>new or revised financial accounting standards provided pursuant to Section 13(a) of the Exchange Act.</w:t>
            </w:r>
          </w:p>
        </w:tc>
        <w:tc>
          <w:tcPr>
            <w:tcW w:w="240" w:type="dxa"/>
            <w:vAlign w:val="bottom"/>
          </w:tcPr>
          <w:p>
            <w:pPr>
              <w:spacing w:after="0"/>
              <w:rPr>
                <w:sz w:val="20"/>
                <w:szCs w:val="20"/>
                <w:color w:val="auto"/>
              </w:rPr>
            </w:pPr>
          </w:p>
        </w:tc>
      </w:tr>
      <w:tr>
        <w:trPr>
          <w:trHeight w:val="418"/>
        </w:trPr>
        <w:tc>
          <w:tcPr>
            <w:tcW w:w="3260" w:type="dxa"/>
            <w:vAlign w:val="bottom"/>
          </w:tcPr>
          <w:p>
            <w:pPr>
              <w:spacing w:after="0"/>
              <w:rPr>
                <w:sz w:val="20"/>
                <w:szCs w:val="20"/>
                <w:color w:val="auto"/>
              </w:rPr>
            </w:pPr>
            <w:r>
              <w:rPr>
                <w:rFonts w:ascii="Arial" w:cs="Arial" w:eastAsia="Arial" w:hAnsi="Arial"/>
                <w:sz w:val="18"/>
                <w:szCs w:val="18"/>
                <w:color w:val="auto"/>
              </w:rPr>
              <w:t>SL Green Operating Partnership, L.P.</w:t>
            </w:r>
          </w:p>
        </w:tc>
        <w:tc>
          <w:tcPr>
            <w:tcW w:w="23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4"/>
        </w:trPr>
        <w:tc>
          <w:tcPr>
            <w:tcW w:w="32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2340" w:type="dxa"/>
            <w:vAlign w:val="bottom"/>
          </w:tcPr>
          <w:p>
            <w:pPr>
              <w:jc w:val="center"/>
              <w:ind w:right="1010"/>
              <w:spacing w:after="0" w:line="181" w:lineRule="exact"/>
              <w:rPr>
                <w:sz w:val="20"/>
                <w:szCs w:val="20"/>
                <w:color w:val="auto"/>
              </w:rPr>
            </w:pPr>
            <w:r>
              <w:rPr>
                <w:rFonts w:ascii="MS PGothic" w:cs="MS PGothic" w:eastAsia="MS PGothic" w:hAnsi="MS PGothic"/>
                <w:sz w:val="18"/>
                <w:szCs w:val="18"/>
                <w:color w:val="auto"/>
                <w:w w:val="88"/>
              </w:rPr>
              <w:t>☐</w:t>
            </w:r>
          </w:p>
        </w:tc>
        <w:tc>
          <w:tcPr>
            <w:tcW w:w="530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97"/>
        </w:trPr>
        <w:tc>
          <w:tcPr>
            <w:tcW w:w="3260" w:type="dxa"/>
            <w:vAlign w:val="bottom"/>
          </w:tcPr>
          <w:p>
            <w:pPr>
              <w:ind w:left="40"/>
              <w:spacing w:after="0" w:line="197" w:lineRule="exact"/>
              <w:rPr>
                <w:sz w:val="20"/>
                <w:szCs w:val="20"/>
                <w:color w:val="auto"/>
              </w:rPr>
            </w:pPr>
            <w:r>
              <w:rPr>
                <w:rFonts w:ascii="Arial" w:cs="Arial" w:eastAsia="Arial" w:hAnsi="Arial"/>
                <w:sz w:val="18"/>
                <w:szCs w:val="18"/>
                <w:color w:val="auto"/>
              </w:rPr>
              <w:t>Non-accelerated filer</w:t>
            </w:r>
          </w:p>
        </w:tc>
        <w:tc>
          <w:tcPr>
            <w:tcW w:w="2340" w:type="dxa"/>
            <w:vAlign w:val="bottom"/>
          </w:tcPr>
          <w:p>
            <w:pPr>
              <w:jc w:val="center"/>
              <w:ind w:right="1010"/>
              <w:spacing w:after="0" w:line="197" w:lineRule="exact"/>
              <w:rPr>
                <w:sz w:val="20"/>
                <w:szCs w:val="20"/>
                <w:color w:val="auto"/>
              </w:rPr>
            </w:pPr>
            <w:r>
              <w:rPr>
                <w:rFonts w:ascii="Arial" w:cs="Arial" w:eastAsia="Arial" w:hAnsi="Arial"/>
                <w:sz w:val="18"/>
                <w:szCs w:val="18"/>
                <w:color w:val="auto"/>
                <w:w w:val="88"/>
              </w:rPr>
              <w:t>x</w:t>
            </w:r>
          </w:p>
        </w:tc>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83"/>
        </w:trPr>
        <w:tc>
          <w:tcPr>
            <w:tcW w:w="3260" w:type="dxa"/>
            <w:vAlign w:val="bottom"/>
          </w:tcPr>
          <w:p>
            <w:pPr>
              <w:ind w:left="40"/>
              <w:spacing w:after="0"/>
              <w:rPr>
                <w:sz w:val="20"/>
                <w:szCs w:val="20"/>
                <w:color w:val="auto"/>
              </w:rPr>
            </w:pPr>
            <w:r>
              <w:rPr>
                <w:rFonts w:ascii="Arial" w:cs="Arial" w:eastAsia="Arial" w:hAnsi="Arial"/>
                <w:sz w:val="18"/>
                <w:szCs w:val="18"/>
                <w:color w:val="auto"/>
              </w:rPr>
              <w:t>Smaller Reporting Company</w:t>
            </w:r>
          </w:p>
        </w:tc>
        <w:tc>
          <w:tcPr>
            <w:tcW w:w="2340" w:type="dxa"/>
            <w:vAlign w:val="bottom"/>
          </w:tcPr>
          <w:p>
            <w:pPr>
              <w:jc w:val="center"/>
              <w:ind w:right="1010"/>
              <w:spacing w:after="0" w:line="181" w:lineRule="exact"/>
              <w:rPr>
                <w:sz w:val="20"/>
                <w:szCs w:val="20"/>
                <w:color w:val="auto"/>
              </w:rPr>
            </w:pPr>
            <w:r>
              <w:rPr>
                <w:rFonts w:ascii="MS PGothic" w:cs="MS PGothic" w:eastAsia="MS PGothic" w:hAnsi="MS PGothic"/>
                <w:sz w:val="18"/>
                <w:szCs w:val="18"/>
                <w:color w:val="auto"/>
                <w:w w:val="88"/>
              </w:rPr>
              <w:t>☐</w:t>
            </w:r>
          </w:p>
        </w:tc>
        <w:tc>
          <w:tcPr>
            <w:tcW w:w="530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1"/>
        </w:trPr>
        <w:tc>
          <w:tcPr>
            <w:tcW w:w="10900" w:type="dxa"/>
            <w:vAlign w:val="bottom"/>
            <w:gridSpan w:val="3"/>
          </w:tcPr>
          <w:p>
            <w:pPr>
              <w:ind w:left="40"/>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 complying with 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0900" w:type="dxa"/>
            <w:vAlign w:val="bottom"/>
            <w:gridSpan w:val="3"/>
          </w:tcPr>
          <w:p>
            <w:pPr>
              <w:ind w:left="40"/>
              <w:spacing w:after="0"/>
              <w:rPr>
                <w:sz w:val="20"/>
                <w:szCs w:val="20"/>
                <w:color w:val="auto"/>
              </w:rPr>
            </w:pPr>
            <w:r>
              <w:rPr>
                <w:rFonts w:ascii="Arial" w:cs="Arial" w:eastAsia="Arial" w:hAnsi="Arial"/>
                <w:sz w:val="18"/>
                <w:szCs w:val="18"/>
                <w:color w:val="auto"/>
              </w:rPr>
              <w:t>new or revised financial accounting standards provided pursuant to Section 13(a) of the Exchange Act.</w:t>
            </w:r>
          </w:p>
        </w:tc>
        <w:tc>
          <w:tcPr>
            <w:tcW w:w="240" w:type="dxa"/>
            <w:vAlign w:val="bottom"/>
          </w:tcPr>
          <w:p>
            <w:pPr>
              <w:spacing w:after="0"/>
              <w:rPr>
                <w:sz w:val="20"/>
                <w:szCs w:val="20"/>
                <w:color w:val="auto"/>
              </w:rPr>
            </w:pPr>
          </w:p>
        </w:tc>
      </w:tr>
    </w:tbl>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ectPr>
          <w:pgSz w:w="11900" w:h="16838" w:orient="portrait"/>
          <w:cols w:equalWidth="0" w:num="1">
            <w:col w:w="11240"/>
          </w:cols>
          <w:pgMar w:left="320" w:top="1178" w:right="339" w:bottom="0" w:gutter="0" w:footer="0" w:header="0"/>
        </w:sectPr>
      </w:pPr>
    </w:p>
    <w:bookmarkStart w:id="1" w:name="page2"/>
    <w:bookmarkEnd w:id="1"/>
    <w:p>
      <w:pPr>
        <w:spacing w:after="0" w:line="207" w:lineRule="exact"/>
        <w:tabs>
          <w:tab w:leader="none" w:pos="1820" w:val="left"/>
          <w:tab w:leader="none" w:pos="2460" w:val="left"/>
          <w:tab w:leader="none" w:pos="3420" w:val="left"/>
          <w:tab w:leader="none" w:pos="6280" w:val="left"/>
          <w:tab w:leader="none" w:pos="6940" w:val="left"/>
        </w:tabs>
        <w:rPr>
          <w:sz w:val="20"/>
          <w:szCs w:val="20"/>
          <w:color w:val="auto"/>
        </w:rPr>
      </w:pPr>
      <w:r>
        <w:rPr>
          <w:rFonts w:ascii="Arial" w:cs="Arial" w:eastAsia="Arial" w:hAnsi="Arial"/>
          <w:sz w:val="18"/>
          <w:szCs w:val="18"/>
          <w:color w:val="auto"/>
        </w:rPr>
        <w:t>SL Green Realty Corp.</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r>
        <w:rPr>
          <w:sz w:val="20"/>
          <w:szCs w:val="20"/>
          <w:color w:val="auto"/>
        </w:rPr>
        <w:tab/>
      </w:r>
      <w:r>
        <w:rPr>
          <w:rFonts w:ascii="Arial" w:cs="Arial" w:eastAsia="Arial" w:hAnsi="Arial"/>
          <w:sz w:val="18"/>
          <w:szCs w:val="18"/>
          <w:color w:val="auto"/>
        </w:rPr>
        <w:t>SL Green Operating Partnership, L.P.</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Registrant</w:t>
            </w:r>
          </w:p>
        </w:tc>
        <w:tc>
          <w:tcPr>
            <w:tcW w:w="16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Trading Symbol</w:t>
            </w:r>
          </w:p>
        </w:tc>
        <w:tc>
          <w:tcPr>
            <w:tcW w:w="4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Each Class</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w:t>
            </w:r>
          </w:p>
        </w:tc>
        <w:tc>
          <w:tcPr>
            <w:tcW w:w="0" w:type="dxa"/>
            <w:vAlign w:val="bottom"/>
          </w:tcPr>
          <w:p>
            <w:pPr>
              <w:spacing w:after="0"/>
              <w:rPr>
                <w:sz w:val="1"/>
                <w:szCs w:val="1"/>
                <w:color w:val="auto"/>
              </w:rPr>
            </w:pPr>
          </w:p>
        </w:tc>
      </w:tr>
      <w:tr>
        <w:trPr>
          <w:trHeight w:val="188"/>
        </w:trPr>
        <w:tc>
          <w:tcPr>
            <w:tcW w:w="2780" w:type="dxa"/>
            <w:vAlign w:val="bottom"/>
            <w:gridSpan w:val="2"/>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224"/>
        </w:trPr>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SL Green Realty Corp.</w:t>
            </w:r>
          </w:p>
        </w:tc>
        <w:tc>
          <w:tcPr>
            <w:tcW w:w="120" w:type="dxa"/>
            <w:vAlign w:val="bottom"/>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SLG</w:t>
            </w:r>
          </w:p>
        </w:tc>
        <w:tc>
          <w:tcPr>
            <w:tcW w:w="100" w:type="dxa"/>
            <w:vAlign w:val="bottom"/>
          </w:tcPr>
          <w:p>
            <w:pPr>
              <w:spacing w:after="0"/>
              <w:rPr>
                <w:sz w:val="19"/>
                <w:szCs w:val="19"/>
                <w:color w:val="auto"/>
              </w:rPr>
            </w:pPr>
          </w:p>
        </w:tc>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20" w:type="dxa"/>
            <w:vAlign w:val="bottom"/>
          </w:tcPr>
          <w:p>
            <w:pPr>
              <w:spacing w:after="0"/>
              <w:rPr>
                <w:sz w:val="19"/>
                <w:szCs w:val="19"/>
                <w:color w:val="auto"/>
              </w:rPr>
            </w:pPr>
          </w:p>
        </w:tc>
        <w:tc>
          <w:tcPr>
            <w:tcW w:w="2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176"/>
        </w:trPr>
        <w:tc>
          <w:tcPr>
            <w:tcW w:w="2780" w:type="dxa"/>
            <w:vAlign w:val="bottom"/>
            <w:gridSpan w:val="2"/>
          </w:tcPr>
          <w:p>
            <w:pPr>
              <w:spacing w:after="0" w:line="176" w:lineRule="exact"/>
              <w:rPr>
                <w:sz w:val="20"/>
                <w:szCs w:val="20"/>
                <w:color w:val="auto"/>
              </w:rPr>
            </w:pPr>
            <w:r>
              <w:rPr>
                <w:rFonts w:ascii="Arial" w:cs="Arial" w:eastAsia="Arial" w:hAnsi="Arial"/>
                <w:sz w:val="18"/>
                <w:szCs w:val="18"/>
                <w:color w:val="auto"/>
              </w:rPr>
              <w:t>SL Green Realty Corp.</w:t>
            </w:r>
          </w:p>
        </w:tc>
        <w:tc>
          <w:tcPr>
            <w:tcW w:w="1600" w:type="dxa"/>
            <w:vAlign w:val="bottom"/>
            <w:gridSpan w:val="2"/>
          </w:tcPr>
          <w:p>
            <w:pPr>
              <w:spacing w:after="0" w:line="176" w:lineRule="exact"/>
              <w:rPr>
                <w:sz w:val="20"/>
                <w:szCs w:val="20"/>
                <w:color w:val="auto"/>
              </w:rPr>
            </w:pPr>
            <w:r>
              <w:rPr>
                <w:rFonts w:ascii="Arial" w:cs="Arial" w:eastAsia="Arial" w:hAnsi="Arial"/>
                <w:sz w:val="18"/>
                <w:szCs w:val="18"/>
                <w:color w:val="auto"/>
              </w:rPr>
              <w:t>SLG.PRI</w:t>
            </w:r>
          </w:p>
        </w:tc>
        <w:tc>
          <w:tcPr>
            <w:tcW w:w="402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9"/>
              </w:rPr>
              <w:t>6.500% Series I Cumulative Redeemable Preferred</w:t>
            </w:r>
          </w:p>
        </w:tc>
        <w:tc>
          <w:tcPr>
            <w:tcW w:w="2780" w:type="dxa"/>
            <w:vAlign w:val="bottom"/>
          </w:tcPr>
          <w:p>
            <w:pPr>
              <w:spacing w:after="0" w:line="176" w:lineRule="exact"/>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Stock, $0.01 par value</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August 5, 2021, 67,158,759 shares of SL Green Realty Corp.'s common stock, par value $0.01 per share, were outstanding. As of August 5, 2021, 689,437 common units of limited partnership interest of SL Green Operating Partnership, L.P. were held by non-affiliates. There is no established trading market for such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This report combines the quarterly reports on Form 10-Q for the period ended June 30, 2021 of SL Green Realty Corp. and SL Green Operating Partnership, L.P. Unless stated otherwise or the context otherwise requires, references to "SL Green Realty Corp.," the "Company" or "SL Green" mean SL Green Realty Corp. and its consolidated subsidiaries, including SL Green Operating Partnership, L.P.; and references to "SL Green Operating Partnership, L.P.," the "Operating Partnership" or "SLGOP" mean SL Green Operating Partnership, L.P. and its consolidated subsidiaries. The terms "we," "our" and "us" mean the Company and all the entities owned or controlled by the Company, including the Operating Partnership.</w:t>
      </w:r>
    </w:p>
    <w:p>
      <w:pPr>
        <w:spacing w:after="0" w:line="6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is a Maryland corporation which operates as a self-administered and self-managed real estate investment trust, or REIT, and is the sole managing general partner of the Operating Partnership. As a general partner of the Operating Partnership, the Company has full, exclusive and complete responsibility and discretion in the day-to-day management and control of the Operating Partnership.</w:t>
      </w:r>
    </w:p>
    <w:p>
      <w:pPr>
        <w:spacing w:after="0" w:line="7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of June 30, 2021, the Company owns 94.69% of the outstanding general and limited partnership interest in the Operating Partnership and owns 9,200,000 Series I Preferred Units of the Operating Partnership. As of June 30, 2021, noncontrolling investors held, in aggregate, a 5.31% limited partnership interest in the Operating Partnership. We refer to these interests as the noncontrolling interests in the Operating Partnership.</w:t>
      </w:r>
    </w:p>
    <w:p>
      <w:pPr>
        <w:spacing w:after="0" w:line="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and the Operating Partnership are managed and operated as one entity. The financial results of the Operating Partnership are consolidated into the financial statements of the Company. The Company has no significant assets other than its investment in the Operating Partnership. Substantially all of our assets are held by, and our operations are conducted through, the Operating Partnership. Therefore, the assets and liabilities of the Company and the Operating Partnership are substantially the same.</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Noncontrolling interests in the Operating Partnership, stockholders' equity of the Company and partners' capital of the Operating Partnership are the main areas of difference between the consolidated financial statements of the Company and those of the Operating Partnership. The common limited partnership interests in the Operating Partnership not owned by the Company are accounted as noncontrolling interests, within mezzanine equity, in the Company's and the Operating Partnership's consolidated financial statements.</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believe combining the quarterly reports on Form 10-Q of the Company and the Operating Partnership into this single report results in the following benefits:</w:t>
      </w:r>
    </w:p>
    <w:p>
      <w:pPr>
        <w:spacing w:after="0" w:line="62" w:lineRule="exact"/>
        <w:rPr>
          <w:sz w:val="20"/>
          <w:szCs w:val="20"/>
          <w:color w:val="auto"/>
        </w:rPr>
      </w:pPr>
    </w:p>
    <w:p>
      <w:pPr>
        <w:ind w:left="980" w:hanging="324"/>
        <w:spacing w:after="0" w:line="25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Combined reports enhance investors' understanding of the Company and the Operating Partnership by enabling investors to view the business as a whole in the same manner as management views and operates the business;</w:t>
      </w:r>
    </w:p>
    <w:p>
      <w:pPr>
        <w:spacing w:after="0" w:line="1"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Combined reports eliminate duplicative disclosure and provides a more streamlined and readable presentation since a substantial portion of the Company's disclosure applies to both the Company and the Operating Partnership; and</w:t>
      </w: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Combined reports create time and cost efficiencies through the preparation of one combined report instead of two separate reports.</w:t>
      </w:r>
    </w:p>
    <w:p>
      <w:pPr>
        <w:spacing w:after="0" w:line="11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To help investors understand the significant differences between the Company and the Operating Partnership, this report presents the following separate sections for each of the Company and the Operating Partnership:</w:t>
      </w:r>
    </w:p>
    <w:p>
      <w:pPr>
        <w:spacing w:after="0" w:line="6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financial statements;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notes to the consolidated financial statements:</w:t>
      </w:r>
    </w:p>
    <w:p>
      <w:pPr>
        <w:spacing w:after="0" w:line="117" w:lineRule="exact"/>
        <w:rPr>
          <w:rFonts w:ascii="Arial" w:cs="Arial" w:eastAsia="Arial" w:hAnsi="Arial"/>
          <w:sz w:val="18"/>
          <w:szCs w:val="18"/>
          <w:color w:val="auto"/>
        </w:rPr>
      </w:pPr>
    </w:p>
    <w:p>
      <w:pPr>
        <w:ind w:left="1460" w:hanging="318"/>
        <w:spacing w:after="0"/>
        <w:tabs>
          <w:tab w:leader="none" w:pos="1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11, Noncontrolling Interests on the Company’s Consolidated Financial Statements;</w:t>
      </w:r>
    </w:p>
    <w:p>
      <w:pPr>
        <w:spacing w:after="0" w:line="23" w:lineRule="exact"/>
        <w:rPr>
          <w:rFonts w:ascii="Arial" w:cs="Arial" w:eastAsia="Arial" w:hAnsi="Arial"/>
          <w:sz w:val="18"/>
          <w:szCs w:val="18"/>
          <w:color w:val="auto"/>
        </w:rPr>
      </w:pPr>
    </w:p>
    <w:p>
      <w:pPr>
        <w:ind w:left="1460" w:hanging="318"/>
        <w:spacing w:after="0"/>
        <w:tabs>
          <w:tab w:leader="none" w:pos="1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12, Stockholders' Equity of the Company; and</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13, Partners' Capital of the Operating Partnership.</w:t>
      </w:r>
    </w:p>
    <w:p>
      <w:pPr>
        <w:spacing w:after="0" w:line="10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This report also includes separate Part I, Item 4. Controls and Procedures sections and separate Exhibit 31 and 32 certifications for each of the Company and the Operating Partnership, respectively, in order to establish that the Chief Executive Officer and the Chief Financial Officer of the Company, in both their capacity as the principal executive officer and principal financial officer of the Company and the principal executive officer and principal financial officer of the general partner of the Operating Partnership, have made the requisite certifications and that the Company and the Operating Partnership are compliant with Rule 13a-15 and Rule 15d-15 of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ind w:firstLine="405"/>
        <w:spacing w:after="0" w:line="291" w:lineRule="auto"/>
        <w:rPr>
          <w:sz w:val="20"/>
          <w:szCs w:val="20"/>
          <w:color w:val="auto"/>
        </w:rPr>
      </w:pPr>
      <w:r>
        <w:rPr>
          <w:rFonts w:ascii="Arial" w:cs="Arial" w:eastAsia="Arial" w:hAnsi="Arial"/>
          <w:sz w:val="16"/>
          <w:szCs w:val="16"/>
          <w:color w:val="auto"/>
        </w:rPr>
        <w:t>On December 4, 2020, our Board of Directors declared an ordinary dividend and a special dividend (together, "the Total Dividend"). The Total Dividend was paid on January 15, 2021 to shareholders of record at the close of business on December 15, 2020 ("the Record Date"). Shareholders had the opportunity to elect to receive the Total Dividend in the form of all cash or all stock, subject to proration if either option was oversubscribed. As a result of the elections made, the cash option was oversubscribed and was prorated. Shareholders who elected to receive cash received, for each share of common stock they owned as of the Record Date, approximately $0.3735 in cash and 0.0279 shares of common stock. Shareholders who elected to receive shares received, for each share of common stock they owned as of the Record Date, approximately 0.0343 shares of common stock. The number of shares issued was calculated based on the volume weighted average trading price of SLG's common stock between January 5-7, 2021, of $58.15 per share.</w:t>
      </w:r>
    </w:p>
    <w:p>
      <w:pPr>
        <w:spacing w:after="0" w:line="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To mitigate the dilutive impact of the common stock issued in the special dividend, the Board of Directors also authorized a reverse stock split, which was effective after markets closed on January 20, 2021. On January 8, 2021, a committee of the Board of Directors calculated the ratio for the reverse stock split of our issued and outstanding shares of common stock as 1.02918-for-1. After the issuance of the dividend and the completion of the reverse stock split, the number of shares of our common stock outstanding was equivalent to the number of total shares outstanding on the Record Date (not including any issuances or repurchases that occurred following the Record Date, as well as any fractional shares that would have been issued but for which cash-in-lieu was paid). However, on a relative basis, some individual shareholders may have more shares of SLG’s common stock, and some individual shareholders may have fewer shares of our common stock, depending on their individual elections to receive cash or stock and as a result of the cash option being oversubscribed.</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All share-related references and measurements including the number of shares outstanding, share prices, number of shares repurchased, earnings per share, dividends per share, and share-based compensation awards, have been retroactively adjusted to reflect the reverse stock split for all periods presented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0140" w:type="dxa"/>
            <w:vAlign w:val="bottom"/>
          </w:tcPr>
          <w:p>
            <w:pPr>
              <w:ind w:left="1500"/>
              <w:spacing w:after="0"/>
              <w:rPr>
                <w:sz w:val="20"/>
                <w:szCs w:val="20"/>
                <w:color w:val="auto"/>
              </w:rPr>
            </w:pPr>
            <w:r>
              <w:rPr>
                <w:rFonts w:ascii="Arial" w:cs="Arial" w:eastAsia="Arial" w:hAnsi="Arial"/>
                <w:sz w:val="18"/>
                <w:szCs w:val="18"/>
                <w:b w:val="1"/>
                <w:bCs w:val="1"/>
                <w:color w:val="auto"/>
              </w:rPr>
              <w:t>SL GREEN REALTY CORP. AND SL GREEN OPERATING PARTNERSHIP, L.P.</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900" w:type="dxa"/>
            <w:vAlign w:val="bottom"/>
          </w:tcPr>
          <w:p>
            <w:pPr>
              <w:spacing w:after="0"/>
              <w:rPr>
                <w:sz w:val="24"/>
                <w:szCs w:val="24"/>
                <w:color w:val="auto"/>
              </w:rPr>
            </w:pPr>
          </w:p>
        </w:tc>
        <w:tc>
          <w:tcPr>
            <w:tcW w:w="10140" w:type="dxa"/>
            <w:vAlign w:val="bottom"/>
          </w:tcPr>
          <w:p>
            <w:pPr>
              <w:ind w:left="37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4"/>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900" w:type="dxa"/>
            <w:vAlign w:val="bottom"/>
          </w:tcPr>
          <w:p>
            <w:pPr>
              <w:ind w:left="20"/>
              <w:spacing w:after="0" w:line="190" w:lineRule="exact"/>
              <w:rPr>
                <w:sz w:val="20"/>
                <w:szCs w:val="20"/>
                <w:color w:val="auto"/>
              </w:rPr>
            </w:pPr>
            <w:r>
              <w:rPr>
                <w:rFonts w:ascii="Arial" w:cs="Arial" w:eastAsia="Arial" w:hAnsi="Arial"/>
                <w:sz w:val="18"/>
                <w:szCs w:val="18"/>
                <w:color w:val="auto"/>
              </w:rPr>
              <w:t>Item 1.</w:t>
            </w:r>
          </w:p>
        </w:tc>
        <w:tc>
          <w:tcPr>
            <w:tcW w:w="10140" w:type="dxa"/>
            <w:vAlign w:val="bottom"/>
          </w:tcPr>
          <w:p>
            <w:pPr>
              <w:ind w:left="160"/>
              <w:spacing w:after="0" w:line="190" w:lineRule="exact"/>
              <w:rPr>
                <w:sz w:val="20"/>
                <w:szCs w:val="20"/>
                <w:color w:val="auto"/>
              </w:rPr>
            </w:pPr>
            <w:r>
              <w:rPr>
                <w:rFonts w:ascii="Arial" w:cs="Arial" w:eastAsia="Arial" w:hAnsi="Arial"/>
                <w:sz w:val="18"/>
                <w:szCs w:val="18"/>
                <w:color w:val="auto"/>
              </w:rPr>
              <w:t>FINANCIAL STATEMENTS</w:t>
            </w:r>
          </w:p>
        </w:tc>
        <w:tc>
          <w:tcPr>
            <w:tcW w:w="180" w:type="dxa"/>
            <w:vAlign w:val="bottom"/>
            <w:gridSpan w:val="2"/>
          </w:tcPr>
          <w:p>
            <w:pPr>
              <w:jc w:val="right"/>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6"/>
                <w:szCs w:val="16"/>
                <w:color w:val="auto"/>
              </w:rPr>
            </w:pPr>
          </w:p>
        </w:tc>
      </w:tr>
      <w:tr>
        <w:trPr>
          <w:trHeight w:val="519"/>
        </w:trPr>
        <w:tc>
          <w:tcPr>
            <w:tcW w:w="900" w:type="dxa"/>
            <w:vAlign w:val="bottom"/>
          </w:tcPr>
          <w:p>
            <w:pPr>
              <w:spacing w:after="0"/>
              <w:rPr>
                <w:sz w:val="24"/>
                <w:szCs w:val="24"/>
                <w:color w:val="auto"/>
              </w:rPr>
            </w:pPr>
          </w:p>
        </w:tc>
        <w:tc>
          <w:tcPr>
            <w:tcW w:w="1014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OF SL GREEN REALTY CORP.</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900" w:type="dxa"/>
            <w:vAlign w:val="bottom"/>
          </w:tcPr>
          <w:p>
            <w:pPr>
              <w:spacing w:after="0"/>
              <w:rPr>
                <w:sz w:val="16"/>
                <w:szCs w:val="16"/>
                <w:color w:val="auto"/>
              </w:rPr>
            </w:pPr>
          </w:p>
        </w:tc>
        <w:tc>
          <w:tcPr>
            <w:tcW w:w="10140" w:type="dxa"/>
            <w:vAlign w:val="bottom"/>
          </w:tcPr>
          <w:p>
            <w:pPr>
              <w:ind w:left="160"/>
              <w:spacing w:after="0" w:line="190" w:lineRule="exact"/>
              <w:rPr>
                <w:sz w:val="20"/>
                <w:szCs w:val="20"/>
                <w:color w:val="auto"/>
              </w:rPr>
            </w:pPr>
            <w:r>
              <w:rPr>
                <w:rFonts w:ascii="Arial" w:cs="Arial" w:eastAsia="Arial" w:hAnsi="Arial"/>
                <w:sz w:val="18"/>
                <w:szCs w:val="18"/>
                <w:color w:val="auto"/>
              </w:rPr>
              <w:t>Consolidated Balance Sheets as of June 30, 2021 (unaudited) and December 31, 2020</w:t>
            </w:r>
          </w:p>
        </w:tc>
        <w:tc>
          <w:tcPr>
            <w:tcW w:w="180" w:type="dxa"/>
            <w:vAlign w:val="bottom"/>
            <w:gridSpan w:val="2"/>
          </w:tcPr>
          <w:p>
            <w:pPr>
              <w:jc w:val="right"/>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Consolidated Statements of Operations for the three and six months ended June 30,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2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Consolidated Statements of Comprehensive Income for the three and six months ended June 30, 2021 and 2020 (unaudited)</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2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Consolidated Statements of Equity for the three and six months ended June 30, 2021 and 2020 (unaudited)</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c>
          <w:tcPr>
            <w:tcW w:w="2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Consolidated Statements of Cash Flows for the six months ended June 30, 2021 and 2020 (unaudited)</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13</w:t>
              </w:r>
            </w:hyperlink>
          </w:p>
        </w:tc>
        <w:tc>
          <w:tcPr>
            <w:tcW w:w="20" w:type="dxa"/>
            <w:vAlign w:val="bottom"/>
          </w:tcPr>
          <w:p>
            <w:pPr>
              <w:spacing w:after="0"/>
              <w:rPr>
                <w:sz w:val="18"/>
                <w:szCs w:val="18"/>
                <w:color w:val="auto"/>
              </w:rPr>
            </w:pPr>
          </w:p>
        </w:tc>
      </w:tr>
      <w:tr>
        <w:trPr>
          <w:trHeight w:val="519"/>
        </w:trPr>
        <w:tc>
          <w:tcPr>
            <w:tcW w:w="900" w:type="dxa"/>
            <w:vAlign w:val="bottom"/>
          </w:tcPr>
          <w:p>
            <w:pPr>
              <w:spacing w:after="0"/>
              <w:rPr>
                <w:sz w:val="24"/>
                <w:szCs w:val="24"/>
                <w:color w:val="auto"/>
              </w:rPr>
            </w:pPr>
          </w:p>
        </w:tc>
        <w:tc>
          <w:tcPr>
            <w:tcW w:w="1014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OF SL GREEN OPERATING PARTNERSHIP,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900" w:type="dxa"/>
            <w:vAlign w:val="bottom"/>
          </w:tcPr>
          <w:p>
            <w:pPr>
              <w:spacing w:after="0"/>
              <w:rPr>
                <w:sz w:val="16"/>
                <w:szCs w:val="16"/>
                <w:color w:val="auto"/>
              </w:rPr>
            </w:pPr>
          </w:p>
        </w:tc>
        <w:tc>
          <w:tcPr>
            <w:tcW w:w="10140" w:type="dxa"/>
            <w:vAlign w:val="bottom"/>
          </w:tcPr>
          <w:p>
            <w:pPr>
              <w:ind w:left="160"/>
              <w:spacing w:after="0" w:line="190" w:lineRule="exact"/>
              <w:rPr>
                <w:sz w:val="20"/>
                <w:szCs w:val="20"/>
                <w:color w:val="auto"/>
              </w:rPr>
            </w:pPr>
            <w:r>
              <w:rPr>
                <w:rFonts w:ascii="Arial" w:cs="Arial" w:eastAsia="Arial" w:hAnsi="Arial"/>
                <w:sz w:val="18"/>
                <w:szCs w:val="18"/>
                <w:color w:val="auto"/>
              </w:rPr>
              <w:t>Consolidated Balance Sheets as of June 30, 2021 (unaudited) and December 31, 2020</w:t>
            </w:r>
          </w:p>
        </w:tc>
        <w:tc>
          <w:tcPr>
            <w:tcW w:w="180" w:type="dxa"/>
            <w:vAlign w:val="bottom"/>
            <w:tcBorders>
              <w:bottom w:val="single" w:sz="8" w:color="0000FF"/>
            </w:tcBorders>
            <w:gridSpan w:val="2"/>
          </w:tcPr>
          <w:p>
            <w:pPr>
              <w:jc w:val="right"/>
              <w:spacing w:after="0" w:line="190" w:lineRule="exact"/>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c>
          <w:tcPr>
            <w:tcW w:w="20" w:type="dxa"/>
            <w:vAlign w:val="bottom"/>
          </w:tcPr>
          <w:p>
            <w:pPr>
              <w:spacing w:after="0"/>
              <w:rPr>
                <w:sz w:val="16"/>
                <w:szCs w:val="16"/>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Consolidated Statements of Operations for the three and six months ended June 30, 2021 and 2020 (unaudited)</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18</w:t>
              </w:r>
            </w:hyperlink>
          </w:p>
        </w:tc>
        <w:tc>
          <w:tcPr>
            <w:tcW w:w="2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Consolidated Statements of Comprehensive Income for the three and six months ended June 30, 2021 and 2020 (unaudited)</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19</w:t>
              </w:r>
            </w:hyperlink>
          </w:p>
        </w:tc>
        <w:tc>
          <w:tcPr>
            <w:tcW w:w="2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Consolidated Statements of Capital for the three and six months ended June 30, 2021 and 2020 (unaudited)</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20</w:t>
              </w:r>
            </w:hyperlink>
          </w:p>
        </w:tc>
        <w:tc>
          <w:tcPr>
            <w:tcW w:w="2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Consolidated Statements of Cash Flows for the six months ended June 30, 2021 and 2020 (unaudited)</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22</w:t>
              </w:r>
            </w:hyperlink>
          </w:p>
        </w:tc>
        <w:tc>
          <w:tcPr>
            <w:tcW w:w="2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Notes to Consolidated Financial Statements (unaudited)</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rFonts w:ascii="Arial" w:cs="Arial" w:eastAsia="Arial" w:hAnsi="Arial"/>
                <w:sz w:val="18"/>
                <w:szCs w:val="18"/>
                <w:color w:val="auto"/>
              </w:rPr>
            </w:pPr>
            <w:hyperlink w:anchor="page63">
              <w:r>
                <w:rPr>
                  <w:rFonts w:ascii="Arial" w:cs="Arial" w:eastAsia="Arial" w:hAnsi="Arial"/>
                  <w:sz w:val="18"/>
                  <w:szCs w:val="18"/>
                  <w:color w:val="auto"/>
                </w:rPr>
                <w:t>Item 2.</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64</w:t>
              </w:r>
            </w:hyperlink>
          </w:p>
        </w:tc>
        <w:tc>
          <w:tcPr>
            <w:tcW w:w="20" w:type="dxa"/>
            <w:vAlign w:val="bottom"/>
          </w:tcPr>
          <w:p>
            <w:pPr>
              <w:spacing w:after="0"/>
              <w:rPr>
                <w:sz w:val="18"/>
                <w:szCs w:val="18"/>
                <w:color w:val="auto"/>
              </w:rPr>
            </w:pPr>
          </w:p>
        </w:tc>
      </w:tr>
      <w:tr>
        <w:trPr>
          <w:trHeight w:val="209"/>
        </w:trPr>
        <w:tc>
          <w:tcPr>
            <w:tcW w:w="900" w:type="dxa"/>
            <w:vAlign w:val="bottom"/>
          </w:tcPr>
          <w:p>
            <w:pPr>
              <w:ind w:left="20"/>
              <w:spacing w:after="0"/>
              <w:rPr>
                <w:rFonts w:ascii="Arial" w:cs="Arial" w:eastAsia="Arial" w:hAnsi="Arial"/>
                <w:sz w:val="18"/>
                <w:szCs w:val="18"/>
                <w:color w:val="auto"/>
              </w:rPr>
            </w:pPr>
            <w:hyperlink w:anchor="page79">
              <w:r>
                <w:rPr>
                  <w:rFonts w:ascii="Arial" w:cs="Arial" w:eastAsia="Arial" w:hAnsi="Arial"/>
                  <w:sz w:val="18"/>
                  <w:szCs w:val="18"/>
                  <w:color w:val="auto"/>
                </w:rPr>
                <w:t>Item 3.</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80</w:t>
              </w:r>
            </w:hyperlink>
          </w:p>
        </w:tc>
        <w:tc>
          <w:tcPr>
            <w:tcW w:w="20" w:type="dxa"/>
            <w:vAlign w:val="bottom"/>
          </w:tcPr>
          <w:p>
            <w:pPr>
              <w:spacing w:after="0"/>
              <w:rPr>
                <w:sz w:val="18"/>
                <w:szCs w:val="18"/>
                <w:color w:val="auto"/>
              </w:rPr>
            </w:pPr>
          </w:p>
        </w:tc>
      </w:tr>
      <w:tr>
        <w:trPr>
          <w:trHeight w:val="209"/>
        </w:trPr>
        <w:tc>
          <w:tcPr>
            <w:tcW w:w="900" w:type="dxa"/>
            <w:vAlign w:val="bottom"/>
          </w:tcPr>
          <w:p>
            <w:pPr>
              <w:ind w:left="20"/>
              <w:spacing w:after="0"/>
              <w:rPr>
                <w:rFonts w:ascii="Arial" w:cs="Arial" w:eastAsia="Arial" w:hAnsi="Arial"/>
                <w:sz w:val="18"/>
                <w:szCs w:val="18"/>
                <w:color w:val="auto"/>
              </w:rPr>
            </w:pPr>
            <w:hyperlink w:anchor="page80">
              <w:r>
                <w:rPr>
                  <w:rFonts w:ascii="Arial" w:cs="Arial" w:eastAsia="Arial" w:hAnsi="Arial"/>
                  <w:sz w:val="18"/>
                  <w:szCs w:val="18"/>
                  <w:color w:val="auto"/>
                </w:rPr>
                <w:t>Item 4.</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rPr>
              <w:t>Controls and Procedures (SL Green Realty Corp. and SL Green Operating Partnership, L.P.)</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81</w:t>
              </w:r>
            </w:hyperlink>
          </w:p>
        </w:tc>
        <w:tc>
          <w:tcPr>
            <w:tcW w:w="20" w:type="dxa"/>
            <w:vAlign w:val="bottom"/>
          </w:tcPr>
          <w:p>
            <w:pPr>
              <w:spacing w:after="0"/>
              <w:rPr>
                <w:sz w:val="18"/>
                <w:szCs w:val="18"/>
                <w:color w:val="auto"/>
              </w:rPr>
            </w:pPr>
          </w:p>
        </w:tc>
      </w:tr>
      <w:tr>
        <w:trPr>
          <w:trHeight w:val="249"/>
        </w:trPr>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0140" w:type="dxa"/>
            <w:vAlign w:val="bottom"/>
          </w:tcPr>
          <w:p>
            <w:pPr>
              <w:ind w:left="160"/>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0"/>
        </w:trPr>
        <w:tc>
          <w:tcPr>
            <w:tcW w:w="900" w:type="dxa"/>
            <w:vAlign w:val="bottom"/>
          </w:tcPr>
          <w:p>
            <w:pPr>
              <w:ind w:left="20"/>
              <w:spacing w:after="0" w:line="190" w:lineRule="exact"/>
              <w:rPr>
                <w:rFonts w:ascii="Arial" w:cs="Arial" w:eastAsia="Arial" w:hAnsi="Arial"/>
                <w:sz w:val="18"/>
                <w:szCs w:val="18"/>
                <w:color w:val="auto"/>
              </w:rPr>
            </w:pPr>
            <w:hyperlink w:anchor="page82">
              <w:r>
                <w:rPr>
                  <w:rFonts w:ascii="Arial" w:cs="Arial" w:eastAsia="Arial" w:hAnsi="Arial"/>
                  <w:sz w:val="18"/>
                  <w:szCs w:val="18"/>
                  <w:color w:val="auto"/>
                </w:rPr>
                <w:t>Item 1.</w:t>
              </w:r>
            </w:hyperlink>
          </w:p>
        </w:tc>
        <w:tc>
          <w:tcPr>
            <w:tcW w:w="10140" w:type="dxa"/>
            <w:vAlign w:val="bottom"/>
          </w:tcPr>
          <w:p>
            <w:pPr>
              <w:ind w:left="160"/>
              <w:spacing w:after="0" w:line="190" w:lineRule="exact"/>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jc w:val="right"/>
              <w:spacing w:after="0" w:line="190" w:lineRule="exact"/>
              <w:rPr>
                <w:rFonts w:ascii="Arial" w:cs="Arial" w:eastAsia="Arial" w:hAnsi="Arial"/>
                <w:sz w:val="18"/>
                <w:szCs w:val="18"/>
                <w:color w:val="0000FF"/>
                <w:w w:val="79"/>
              </w:rPr>
            </w:pPr>
            <w:hyperlink w:anchor="page82">
              <w:r>
                <w:rPr>
                  <w:rFonts w:ascii="Arial" w:cs="Arial" w:eastAsia="Arial" w:hAnsi="Arial"/>
                  <w:sz w:val="18"/>
                  <w:szCs w:val="18"/>
                  <w:color w:val="0000FF"/>
                  <w:w w:val="79"/>
                </w:rPr>
                <w:t>82</w:t>
              </w:r>
            </w:hyperlink>
          </w:p>
        </w:tc>
        <w:tc>
          <w:tcPr>
            <w:tcW w:w="20" w:type="dxa"/>
            <w:vAlign w:val="bottom"/>
          </w:tcPr>
          <w:p>
            <w:pPr>
              <w:spacing w:after="0"/>
              <w:rPr>
                <w:sz w:val="16"/>
                <w:szCs w:val="16"/>
                <w:color w:val="auto"/>
              </w:rPr>
            </w:pPr>
          </w:p>
        </w:tc>
      </w:tr>
      <w:tr>
        <w:trPr>
          <w:trHeight w:val="210"/>
        </w:trPr>
        <w:tc>
          <w:tcPr>
            <w:tcW w:w="900" w:type="dxa"/>
            <w:vAlign w:val="bottom"/>
          </w:tcPr>
          <w:p>
            <w:pPr>
              <w:ind w:left="20"/>
              <w:spacing w:after="0"/>
              <w:rPr>
                <w:rFonts w:ascii="Arial" w:cs="Arial" w:eastAsia="Arial" w:hAnsi="Arial"/>
                <w:sz w:val="18"/>
                <w:szCs w:val="18"/>
                <w:color w:val="auto"/>
              </w:rPr>
            </w:pPr>
            <w:hyperlink w:anchor="page82">
              <w:r>
                <w:rPr>
                  <w:rFonts w:ascii="Arial" w:cs="Arial" w:eastAsia="Arial" w:hAnsi="Arial"/>
                  <w:sz w:val="18"/>
                  <w:szCs w:val="18"/>
                  <w:color w:val="auto"/>
                </w:rPr>
                <w:t>Item 1A.</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82</w:t>
              </w:r>
            </w:hyperlink>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rFonts w:ascii="Arial" w:cs="Arial" w:eastAsia="Arial" w:hAnsi="Arial"/>
                <w:sz w:val="18"/>
                <w:szCs w:val="18"/>
                <w:color w:val="auto"/>
              </w:rPr>
            </w:pPr>
            <w:hyperlink w:anchor="page82">
              <w:r>
                <w:rPr>
                  <w:rFonts w:ascii="Arial" w:cs="Arial" w:eastAsia="Arial" w:hAnsi="Arial"/>
                  <w:sz w:val="18"/>
                  <w:szCs w:val="18"/>
                  <w:color w:val="auto"/>
                </w:rPr>
                <w:t>Item 2.</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83</w:t>
              </w:r>
            </w:hyperlink>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rFonts w:ascii="Arial" w:cs="Arial" w:eastAsia="Arial" w:hAnsi="Arial"/>
                <w:sz w:val="18"/>
                <w:szCs w:val="18"/>
                <w:color w:val="auto"/>
              </w:rPr>
            </w:pPr>
            <w:hyperlink w:anchor="page83">
              <w:r>
                <w:rPr>
                  <w:rFonts w:ascii="Arial" w:cs="Arial" w:eastAsia="Arial" w:hAnsi="Arial"/>
                  <w:sz w:val="18"/>
                  <w:szCs w:val="18"/>
                  <w:color w:val="auto"/>
                </w:rPr>
                <w:t>Item 3.</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84</w:t>
              </w:r>
            </w:hyperlink>
          </w:p>
        </w:tc>
        <w:tc>
          <w:tcPr>
            <w:tcW w:w="20" w:type="dxa"/>
            <w:vAlign w:val="bottom"/>
          </w:tcPr>
          <w:p>
            <w:pPr>
              <w:spacing w:after="0"/>
              <w:rPr>
                <w:sz w:val="18"/>
                <w:szCs w:val="18"/>
                <w:color w:val="auto"/>
              </w:rPr>
            </w:pPr>
          </w:p>
        </w:tc>
      </w:tr>
      <w:tr>
        <w:trPr>
          <w:trHeight w:val="209"/>
        </w:trPr>
        <w:tc>
          <w:tcPr>
            <w:tcW w:w="900" w:type="dxa"/>
            <w:vAlign w:val="bottom"/>
          </w:tcPr>
          <w:p>
            <w:pPr>
              <w:ind w:left="20"/>
              <w:spacing w:after="0"/>
              <w:rPr>
                <w:rFonts w:ascii="Arial" w:cs="Arial" w:eastAsia="Arial" w:hAnsi="Arial"/>
                <w:sz w:val="18"/>
                <w:szCs w:val="18"/>
                <w:color w:val="auto"/>
              </w:rPr>
            </w:pPr>
            <w:hyperlink w:anchor="page84">
              <w:r>
                <w:rPr>
                  <w:rFonts w:ascii="Arial" w:cs="Arial" w:eastAsia="Arial" w:hAnsi="Arial"/>
                  <w:sz w:val="18"/>
                  <w:szCs w:val="18"/>
                  <w:color w:val="auto"/>
                </w:rPr>
                <w:t>Item 4.</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85</w:t>
              </w:r>
            </w:hyperlink>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rFonts w:ascii="Arial" w:cs="Arial" w:eastAsia="Arial" w:hAnsi="Arial"/>
                <w:sz w:val="18"/>
                <w:szCs w:val="18"/>
                <w:color w:val="auto"/>
              </w:rPr>
            </w:pPr>
            <w:hyperlink w:anchor="page85">
              <w:r>
                <w:rPr>
                  <w:rFonts w:ascii="Arial" w:cs="Arial" w:eastAsia="Arial" w:hAnsi="Arial"/>
                  <w:sz w:val="18"/>
                  <w:szCs w:val="18"/>
                  <w:color w:val="auto"/>
                </w:rPr>
                <w:t>Item 5.</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86</w:t>
              </w:r>
            </w:hyperlink>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rFonts w:ascii="Arial" w:cs="Arial" w:eastAsia="Arial" w:hAnsi="Arial"/>
                <w:sz w:val="18"/>
                <w:szCs w:val="18"/>
                <w:color w:val="auto"/>
              </w:rPr>
            </w:pPr>
            <w:hyperlink w:anchor="page86">
              <w:r>
                <w:rPr>
                  <w:rFonts w:ascii="Arial" w:cs="Arial" w:eastAsia="Arial" w:hAnsi="Arial"/>
                  <w:sz w:val="18"/>
                  <w:szCs w:val="18"/>
                  <w:color w:val="auto"/>
                </w:rPr>
                <w:t>Item 6.</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87</w:t>
              </w:r>
            </w:hyperlink>
          </w:p>
        </w:tc>
        <w:tc>
          <w:tcPr>
            <w:tcW w:w="2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88</w:t>
              </w:r>
            </w:hyperlink>
          </w:p>
        </w:tc>
        <w:tc>
          <w:tcPr>
            <w:tcW w:w="20" w:type="dxa"/>
            <w:vAlign w:val="bottom"/>
          </w:tcPr>
          <w:p>
            <w:pPr>
              <w:spacing w:after="0"/>
              <w:rPr>
                <w:sz w:val="18"/>
                <w:szCs w:val="18"/>
                <w:color w:val="auto"/>
              </w:rPr>
            </w:pPr>
          </w:p>
        </w:tc>
      </w:tr>
      <w:tr>
        <w:trPr>
          <w:trHeight w:val="1040"/>
        </w:trPr>
        <w:tc>
          <w:tcPr>
            <w:tcW w:w="900" w:type="dxa"/>
            <w:vAlign w:val="bottom"/>
            <w:tcBorders>
              <w:bottom w:val="single" w:sz="8" w:color="9A9A9A"/>
            </w:tcBorders>
          </w:tcPr>
          <w:p>
            <w:pPr>
              <w:spacing w:after="0"/>
              <w:rPr>
                <w:sz w:val="24"/>
                <w:szCs w:val="24"/>
                <w:color w:val="auto"/>
              </w:rPr>
            </w:pPr>
          </w:p>
        </w:tc>
        <w:tc>
          <w:tcPr>
            <w:tcW w:w="10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SL GREEN REALTY CORP. AND SL GREEN OPERATING PARTNERSHIP, L.P.</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w w:val="79"/>
              </w:rPr>
              <w:t>Assets</w:t>
            </w:r>
          </w:p>
        </w:tc>
        <w:tc>
          <w:tcPr>
            <w:tcW w:w="698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Commercial real estate properties, at cost:</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Land and land interests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1,403,399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1,315,832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Building and improvements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4,088,659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4,168,193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Building leasehold and improvements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1,642,595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1,448,134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Right of use asset - financing leases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27,445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55,711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Right of use asset - operating leases</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502,316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7,664,414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7,355,079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(2,008,438)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(1,956,077)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5,655,976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5,399,002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218,337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98,164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106,736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Investments in marketable securities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Tenant and other receivables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40,147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44,507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Related party receivables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36,430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Deferred rents receivable</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304,140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302,791</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7420" w:type="dxa"/>
            <w:vAlign w:val="bottom"/>
            <w:gridSpan w:val="3"/>
            <w:shd w:val="clear" w:color="auto" w:fill="CCEEFF"/>
          </w:tcPr>
          <w:p>
            <w:pPr>
              <w:spacing w:after="0" w:line="168" w:lineRule="exact"/>
              <w:rPr>
                <w:sz w:val="20"/>
                <w:szCs w:val="20"/>
                <w:color w:val="auto"/>
              </w:rPr>
            </w:pPr>
            <w:r>
              <w:rPr>
                <w:rFonts w:ascii="Arial" w:cs="Arial" w:eastAsia="Arial" w:hAnsi="Arial"/>
                <w:sz w:val="16"/>
                <w:szCs w:val="16"/>
                <w:color w:val="auto"/>
                <w:w w:val="92"/>
              </w:rPr>
              <w:t>Debt and preferred equity investments, net of discounts and deferred origination fees of $7,922 and $11,232 and</w:t>
            </w:r>
          </w:p>
        </w:tc>
        <w:tc>
          <w:tcPr>
            <w:tcW w:w="2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1,072,711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1,076,542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allowances of $13,213 and $13,213 in 2021 and 2020, respectively</w:t>
            </w:r>
          </w:p>
        </w:tc>
        <w:tc>
          <w:tcPr>
            <w:tcW w:w="2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Investments in unconsolidated joint ventures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3,209,151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3,823,322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costs, net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161,962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177,168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336,807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448,213</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gridSpan w:val="3"/>
            <w:shd w:val="clear" w:color="auto" w:fill="CCEEFF"/>
          </w:tcPr>
          <w:p>
            <w:pPr>
              <w:ind w:left="120"/>
              <w:spacing w:after="0" w:line="213"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11,166,164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11,707,567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742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Mortgages and other loans payable,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1,857,829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1,979,972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Revolving credit facility, net</w:t>
            </w:r>
          </w:p>
        </w:tc>
        <w:tc>
          <w:tcPr>
            <w:tcW w:w="2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105,262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Unsecured term loans, net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1,496,062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1,495,275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Unsecured notes, net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1,248,930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1,248,219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interest payable</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193,321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302,798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126,929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114,536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118,572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Lease liability - financing leases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124,808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Lease liability - operating leases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443,313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339,458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Dividend and distributions payable</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Security deposits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54,797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53,836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Junior subordinated deferrable interest debentures held by trusts that issued trust preferred securities</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120"/>
              <w:spacing w:after="0" w:line="210" w:lineRule="exact"/>
              <w:rPr>
                <w:sz w:val="20"/>
                <w:szCs w:val="20"/>
                <w:color w:val="auto"/>
              </w:rPr>
            </w:pPr>
            <w:r>
              <w:rPr>
                <w:rFonts w:ascii="Arial" w:cs="Arial" w:eastAsia="Arial" w:hAnsi="Arial"/>
                <w:sz w:val="16"/>
                <w:szCs w:val="16"/>
                <w:color w:val="auto"/>
              </w:rPr>
              <w:t xml:space="preserve">Total liabilities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5,798,703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6,211,341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(unaudited)</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Noncontrolling interests in Operating Partnership</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355,201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358,262</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units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198,503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202,169</w:t>
            </w:r>
          </w:p>
        </w:tc>
        <w:tc>
          <w:tcPr>
            <w:tcW w:w="0" w:type="dxa"/>
            <w:vAlign w:val="bottom"/>
          </w:tcPr>
          <w:p>
            <w:pPr>
              <w:spacing w:after="0"/>
              <w:rPr>
                <w:sz w:val="1"/>
                <w:szCs w:val="1"/>
                <w:color w:val="auto"/>
              </w:rPr>
            </w:pPr>
          </w:p>
        </w:tc>
      </w:tr>
      <w:tr>
        <w:trPr>
          <w:trHeight w:val="257"/>
        </w:trPr>
        <w:tc>
          <w:tcPr>
            <w:tcW w:w="7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SL Green stockholders' equity:</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Series I Preferred Stock, $0.01 par value, $25.00 liquidation preference, 9,200 issued and outstanding at both</w:t>
            </w:r>
          </w:p>
        </w:tc>
        <w:tc>
          <w:tcPr>
            <w:tcW w:w="2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221,932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221,932</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2021 and December 31, 2020</w:t>
            </w:r>
          </w:p>
        </w:tc>
        <w:tc>
          <w:tcPr>
            <w:tcW w:w="2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40" w:type="dxa"/>
            <w:vAlign w:val="bottom"/>
          </w:tcPr>
          <w:p>
            <w:pPr>
              <w:ind w:left="20"/>
              <w:spacing w:after="0" w:line="166" w:lineRule="exact"/>
              <w:rPr>
                <w:sz w:val="20"/>
                <w:szCs w:val="20"/>
                <w:color w:val="auto"/>
              </w:rPr>
            </w:pPr>
            <w:r>
              <w:rPr>
                <w:rFonts w:ascii="Arial" w:cs="Arial" w:eastAsia="Arial" w:hAnsi="Arial"/>
                <w:sz w:val="16"/>
                <w:szCs w:val="16"/>
                <w:color w:val="auto"/>
                <w:w w:val="90"/>
              </w:rPr>
              <w:t>Common stock, $0.01 par value, 160,000 shares authorized and 68,906 and 69,534 issued and outstanding at June</w:t>
            </w: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0"/>
              <w:spacing w:after="0" w:line="162" w:lineRule="exact"/>
              <w:rPr>
                <w:sz w:val="20"/>
                <w:szCs w:val="20"/>
                <w:color w:val="auto"/>
              </w:rPr>
            </w:pPr>
            <w:r>
              <w:rPr>
                <w:rFonts w:ascii="Arial" w:cs="Arial" w:eastAsia="Arial" w:hAnsi="Arial"/>
                <w:sz w:val="16"/>
                <w:szCs w:val="16"/>
                <w:color w:val="auto"/>
                <w:w w:val="95"/>
              </w:rPr>
              <w:t>30, 2021 and December 31, 2020, respectively (including 1,026 and 1,026 shares held in treasury at June 30,</w:t>
            </w:r>
          </w:p>
        </w:tc>
        <w:tc>
          <w:tcPr>
            <w:tcW w:w="2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2021 and December 31, 2020, respectively)</w:t>
            </w:r>
          </w:p>
        </w:tc>
        <w:tc>
          <w:tcPr>
            <w:tcW w:w="2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paid-in-capital</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3,823,290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3,862,949</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Treasury stock at cost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(124,049)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(124,049)</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(66,863)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(67,247)</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934,132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1,015,462</w:t>
            </w:r>
          </w:p>
        </w:tc>
        <w:tc>
          <w:tcPr>
            <w:tcW w:w="0" w:type="dxa"/>
            <w:vAlign w:val="bottom"/>
          </w:tcPr>
          <w:p>
            <w:pPr>
              <w:spacing w:after="0"/>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SL Green stockholders' equity</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4,789,132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4,909,763</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 in other partnerships</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26,032</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4,813,757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4,935,795</w:t>
            </w:r>
          </w:p>
        </w:tc>
        <w:tc>
          <w:tcPr>
            <w:tcW w:w="0" w:type="dxa"/>
            <w:vAlign w:val="bottom"/>
          </w:tcPr>
          <w:p>
            <w:pPr>
              <w:spacing w:after="0"/>
              <w:rPr>
                <w:sz w:val="1"/>
                <w:szCs w:val="1"/>
                <w:color w:val="auto"/>
              </w:rPr>
            </w:pPr>
          </w:p>
        </w:tc>
      </w:tr>
      <w:tr>
        <w:trPr>
          <w:trHeight w:val="212"/>
        </w:trPr>
        <w:tc>
          <w:tcPr>
            <w:tcW w:w="7440" w:type="dxa"/>
            <w:vAlign w:val="bottom"/>
          </w:tcPr>
          <w:p>
            <w:pPr>
              <w:ind w:left="22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11,166,164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11,707,567</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4" w:lineRule="exact"/>
        <w:rPr>
          <w:sz w:val="20"/>
          <w:szCs w:val="20"/>
          <w:color w:val="auto"/>
        </w:rPr>
      </w:pPr>
    </w:p>
    <w:p>
      <w:pPr>
        <w:jc w:val="both"/>
        <w:ind w:left="20" w:right="20" w:firstLine="6"/>
        <w:spacing w:after="0" w:line="218" w:lineRule="auto"/>
        <w:tabs>
          <w:tab w:leader="none" w:pos="169"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The Company's consolidated balance sheets include assets and liabilities of consolidated variable interest entities ("VIEs"). See Note 2. The consolidated balance sheets include the following amounts related to our consolidated VIEs, excluding the Operating Partnership: $179.6 million and $41.2 million of land, $281.0 million and $57.9 million of building and improvements, $2.0 million and $2.0 million of building and leasehold improvements, $53.2 million and $37.8 million of right of use assets, $17.3 million and $10.3 million of accumulated depreciation, $291.4 million and $289.5 million of other assets included in other line items, $377.1 million and $94.0 million of real estate debt, net, $1.1 million and $0.7 million of accrued interest payable, $45.4 million and $29.9 million of lease liabilities, and $23.6 million and $56.6 million of other liabilities included in other line items as of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4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Rental revenue, net</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184,611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195,886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372,700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418,517</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39,380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78,476</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32,129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71,009</w:t>
            </w: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218,107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444,209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568,002</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5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2"/>
              </w:rPr>
              <w:t>Operating expenses, including related party expenses of $3,039 and $5,264 in 2021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43,883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40,897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86,167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94,763</w:t>
            </w: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$2,739 and $6,488 in 2020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Real estate taxes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43,768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41,661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89,179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88,283</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rent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15,198</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Interest expense, net of interest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18,960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42,348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67,564</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57,261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95,941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120,257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164,220</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 loss and other investment reserves, net of recoveries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18,061</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Transaction related costs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general and administrative</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44,949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43,080</w:t>
            </w:r>
          </w:p>
        </w:tc>
        <w:tc>
          <w:tcPr>
            <w:tcW w:w="0" w:type="dxa"/>
            <w:vAlign w:val="bottom"/>
          </w:tcPr>
          <w:p>
            <w:pPr>
              <w:spacing w:after="0"/>
              <w:rPr>
                <w:sz w:val="1"/>
                <w:szCs w:val="1"/>
                <w:color w:val="auto"/>
              </w:rPr>
            </w:pPr>
          </w:p>
        </w:tc>
      </w:tr>
      <w:tr>
        <w:trPr>
          <w:trHeight w:val="207"/>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expenses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196,032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249,757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403,531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496,768</w:t>
            </w:r>
          </w:p>
        </w:tc>
        <w:tc>
          <w:tcPr>
            <w:tcW w:w="0" w:type="dxa"/>
            <w:vAlign w:val="bottom"/>
          </w:tcPr>
          <w:p>
            <w:pPr>
              <w:spacing w:after="0"/>
              <w:rPr>
                <w:sz w:val="1"/>
                <w:szCs w:val="1"/>
                <w:color w:val="auto"/>
              </w:rPr>
            </w:pPr>
          </w:p>
        </w:tc>
      </w:tr>
      <w:tr>
        <w:trPr>
          <w:trHeight w:val="253"/>
        </w:trPr>
        <w:tc>
          <w:tcPr>
            <w:tcW w:w="5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Equity in net loss from unconsolidated joint ventures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(12,970)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(15,834)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(15,013)</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Equity in net gain (loss) on sale of interest in unconsolidated joint venture/real estate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Purchase price and other fair value adjustments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real estate, net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98,960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97,572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137,520</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Depreciable real estate reserves and impairment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2,545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(5,696)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5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117,134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66,627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113,279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193,741</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in the Operating Partnership</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(9,272)</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Noncontrolling interests in other partnerships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units distributions</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207"/>
        </w:trPr>
        <w:tc>
          <w:tcPr>
            <w:tcW w:w="5560" w:type="dxa"/>
            <w:vAlign w:val="bottom"/>
          </w:tcPr>
          <w:p>
            <w:pPr>
              <w:ind w:left="20"/>
              <w:spacing w:after="0"/>
              <w:rPr>
                <w:sz w:val="20"/>
                <w:szCs w:val="20"/>
                <w:color w:val="auto"/>
              </w:rPr>
            </w:pPr>
            <w:r>
              <w:rPr>
                <w:rFonts w:ascii="Arial" w:cs="Arial" w:eastAsia="Arial" w:hAnsi="Arial"/>
                <w:sz w:val="16"/>
                <w:szCs w:val="16"/>
                <w:color w:val="auto"/>
              </w:rPr>
              <w:t>Net income attributable to SL Green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109,069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60,181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105,343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178,720</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Perpetual preferred stock dividends</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(7,475)</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color w:val="auto"/>
              </w:rPr>
              <w:t>Net income attributable to SL Green common stockholders</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105,332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97,868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171,245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59"/>
        </w:trPr>
        <w:tc>
          <w:tcPr>
            <w:tcW w:w="5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68,980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73,538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68,996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74,598</w:t>
            </w:r>
          </w:p>
        </w:tc>
        <w:tc>
          <w:tcPr>
            <w:tcW w:w="0" w:type="dxa"/>
            <w:vAlign w:val="bottom"/>
          </w:tcPr>
          <w:p>
            <w:pPr>
              <w:spacing w:after="0"/>
              <w:rPr>
                <w:sz w:val="1"/>
                <w:szCs w:val="1"/>
                <w:color w:val="auto"/>
              </w:rPr>
            </w:pPr>
          </w:p>
        </w:tc>
      </w:tr>
      <w:tr>
        <w:trPr>
          <w:trHeight w:val="168"/>
        </w:trPr>
        <w:tc>
          <w:tcPr>
            <w:tcW w:w="55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Diluted weighted average common shares and common share equivalents</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73,727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78,066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73,899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79,208</w:t>
            </w: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8"/>
                <w:szCs w:val="18"/>
                <w:color w:val="auto"/>
              </w:rPr>
            </w:pPr>
          </w:p>
        </w:tc>
        <w:tc>
          <w:tcPr>
            <w:tcW w:w="22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117,134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113,279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193,741</w:t>
            </w: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Decrease in unrealized value of derivative instruments, including SL Green's share of joint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(51,313)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(54,325)</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venture derivative instruments</w:t>
            </w: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Increase (decrease) in unrealized value of marketable securities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income</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(50,807)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(56,867)</w:t>
            </w:r>
          </w:p>
        </w:tc>
        <w:tc>
          <w:tcPr>
            <w:tcW w:w="0" w:type="dxa"/>
            <w:vAlign w:val="bottom"/>
          </w:tcPr>
          <w:p>
            <w:pPr>
              <w:spacing w:after="0"/>
              <w:rPr>
                <w:sz w:val="1"/>
                <w:szCs w:val="1"/>
                <w:color w:val="auto"/>
              </w:rPr>
            </w:pPr>
          </w:p>
        </w:tc>
      </w:tr>
      <w:tr>
        <w:trPr>
          <w:trHeight w:val="207"/>
        </w:trPr>
        <w:tc>
          <w:tcPr>
            <w:tcW w:w="61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66,327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65,029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113,477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136,874</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 and preferred units distributions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(15,021)</w:t>
            </w:r>
          </w:p>
        </w:tc>
        <w:tc>
          <w:tcPr>
            <w:tcW w:w="0" w:type="dxa"/>
            <w:vAlign w:val="bottom"/>
          </w:tcPr>
          <w:p>
            <w:pPr>
              <w:spacing w:after="0"/>
              <w:rPr>
                <w:sz w:val="1"/>
                <w:szCs w:val="1"/>
                <w:color w:val="auto"/>
              </w:rPr>
            </w:pPr>
          </w:p>
        </w:tc>
      </w:tr>
      <w:tr>
        <w:trPr>
          <w:trHeight w:val="21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attributable to noncontrolling interests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w:t>
            </w:r>
          </w:p>
        </w:tc>
        <w:tc>
          <w:tcPr>
            <w:tcW w:w="0" w:type="dxa"/>
            <w:vAlign w:val="bottom"/>
          </w:tcPr>
          <w:p>
            <w:pPr>
              <w:spacing w:after="0"/>
              <w:rPr>
                <w:sz w:val="1"/>
                <w:szCs w:val="1"/>
                <w:color w:val="auto"/>
              </w:rPr>
            </w:pPr>
          </w:p>
        </w:tc>
      </w:tr>
      <w:tr>
        <w:trPr>
          <w:trHeight w:val="23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SL Green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61,103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105,727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124,834</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78"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SL Green Realty Corp.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23495</wp:posOffset>
            </wp:positionV>
            <wp:extent cx="3848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ind w:left="24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1"/>
              </w:rPr>
              <w:t>Series I</w:t>
            </w: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Par</w:t>
            </w: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0"/>
              </w:rPr>
              <w:t>Treasury</w:t>
            </w: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7"/>
                <w:szCs w:val="7"/>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Noncontrolling</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89"/>
              </w:rPr>
              <w:t>Preferred</w:t>
            </w: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6"/>
              </w:rPr>
              <w:t>Paid-</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3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In-Capital</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120" w:type="dxa"/>
            <w:vAlign w:val="bottom"/>
            <w:gridSpan w:val="3"/>
          </w:tcPr>
          <w:p>
            <w:pPr>
              <w:ind w:left="20"/>
              <w:spacing w:after="0"/>
              <w:rPr>
                <w:sz w:val="20"/>
                <w:szCs w:val="20"/>
                <w:color w:val="auto"/>
              </w:rPr>
            </w:pPr>
            <w:r>
              <w:rPr>
                <w:rFonts w:ascii="Arial" w:cs="Arial" w:eastAsia="Arial" w:hAnsi="Arial"/>
                <w:sz w:val="11"/>
                <w:szCs w:val="11"/>
                <w:b w:val="1"/>
                <w:bCs w:val="1"/>
                <w:color w:val="auto"/>
                <w:w w:val="97"/>
              </w:rPr>
              <w:t>Comprehensive Loss</w:t>
            </w:r>
          </w:p>
        </w:tc>
        <w:tc>
          <w:tcPr>
            <w:tcW w:w="1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221,932</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3,862,949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center"/>
              <w:ind w:left="320"/>
              <w:spacing w:after="0"/>
              <w:rPr>
                <w:sz w:val="20"/>
                <w:szCs w:val="20"/>
                <w:color w:val="auto"/>
              </w:rPr>
            </w:pPr>
            <w:r>
              <w:rPr>
                <w:rFonts w:ascii="Arial" w:cs="Arial" w:eastAsia="Arial" w:hAnsi="Arial"/>
                <w:sz w:val="13"/>
                <w:szCs w:val="13"/>
                <w:color w:val="auto"/>
                <w:w w:val="90"/>
              </w:rPr>
              <w:t>(67,247)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1,015,462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4,935,795</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(5,225)</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left="340"/>
              <w:spacing w:after="0"/>
              <w:rPr>
                <w:sz w:val="20"/>
                <w:szCs w:val="20"/>
                <w:color w:val="auto"/>
              </w:rPr>
            </w:pPr>
            <w:r>
              <w:rPr>
                <w:rFonts w:ascii="Arial" w:cs="Arial" w:eastAsia="Arial" w:hAnsi="Arial"/>
                <w:sz w:val="13"/>
                <w:szCs w:val="13"/>
                <w:color w:val="auto"/>
                <w:w w:val="85"/>
              </w:rPr>
              <w:t>48,350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48,350</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Preferred dividends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(3,738)</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DRSPP proceeds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0" w:type="dxa"/>
            <w:vAlign w:val="bottom"/>
          </w:tcPr>
          <w:p>
            <w:pPr>
              <w:spacing w:after="0"/>
              <w:rPr>
                <w:sz w:val="1"/>
                <w:szCs w:val="1"/>
                <w:color w:val="auto"/>
              </w:rPr>
            </w:pPr>
          </w:p>
        </w:tc>
      </w:tr>
      <w:tr>
        <w:trPr>
          <w:trHeight w:val="122"/>
        </w:trPr>
        <w:tc>
          <w:tcPr>
            <w:tcW w:w="3120" w:type="dxa"/>
            <w:vAlign w:val="bottom"/>
          </w:tcPr>
          <w:p>
            <w:pPr>
              <w:ind w:left="20"/>
              <w:spacing w:after="0" w:line="122" w:lineRule="exact"/>
              <w:rPr>
                <w:sz w:val="20"/>
                <w:szCs w:val="20"/>
                <w:color w:val="auto"/>
              </w:rPr>
            </w:pPr>
            <w:r>
              <w:rPr>
                <w:rFonts w:ascii="Arial" w:cs="Arial" w:eastAsia="Arial" w:hAnsi="Arial"/>
                <w:sz w:val="13"/>
                <w:szCs w:val="13"/>
                <w:color w:val="auto"/>
                <w:w w:val="98"/>
              </w:rPr>
              <w:t>Reallocation of noncontrolling interest in the Operating</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(26,609)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(26,609)</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Partnership</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Deferred compensation plan and stock awards, net of</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6,728</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forfeitures and tax withholdings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Repurchases of common stock</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(80,297)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(80,310)</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to consolidated joint venture interests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Cash distributions to noncontrolling interests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special dividend paid primarily in stock</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123,529</w:t>
            </w:r>
          </w:p>
        </w:tc>
        <w:tc>
          <w:tcPr>
            <w:tcW w:w="0" w:type="dxa"/>
            <w:vAlign w:val="bottom"/>
          </w:tcPr>
          <w:p>
            <w:pPr>
              <w:spacing w:after="0"/>
              <w:rPr>
                <w:sz w:val="1"/>
                <w:szCs w:val="1"/>
                <w:color w:val="auto"/>
              </w:rPr>
            </w:pPr>
          </w:p>
        </w:tc>
      </w:tr>
      <w:tr>
        <w:trPr>
          <w:trHeight w:val="122"/>
        </w:trPr>
        <w:tc>
          <w:tcPr>
            <w:tcW w:w="3120" w:type="dxa"/>
            <w:vAlign w:val="bottom"/>
          </w:tcPr>
          <w:p>
            <w:pPr>
              <w:ind w:left="20"/>
              <w:spacing w:after="0" w:line="122" w:lineRule="exact"/>
              <w:rPr>
                <w:sz w:val="20"/>
                <w:szCs w:val="20"/>
                <w:color w:val="auto"/>
              </w:rPr>
            </w:pPr>
            <w:r>
              <w:rPr>
                <w:rFonts w:ascii="Arial" w:cs="Arial" w:eastAsia="Arial" w:hAnsi="Arial"/>
                <w:sz w:val="13"/>
                <w:szCs w:val="13"/>
                <w:color w:val="auto"/>
                <w:w w:val="96"/>
              </w:rPr>
              <w:t>Cash distributions declared ($0.910 per common share,</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20" w:type="dxa"/>
            <w:vAlign w:val="bottom"/>
          </w:tcPr>
          <w:p>
            <w:pPr>
              <w:ind w:left="20"/>
              <w:spacing w:after="0" w:line="122" w:lineRule="exact"/>
              <w:rPr>
                <w:sz w:val="20"/>
                <w:szCs w:val="20"/>
                <w:color w:val="auto"/>
              </w:rPr>
            </w:pPr>
            <w:r>
              <w:rPr>
                <w:rFonts w:ascii="Arial" w:cs="Arial" w:eastAsia="Arial" w:hAnsi="Arial"/>
                <w:sz w:val="13"/>
                <w:szCs w:val="13"/>
                <w:color w:val="auto"/>
                <w:w w:val="96"/>
              </w:rPr>
              <w:t>none of which represented a return of capital for federal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(63,312)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(63,312)</w:t>
            </w:r>
          </w:p>
        </w:tc>
        <w:tc>
          <w:tcPr>
            <w:tcW w:w="0" w:type="dxa"/>
            <w:vAlign w:val="bottom"/>
          </w:tcPr>
          <w:p>
            <w:pPr>
              <w:spacing w:after="0"/>
              <w:rPr>
                <w:sz w:val="1"/>
                <w:szCs w:val="1"/>
                <w:color w:val="auto"/>
              </w:rPr>
            </w:pPr>
          </w:p>
        </w:tc>
      </w:tr>
      <w:tr>
        <w:trPr>
          <w:trHeight w:val="16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purposes)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221,932</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69,354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3,913,258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(124,049)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center"/>
              <w:ind w:left="320"/>
              <w:spacing w:after="0"/>
              <w:rPr>
                <w:sz w:val="20"/>
                <w:szCs w:val="20"/>
                <w:color w:val="auto"/>
              </w:rPr>
            </w:pPr>
            <w:r>
              <w:rPr>
                <w:rFonts w:ascii="Arial" w:cs="Arial" w:eastAsia="Arial" w:hAnsi="Arial"/>
                <w:sz w:val="13"/>
                <w:szCs w:val="13"/>
                <w:color w:val="auto"/>
                <w:w w:val="90"/>
              </w:rPr>
              <w:t>(18,897)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918,077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24,594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4,935,620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109,069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109,029</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left="320"/>
              <w:spacing w:after="0"/>
              <w:rPr>
                <w:sz w:val="20"/>
                <w:szCs w:val="20"/>
                <w:color w:val="auto"/>
              </w:rPr>
            </w:pPr>
            <w:r>
              <w:rPr>
                <w:rFonts w:ascii="Arial" w:cs="Arial" w:eastAsia="Arial" w:hAnsi="Arial"/>
                <w:sz w:val="13"/>
                <w:szCs w:val="13"/>
                <w:color w:val="auto"/>
                <w:w w:val="90"/>
              </w:rPr>
              <w:t>(47,966)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(47,966)</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Preferred dividends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(3,737)</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DRSPP proceeds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22"/>
        </w:trPr>
        <w:tc>
          <w:tcPr>
            <w:tcW w:w="3120" w:type="dxa"/>
            <w:vAlign w:val="bottom"/>
          </w:tcPr>
          <w:p>
            <w:pPr>
              <w:ind w:left="20"/>
              <w:spacing w:after="0" w:line="122" w:lineRule="exact"/>
              <w:rPr>
                <w:sz w:val="20"/>
                <w:szCs w:val="20"/>
                <w:color w:val="auto"/>
              </w:rPr>
            </w:pPr>
            <w:r>
              <w:rPr>
                <w:rFonts w:ascii="Arial" w:cs="Arial" w:eastAsia="Arial" w:hAnsi="Arial"/>
                <w:sz w:val="13"/>
                <w:szCs w:val="13"/>
                <w:color w:val="auto"/>
                <w:w w:val="98"/>
              </w:rPr>
              <w:t>Reallocation of noncontrolling interest in the Operating</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(5,866)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(5,866)</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Partnership</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Deferred compensation plan and stock awards, net of</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7,591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7,591</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forfeitures and tax withholdings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Repurchases of common stock</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(97,675)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(20,887)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(118,577)</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to consolidated joint venture interests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Cash distributions to noncontrolling interests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6"/>
              </w:rPr>
              <w:t>Cash distributions declared ($0.910 per common share,</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1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6"/>
              </w:rPr>
              <w:t>none of which represented a return of capital for federal</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(62,524)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(62,524)</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purposes)</w:t>
            </w: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221,932</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67,880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690</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3,823,290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(124,049)</w:t>
            </w:r>
          </w:p>
        </w:tc>
        <w:tc>
          <w:tcPr>
            <w:tcW w:w="10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center"/>
              <w:ind w:left="320"/>
              <w:spacing w:after="0"/>
              <w:rPr>
                <w:sz w:val="20"/>
                <w:szCs w:val="20"/>
                <w:color w:val="auto"/>
              </w:rPr>
            </w:pPr>
            <w:r>
              <w:rPr>
                <w:rFonts w:ascii="Arial" w:cs="Arial" w:eastAsia="Arial" w:hAnsi="Arial"/>
                <w:sz w:val="13"/>
                <w:szCs w:val="13"/>
                <w:color w:val="auto"/>
                <w:w w:val="90"/>
              </w:rPr>
              <w:t>(66,863)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934,132</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24,625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4,813,757</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18"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SL Green Realty Corp. Stockholders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5"/>
          </w:tcPr>
          <w:p>
            <w:pPr>
              <w:ind w:left="24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1"/>
              </w:rPr>
              <w:t>Series I</w:t>
            </w: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Par</w:t>
            </w: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0"/>
              </w:rPr>
              <w:t>Treasury</w:t>
            </w:r>
          </w:p>
        </w:tc>
        <w:tc>
          <w:tcPr>
            <w:tcW w:w="1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7"/>
                <w:szCs w:val="7"/>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Noncontrolling</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89"/>
              </w:rPr>
              <w:t>Preferred</w:t>
            </w: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6"/>
              </w:rPr>
              <w:t>Paid-</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3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In-Capital</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120" w:type="dxa"/>
            <w:vAlign w:val="bottom"/>
            <w:gridSpan w:val="3"/>
          </w:tcPr>
          <w:p>
            <w:pPr>
              <w:ind w:left="20"/>
              <w:spacing w:after="0"/>
              <w:rPr>
                <w:sz w:val="20"/>
                <w:szCs w:val="20"/>
                <w:color w:val="auto"/>
              </w:rPr>
            </w:pPr>
            <w:r>
              <w:rPr>
                <w:rFonts w:ascii="Arial" w:cs="Arial" w:eastAsia="Arial" w:hAnsi="Arial"/>
                <w:sz w:val="11"/>
                <w:szCs w:val="11"/>
                <w:b w:val="1"/>
                <w:bCs w:val="1"/>
                <w:color w:val="auto"/>
                <w:w w:val="97"/>
              </w:rPr>
              <w:t>Comprehensive Loss</w:t>
            </w:r>
          </w:p>
        </w:tc>
        <w:tc>
          <w:tcPr>
            <w:tcW w:w="1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221,932</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4,286,395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(28,485)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1,084,719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5,517,198</w:t>
            </w:r>
          </w:p>
        </w:tc>
        <w:tc>
          <w:tcPr>
            <w:tcW w:w="0" w:type="dxa"/>
            <w:vAlign w:val="bottom"/>
          </w:tcPr>
          <w:p>
            <w:pPr>
              <w:spacing w:after="0"/>
              <w:rPr>
                <w:sz w:val="1"/>
                <w:szCs w:val="1"/>
                <w:color w:val="auto"/>
              </w:rPr>
            </w:pPr>
          </w:p>
        </w:tc>
      </w:tr>
      <w:tr>
        <w:trPr>
          <w:trHeight w:val="16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Cumulative adjustment upon adoption of ASC 326</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(39,184)</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January 1, 2020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221,932</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4,286,395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(28,485)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1,045,535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5,478,014</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118,539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118,246</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Acquisition of subsidiary interest from noncontrolling</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(3,123)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1,587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(1,536)</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(52,383)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(52,383)</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dividends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DRSPP proceeds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Conversion of units in the Operating Partnership for</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20" w:type="dxa"/>
            <w:vAlign w:val="bottom"/>
          </w:tcPr>
          <w:p>
            <w:pPr>
              <w:ind w:left="20"/>
              <w:spacing w:after="0" w:line="122" w:lineRule="exact"/>
              <w:rPr>
                <w:sz w:val="20"/>
                <w:szCs w:val="20"/>
                <w:color w:val="auto"/>
              </w:rPr>
            </w:pPr>
            <w:r>
              <w:rPr>
                <w:rFonts w:ascii="Arial" w:cs="Arial" w:eastAsia="Arial" w:hAnsi="Arial"/>
                <w:sz w:val="13"/>
                <w:szCs w:val="13"/>
                <w:color w:val="auto"/>
                <w:w w:val="98"/>
              </w:rPr>
              <w:t>Reallocation of noncontrolling interest in the Operating</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38,529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38,529</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Partnership</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Deferred compensation plan and stock awards, net of</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5,503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5,502</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forfeitures and tax withholdings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Repurchases of common stock</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(142,719)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(76,831)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(219,576)</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to consolidated joint venture interests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3,814</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Cash distributions to noncontrolling interests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6"/>
              </w:rPr>
              <w:t>Cash distributions declared ($0.304 per common share,</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1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6"/>
              </w:rPr>
              <w:t>none of which represented a return of capital for federal</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(22,665)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(22,665)</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purposes)</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12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Balance at March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221,932</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74,365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4,146,306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(124,049)</w:t>
            </w:r>
          </w:p>
        </w:tc>
        <w:tc>
          <w:tcPr>
            <w:tcW w:w="10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(80,868)</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1,099,369</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80,499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5,343,965</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61,204</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(1,503)</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dividends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(3,737)</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DRSPP proceeds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Conversion of units in the Operating Partnership for</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8,659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8,660</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120" w:type="dxa"/>
            <w:vAlign w:val="bottom"/>
          </w:tcPr>
          <w:p>
            <w:pPr>
              <w:ind w:left="20"/>
              <w:spacing w:after="0" w:line="122" w:lineRule="exact"/>
              <w:rPr>
                <w:sz w:val="20"/>
                <w:szCs w:val="20"/>
                <w:color w:val="auto"/>
              </w:rPr>
            </w:pPr>
            <w:r>
              <w:rPr>
                <w:rFonts w:ascii="Arial" w:cs="Arial" w:eastAsia="Arial" w:hAnsi="Arial"/>
                <w:sz w:val="13"/>
                <w:szCs w:val="13"/>
                <w:color w:val="auto"/>
                <w:w w:val="98"/>
              </w:rPr>
              <w:t>Reallocation of noncontrolling interest in the Operating</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(7,385)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(7,385)</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Partnership</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Deferred compensation plan and stock awards, net of</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7,990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7,991</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forfeitures and tax withholdings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Repurchases of common stock</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(141,262)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(141,292)</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to consolidated joint venture interests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4,372</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Arial" w:cs="Arial" w:eastAsia="Arial" w:hAnsi="Arial"/>
                <w:sz w:val="13"/>
                <w:szCs w:val="13"/>
                <w:color w:val="auto"/>
              </w:rPr>
              <w:t>Cash distributions to noncontrolling interests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6"/>
              </w:rPr>
              <w:t>Cash distributions declared ($0.911 per common share,</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1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6"/>
              </w:rPr>
              <w:t>none of which represented a return of capital for federal</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(66,607)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(66,607)</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purposes)</w:t>
            </w: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221,932</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71,586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748</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4,021,891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(124,049)</w:t>
            </w:r>
          </w:p>
        </w:tc>
        <w:tc>
          <w:tcPr>
            <w:tcW w:w="10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(82,371)</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1,081,821</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85,790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5,205,762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Borders>
              <w:bottom w:val="single" w:sz="8" w:color="auto"/>
            </w:tcBorders>
          </w:tcPr>
          <w:p>
            <w:pPr>
              <w:spacing w:after="0"/>
              <w:rPr>
                <w:sz w:val="18"/>
                <w:szCs w:val="18"/>
                <w:color w:val="auto"/>
              </w:rPr>
            </w:pPr>
          </w:p>
        </w:tc>
      </w:tr>
      <w:tr>
        <w:trPr>
          <w:trHeight w:val="207"/>
        </w:trPr>
        <w:tc>
          <w:tcPr>
            <w:tcW w:w="7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7"/>
                <w:szCs w:val="17"/>
                <w:color w:val="auto"/>
              </w:rPr>
            </w:pPr>
          </w:p>
        </w:tc>
      </w:tr>
      <w:tr>
        <w:trPr>
          <w:trHeight w:val="199"/>
        </w:trPr>
        <w:tc>
          <w:tcPr>
            <w:tcW w:w="7780" w:type="dxa"/>
            <w:vAlign w:val="bottom"/>
          </w:tcPr>
          <w:p>
            <w:pPr>
              <w:ind w:left="140"/>
              <w:spacing w:after="0"/>
              <w:rPr>
                <w:sz w:val="20"/>
                <w:szCs w:val="20"/>
                <w:color w:val="auto"/>
              </w:rPr>
            </w:pPr>
            <w:r>
              <w:rPr>
                <w:rFonts w:ascii="Arial" w:cs="Arial" w:eastAsia="Arial" w:hAnsi="Arial"/>
                <w:sz w:val="16"/>
                <w:szCs w:val="16"/>
                <w:b w:val="1"/>
                <w:bCs w:val="1"/>
                <w:color w:val="auto"/>
              </w:rPr>
              <w:t>Operating Activities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113,279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193,741</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127,417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169,381</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Equity in net loss from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15,834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15,013</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of cumulative earnings from unconsolidated joint ventures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Equity in net loss on sale of interest in unconsolidated joint venture interest/real estate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4,158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price and other fair value adjustments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Depreciable real estate reserves and impairment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5,696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sale of real estate, net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(97,572)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(137,520)</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Loan loss reserves and other investment reserves, net of recoveries</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18,061</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rents receivable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Non-cash lease expense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7,538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6,547</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non-cash adjustments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18,137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Tenant and other receivables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(57,325)</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Related party receivables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(2,055)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4,395</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lease costs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(3,602)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(11,143)</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15,550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(17,363)</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expenses, other liabilities and security deposits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(60,592)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39,318</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888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(3,503)</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liability - operating leases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(31,232)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(5,728)</w:t>
            </w:r>
          </w:p>
        </w:tc>
      </w:tr>
      <w:tr>
        <w:trPr>
          <w:trHeight w:val="20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103,264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224,305</w:t>
            </w:r>
          </w:p>
        </w:tc>
      </w:tr>
      <w:tr>
        <w:trPr>
          <w:trHeight w:val="19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Acquisitions of real estate property</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(28,688)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(86,846)</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land, buildings and improvements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(118,076)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(183,297)</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(38,198)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(18,318)</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in excess of cumulative earnings from unconsolidated joint ventures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417,457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76,091</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Net proceeds from disposition of real estate/joint venture interest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398,173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249,820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assumed from consolidation of real estate investment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9,475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sale or redemption of marketable securities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4,528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Other investments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(4,108)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(7,324)</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Origination of debt and preferred equity investments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(74,148)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(265,574)</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Repayments or redemption of debt and preferred equity investments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85,106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639,267</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641,521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403,819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Financing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mortgages and other loans payable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19,772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642,196</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mortgages and other loans payable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(364,994)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(266,795)</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revolving credit facility and unsecured notes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570,000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1,275,000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revolving credit facility and unsecured notes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(680,000)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(815,000)</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stock options exercised and DRSPP issuance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(178,666)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(352,048)</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Redemption of preferred stock</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(3,631)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(59,800)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OP units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(18,066)</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 in other partnerships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from noncontrolling interests in other partnerships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8,186</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Acquisition of subsidiary interest from noncontrolling interest</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(1,536)</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in the Operating Partnership</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(5,110)</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Dividends paid on common and preferred stock</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0"/>
              </w:rPr>
              <w:t>(138,373)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(153,474)</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withholdings related to restricted share awards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Deferred loan costs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(16,510)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of on financing lease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0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(801,079)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231,729</w:t>
            </w: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(56,294)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859,853</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372,795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241,430</w:t>
            </w: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316,501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1,101,283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Conversion of units in the Operating Partnership</w:t>
            </w: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8,744</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units in the Operating Partnership for a joint venture sale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Exchange of preferred equity investment for real estate or equity in joint venture</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119,467</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special dividend paid primarily in stock</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123,529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Tenant improvements and capital expenditures payable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8,911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6,653</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adjustment to noncontrolling interest in the Operating Partnership</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31,144</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Consolidation of real estate investment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119,444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Reversal of assets held for sale</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391,664</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Extinguishment of debt in connection with property dispositions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53,548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Seller financed purchases</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Debt and preferred equity investments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5,184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4,638</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of assets related to assets held for sale</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49,687</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Transfer of liabilities related to assets held for sale</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38,272</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Removal of fully depreciated commercial real estate properties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Share repurchase payable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20,221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8,820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Recognition of right of use assets and related lease liabilities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119,711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59" w:lineRule="exact"/>
        <w:rPr>
          <w:sz w:val="20"/>
          <w:szCs w:val="20"/>
          <w:color w:val="auto"/>
        </w:rPr>
      </w:pPr>
    </w:p>
    <w:p>
      <w:pPr>
        <w:ind w:firstLine="21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7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218,337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1,015,348</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98,164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85,935</w:t>
            </w:r>
          </w:p>
        </w:tc>
      </w:tr>
      <w:tr>
        <w:trPr>
          <w:trHeight w:val="212"/>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cash, cash equivalents, and restricted cash</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316,501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1,101,283</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w w:val="79"/>
              </w:rPr>
              <w:t>Assets</w:t>
            </w:r>
          </w:p>
        </w:tc>
        <w:tc>
          <w:tcPr>
            <w:tcW w:w="698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Commercial real estate properties, at cost:</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Land and land interests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1,403,399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1,315,832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Building and improvements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4,088,659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4,168,193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Building leasehold and improvements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1,642,595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1,448,134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Right of use asset - financing leases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27,445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55,711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Right of use asset - operating leases</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502,316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367,209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7,664,414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7,355,079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(2,008,438)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(1,956,077)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5,655,976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5,399,002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218,337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98,164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106,736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Investments in marketable securities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Tenant and other receivables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40,147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44,507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Related party receivables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36,430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Deferred rents receivable</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304,140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302,791</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7420" w:type="dxa"/>
            <w:vAlign w:val="bottom"/>
            <w:gridSpan w:val="3"/>
            <w:shd w:val="clear" w:color="auto" w:fill="CCEEFF"/>
          </w:tcPr>
          <w:p>
            <w:pPr>
              <w:spacing w:after="0" w:line="168" w:lineRule="exact"/>
              <w:rPr>
                <w:sz w:val="20"/>
                <w:szCs w:val="20"/>
                <w:color w:val="auto"/>
              </w:rPr>
            </w:pPr>
            <w:r>
              <w:rPr>
                <w:rFonts w:ascii="Arial" w:cs="Arial" w:eastAsia="Arial" w:hAnsi="Arial"/>
                <w:sz w:val="16"/>
                <w:szCs w:val="16"/>
                <w:color w:val="auto"/>
                <w:w w:val="92"/>
              </w:rPr>
              <w:t>Debt and preferred equity investments, net of discounts and deferred origination fees of $7,922 and $11,232 and</w:t>
            </w:r>
          </w:p>
        </w:tc>
        <w:tc>
          <w:tcPr>
            <w:tcW w:w="2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1,072,711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1,076,542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allowances of $13,213 and $13,213 in 2021 and 2020, respectively</w:t>
            </w:r>
          </w:p>
        </w:tc>
        <w:tc>
          <w:tcPr>
            <w:tcW w:w="2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Investments in unconsolidated joint ventures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3,209,151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3,823,322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costs, net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161,962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177,168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336,807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448,213</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gridSpan w:val="3"/>
            <w:shd w:val="clear" w:color="auto" w:fill="CCEEFF"/>
          </w:tcPr>
          <w:p>
            <w:pPr>
              <w:ind w:left="120"/>
              <w:spacing w:after="0" w:line="213"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11,166,164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11,707,567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4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Mortgages and other loans payable,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1,857,829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1,979,972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Revolving credit facility, net</w:t>
            </w:r>
          </w:p>
        </w:tc>
        <w:tc>
          <w:tcPr>
            <w:tcW w:w="2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105,262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Unsecured term loans, net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1,496,062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1,495,275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Unsecured notes, net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1,248,930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1,248,219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interest payable</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193,321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302,798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126,929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114,536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118,572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Lease liability - financing leases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124,808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Lease liability - operating leases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443,313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339,458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Dividend and distributions payable</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Security deposits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54,797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53,836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Junior subordinated deferrable interest debentures held by trusts that issued trust preferred securities</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ind w:left="120"/>
              <w:spacing w:after="0" w:line="210" w:lineRule="exact"/>
              <w:rPr>
                <w:sz w:val="20"/>
                <w:szCs w:val="20"/>
                <w:color w:val="auto"/>
              </w:rPr>
            </w:pPr>
            <w:r>
              <w:rPr>
                <w:rFonts w:ascii="Arial" w:cs="Arial" w:eastAsia="Arial" w:hAnsi="Arial"/>
                <w:sz w:val="16"/>
                <w:szCs w:val="16"/>
                <w:color w:val="auto"/>
              </w:rPr>
              <w:t xml:space="preserve">Total liabilities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5,798,703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6,211,341</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20" w:type="dxa"/>
            <w:vAlign w:val="bottom"/>
            <w:gridSpan w:val="3"/>
          </w:tcPr>
          <w:p>
            <w:pPr>
              <w:spacing w:after="0" w:line="166" w:lineRule="exact"/>
              <w:rPr>
                <w:sz w:val="20"/>
                <w:szCs w:val="20"/>
                <w:color w:val="auto"/>
              </w:rPr>
            </w:pPr>
            <w:r>
              <w:rPr>
                <w:rFonts w:ascii="Arial" w:cs="Arial" w:eastAsia="Arial" w:hAnsi="Arial"/>
                <w:sz w:val="16"/>
                <w:szCs w:val="16"/>
                <w:color w:val="auto"/>
                <w:w w:val="93"/>
              </w:rPr>
              <w:t>Limited partner interests in SLGOP (3,808 and 3,939 limited partner common units outstanding at June 30, 2021</w:t>
            </w:r>
          </w:p>
        </w:tc>
        <w:tc>
          <w:tcPr>
            <w:tcW w:w="2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355,201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358,262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and December 31, 2020, respectively)</w:t>
            </w:r>
          </w:p>
        </w:tc>
        <w:tc>
          <w:tcPr>
            <w:tcW w:w="2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Preferred units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198,503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Capital</w:t>
            </w: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SLGOP partners' capital:</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20" w:type="dxa"/>
            <w:vAlign w:val="bottom"/>
            <w:gridSpan w:val="2"/>
          </w:tcPr>
          <w:p>
            <w:pPr>
              <w:spacing w:after="0" w:line="166" w:lineRule="exact"/>
              <w:rPr>
                <w:sz w:val="20"/>
                <w:szCs w:val="20"/>
                <w:color w:val="auto"/>
              </w:rPr>
            </w:pPr>
            <w:r>
              <w:rPr>
                <w:rFonts w:ascii="Arial" w:cs="Arial" w:eastAsia="Arial" w:hAnsi="Arial"/>
                <w:sz w:val="16"/>
                <w:szCs w:val="16"/>
                <w:color w:val="auto"/>
                <w:w w:val="93"/>
              </w:rPr>
              <w:t>Series I Preferred Units, $25.00 liquidation preference, 9,200 issued and outstanding at both June 30, 2021 and</w:t>
            </w:r>
          </w:p>
        </w:tc>
        <w:tc>
          <w:tcPr>
            <w:tcW w:w="2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221,932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221,932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6"/>
                <w:szCs w:val="16"/>
                <w:color w:val="auto"/>
              </w:rPr>
              <w:t>December 31, 2020</w:t>
            </w:r>
          </w:p>
        </w:tc>
        <w:tc>
          <w:tcPr>
            <w:tcW w:w="2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SL Green partners' capital (717 and 724 general partner common units and 67,163 and 67,784 limited partner</w:t>
            </w:r>
          </w:p>
        </w:tc>
        <w:tc>
          <w:tcPr>
            <w:tcW w:w="2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4,634,063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4,755,078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units outstanding at June 30, 2021 and December 31, 2020, respectively)</w:t>
            </w:r>
          </w:p>
        </w:tc>
        <w:tc>
          <w:tcPr>
            <w:tcW w:w="2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(66,863)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(67,247)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SLGOP partners' capital</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4,789,132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4,909,763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Noncontrolling interests in other partnerships</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capital</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4,813,757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4,935,795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6"/>
                <w:szCs w:val="16"/>
                <w:color w:val="auto"/>
              </w:rPr>
              <w:t>Total liabilities and capital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11,166,164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11,707,567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4" w:lineRule="exact"/>
        <w:rPr>
          <w:sz w:val="20"/>
          <w:szCs w:val="20"/>
          <w:color w:val="auto"/>
        </w:rPr>
      </w:pPr>
    </w:p>
    <w:p>
      <w:pPr>
        <w:jc w:val="both"/>
        <w:ind w:left="20" w:right="20" w:firstLine="6"/>
        <w:spacing w:after="0" w:line="218" w:lineRule="auto"/>
        <w:tabs>
          <w:tab w:leader="none" w:pos="165"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The Operating Partnership's consolidated balance sheets include assets and liabilities of consolidated variable interest entities ("VIEs"). See Note 2. The consolidated balance sheets include the following amounts related to our consolidated VIEs, excluding the Operating Partnership: $179.6 million and $41.2 million of land, $281.0 million and $57.9 million of building and improvements, $2.0 million and $2.0 million of building and leasehold improvements, $53.2 million and $37.8 million of right of use assets, $17.3 million and $10.3 million of accumulated depreciation, $291.4 million and $289.5 million of other assets included in other line items, $377.1 million and $94.0 million of real estate debt, net, $1.1 million and $0.7 million of accrued interest payable, $45.4 million and $29.9 million of lease liabilities, and $23.6 million and $56.6 million of other liabilities included in other line items as of June 30, 2021 and December 31, 2020,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unit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4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7"/>
              </w:rPr>
              <w:t>Six Months Ended June 30,</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Rental revenue, net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184,611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195,886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372,700</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418,517</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39,380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78,476</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13,389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71,009</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218,107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253,699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444,209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568,002</w:t>
            </w: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6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4"/>
              </w:rPr>
              <w:t>Operating expenses, including related party expenses of $3,039 and $5,264 in 2021</w:t>
            </w: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43,883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40,897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86,167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94,763</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$2,739 and $6,488 in 2020</w:t>
            </w: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Real estate taxes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43,768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89,179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88,283</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rent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15,198</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Interest expense, net of interest income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18,960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42,348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67,564</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57,261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95,941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120,257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164,220</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 loss and other investment reserves, net of recoveries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18,061</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Transaction related costs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44,949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43,080</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expenses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196,032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249,757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403,531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496,768</w:t>
            </w:r>
          </w:p>
        </w:tc>
        <w:tc>
          <w:tcPr>
            <w:tcW w:w="0" w:type="dxa"/>
            <w:vAlign w:val="bottom"/>
          </w:tcPr>
          <w:p>
            <w:pPr>
              <w:spacing w:after="0"/>
              <w:rPr>
                <w:sz w:val="1"/>
                <w:szCs w:val="1"/>
                <w:color w:val="auto"/>
              </w:rPr>
            </w:pPr>
          </w:p>
        </w:tc>
      </w:tr>
      <w:tr>
        <w:trPr>
          <w:trHeight w:val="239"/>
        </w:trPr>
        <w:tc>
          <w:tcPr>
            <w:tcW w:w="5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Equity in net loss from unconsolidated joint ventures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(12,970)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(15,834)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(15,013)</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Equity in net gain (loss) on sale of interest in unconsolidated joint venture/real estate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Purchase price and other fair value adjustments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real estate, net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98,960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97,572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137,520</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Depreciable real estate reserves and impairment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2,545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(5,696)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117,134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66,627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113,279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193,741</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in other partnerships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Preferred units distributions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SLGOP</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115,351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111,149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187,992</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Perpetual preferred unit distributions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(7,475)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(7,475)</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SLGOP common unitholders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111,614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103,674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180,517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unit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Diluted earnings per unit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5"/>
        </w:trPr>
        <w:tc>
          <w:tcPr>
            <w:tcW w:w="5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Basic weighted average common units outstanding</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73,073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77,658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73,117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78,768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Diluted weighted average common units and common unit equivalents outstanding</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73,727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73,899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4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117,134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113,279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193,741</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Decrease in unrealized value of derivative instruments, including SLGOP's share of</w:t>
            </w: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(51,313)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(54,325)</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joint venture derivative instruments</w:t>
            </w: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Increase (decrease) in unrealized value of marketable securities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income</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(50,807)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(56,867)</w:t>
            </w:r>
          </w:p>
        </w:tc>
        <w:tc>
          <w:tcPr>
            <w:tcW w:w="0" w:type="dxa"/>
            <w:vAlign w:val="bottom"/>
          </w:tcPr>
          <w:p>
            <w:pPr>
              <w:spacing w:after="0"/>
              <w:rPr>
                <w:sz w:val="1"/>
                <w:szCs w:val="1"/>
                <w:color w:val="auto"/>
              </w:rPr>
            </w:pPr>
          </w:p>
        </w:tc>
      </w:tr>
      <w:tr>
        <w:trPr>
          <w:trHeight w:val="207"/>
        </w:trPr>
        <w:tc>
          <w:tcPr>
            <w:tcW w:w="57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66,327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113,477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136,874</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attributable to noncontrolling interests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SLGOP</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69,208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115,202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139,125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unit data)</w:t>
      </w:r>
    </w:p>
    <w:p>
      <w:pPr>
        <w:spacing w:after="0" w:line="378"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SL Green Operating Partnership Unitholders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20" w:type="dxa"/>
            <w:vAlign w:val="bottom"/>
            <w:tcBorders>
              <w:top w:val="single" w:sz="8" w:color="auto"/>
              <w:bottom w:val="single" w:sz="8" w:color="auto"/>
            </w:tcBorders>
            <w:gridSpan w:val="4"/>
          </w:tcPr>
          <w:p>
            <w:pPr>
              <w:jc w:val="right"/>
              <w:ind w:right="417"/>
              <w:spacing w:after="0"/>
              <w:rPr>
                <w:sz w:val="20"/>
                <w:szCs w:val="20"/>
                <w:color w:val="auto"/>
              </w:rPr>
            </w:pPr>
            <w:r>
              <w:rPr>
                <w:rFonts w:ascii="Arial" w:cs="Arial" w:eastAsia="Arial" w:hAnsi="Arial"/>
                <w:sz w:val="13"/>
                <w:szCs w:val="13"/>
                <w:b w:val="1"/>
                <w:bCs w:val="1"/>
                <w:color w:val="auto"/>
              </w:rPr>
              <w:t>Partners' Interest</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240"/>
              <w:spacing w:after="0" w:line="108" w:lineRule="exact"/>
              <w:rPr>
                <w:sz w:val="20"/>
                <w:szCs w:val="20"/>
                <w:color w:val="auto"/>
              </w:rPr>
            </w:pPr>
            <w:r>
              <w:rPr>
                <w:rFonts w:ascii="Arial" w:cs="Arial" w:eastAsia="Arial" w:hAnsi="Arial"/>
                <w:sz w:val="12"/>
                <w:szCs w:val="12"/>
                <w:b w:val="1"/>
                <w:bCs w:val="1"/>
                <w:color w:val="auto"/>
                <w:w w:val="93"/>
              </w:rPr>
              <w:t>Series I</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9"/>
                <w:szCs w:val="9"/>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9"/>
                <w:szCs w:val="9"/>
                <w:color w:val="auto"/>
              </w:rPr>
            </w:pPr>
          </w:p>
        </w:tc>
        <w:tc>
          <w:tcPr>
            <w:tcW w:w="1140" w:type="dxa"/>
            <w:vAlign w:val="bottom"/>
            <w:gridSpan w:val="2"/>
          </w:tcPr>
          <w:p>
            <w:pPr>
              <w:jc w:val="center"/>
              <w:ind w:right="26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40" w:type="dxa"/>
            <w:vAlign w:val="bottom"/>
          </w:tcPr>
          <w:p>
            <w:pPr>
              <w:spacing w:after="0"/>
              <w:rPr>
                <w:sz w:val="9"/>
                <w:szCs w:val="9"/>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8"/>
              </w:rPr>
              <w:t>Noncontrolling</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Preferred</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Units</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Units</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Unitholders</w:t>
            </w:r>
          </w:p>
        </w:tc>
        <w:tc>
          <w:tcPr>
            <w:tcW w:w="13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Comprehensive Loss</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Interests</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221,932</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68,508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4,755,078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center"/>
              <w:ind w:left="478"/>
              <w:spacing w:after="0"/>
              <w:rPr>
                <w:sz w:val="20"/>
                <w:szCs w:val="20"/>
                <w:color w:val="auto"/>
              </w:rPr>
            </w:pPr>
            <w:r>
              <w:rPr>
                <w:rFonts w:ascii="Arial" w:cs="Arial" w:eastAsia="Arial" w:hAnsi="Arial"/>
                <w:sz w:val="13"/>
                <w:szCs w:val="13"/>
                <w:color w:val="auto"/>
                <w:w w:val="86"/>
              </w:rPr>
              <w:t>(67,247)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26,032</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4,935,795</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(1,499)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(5,225)</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498"/>
              <w:spacing w:after="0"/>
              <w:rPr>
                <w:sz w:val="20"/>
                <w:szCs w:val="20"/>
                <w:color w:val="auto"/>
              </w:rPr>
            </w:pPr>
            <w:r>
              <w:rPr>
                <w:rFonts w:ascii="Arial" w:cs="Arial" w:eastAsia="Arial" w:hAnsi="Arial"/>
                <w:sz w:val="13"/>
                <w:szCs w:val="13"/>
                <w:color w:val="auto"/>
                <w:w w:val="90"/>
              </w:rPr>
              <w:t>48,350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48,350</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Preferred distributions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(3,738)</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DRSPP proceeds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Reallocation of noncontrolling interests in the operating partnership</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(26,609)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(26,609)</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Deferred compensation plan and stock awards, net of forfeitures and tax withholdings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6,728</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Repurchases of common units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(80,310)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(80,310)</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 to consolidated joint venture interests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Cash distributions to noncontrolling interests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special distribution paid primarily in units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123,529</w:t>
            </w:r>
          </w:p>
        </w:tc>
        <w:tc>
          <w:tcPr>
            <w:tcW w:w="0" w:type="dxa"/>
            <w:vAlign w:val="bottom"/>
          </w:tcPr>
          <w:p>
            <w:pPr>
              <w:spacing w:after="0"/>
              <w:rPr>
                <w:sz w:val="1"/>
                <w:szCs w:val="1"/>
                <w:color w:val="auto"/>
              </w:rPr>
            </w:pPr>
          </w:p>
        </w:tc>
      </w:tr>
      <w:tr>
        <w:trPr>
          <w:trHeight w:val="122"/>
        </w:trPr>
        <w:tc>
          <w:tcPr>
            <w:tcW w:w="4700" w:type="dxa"/>
            <w:vAlign w:val="bottom"/>
          </w:tcPr>
          <w:p>
            <w:pPr>
              <w:ind w:left="20"/>
              <w:spacing w:after="0" w:line="122" w:lineRule="exact"/>
              <w:rPr>
                <w:sz w:val="20"/>
                <w:szCs w:val="20"/>
                <w:color w:val="auto"/>
              </w:rPr>
            </w:pPr>
            <w:r>
              <w:rPr>
                <w:rFonts w:ascii="Arial" w:cs="Arial" w:eastAsia="Arial" w:hAnsi="Arial"/>
                <w:sz w:val="13"/>
                <w:szCs w:val="13"/>
                <w:color w:val="auto"/>
                <w:w w:val="90"/>
              </w:rPr>
              <w:t>Cash distributions declared ($0.910 per common unit, none of which represented a return</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(63,312)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(63,312)</w:t>
            </w:r>
          </w:p>
        </w:tc>
        <w:tc>
          <w:tcPr>
            <w:tcW w:w="0" w:type="dxa"/>
            <w:vAlign w:val="bottom"/>
          </w:tcPr>
          <w:p>
            <w:pPr>
              <w:spacing w:after="0"/>
              <w:rPr>
                <w:sz w:val="1"/>
                <w:szCs w:val="1"/>
                <w:color w:val="auto"/>
              </w:rPr>
            </w:pPr>
          </w:p>
        </w:tc>
      </w:tr>
      <w:tr>
        <w:trPr>
          <w:trHeight w:val="16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of capital for federal income tax purposes)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221,932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69,354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4,707,991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center"/>
              <w:ind w:left="478"/>
              <w:spacing w:after="0"/>
              <w:rPr>
                <w:sz w:val="20"/>
                <w:szCs w:val="20"/>
                <w:color w:val="auto"/>
              </w:rPr>
            </w:pPr>
            <w:r>
              <w:rPr>
                <w:rFonts w:ascii="Arial" w:cs="Arial" w:eastAsia="Arial" w:hAnsi="Arial"/>
                <w:sz w:val="13"/>
                <w:szCs w:val="13"/>
                <w:color w:val="auto"/>
                <w:w w:val="86"/>
              </w:rPr>
              <w:t>(18,897)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24,594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4,935,620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109,069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(40)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109,029</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478"/>
              <w:spacing w:after="0"/>
              <w:rPr>
                <w:sz w:val="20"/>
                <w:szCs w:val="20"/>
                <w:color w:val="auto"/>
              </w:rPr>
            </w:pPr>
            <w:r>
              <w:rPr>
                <w:rFonts w:ascii="Arial" w:cs="Arial" w:eastAsia="Arial" w:hAnsi="Arial"/>
                <w:sz w:val="13"/>
                <w:szCs w:val="13"/>
                <w:color w:val="auto"/>
                <w:w w:val="86"/>
              </w:rPr>
              <w:t>(47,966)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(47,966)</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Preferred distributions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(3,737)</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DRSPP proceeds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Reallocation of noncontrolling interests in the operating partnership</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(5,866)</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Deferred compensation plan and stock awards, net of forfeitures and tax withholdings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7,591</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Repurchases of common stock</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(118,577)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(118,577)</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 to consolidated joint venture interests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Cash distributions to noncontrolling interests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29"/>
        </w:trPr>
        <w:tc>
          <w:tcPr>
            <w:tcW w:w="4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0"/>
              </w:rPr>
              <w:t>Cash distributions declared ($0.910 per common unit, none of which represented a return</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(62,524)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(62,524)</w:t>
            </w: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capital for federal income tax purposes)</w:t>
            </w: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221,932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67,880</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4,634,063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center"/>
              <w:ind w:left="478"/>
              <w:spacing w:after="0"/>
              <w:rPr>
                <w:sz w:val="20"/>
                <w:szCs w:val="20"/>
                <w:color w:val="auto"/>
              </w:rPr>
            </w:pPr>
            <w:r>
              <w:rPr>
                <w:rFonts w:ascii="Arial" w:cs="Arial" w:eastAsia="Arial" w:hAnsi="Arial"/>
                <w:sz w:val="13"/>
                <w:szCs w:val="13"/>
                <w:color w:val="auto"/>
                <w:w w:val="86"/>
              </w:rPr>
              <w:t>(66,863)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24,625</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4,813,757</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unit data)</w:t>
      </w:r>
    </w:p>
    <w:p>
      <w:pPr>
        <w:spacing w:after="0" w:line="378"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SL Green Operating Partnership Unitholders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20" w:type="dxa"/>
            <w:vAlign w:val="bottom"/>
            <w:tcBorders>
              <w:top w:val="single" w:sz="8" w:color="auto"/>
              <w:bottom w:val="single" w:sz="8" w:color="auto"/>
            </w:tcBorders>
            <w:gridSpan w:val="4"/>
          </w:tcPr>
          <w:p>
            <w:pPr>
              <w:jc w:val="right"/>
              <w:ind w:right="417"/>
              <w:spacing w:after="0"/>
              <w:rPr>
                <w:sz w:val="20"/>
                <w:szCs w:val="20"/>
                <w:color w:val="auto"/>
              </w:rPr>
            </w:pPr>
            <w:r>
              <w:rPr>
                <w:rFonts w:ascii="Arial" w:cs="Arial" w:eastAsia="Arial" w:hAnsi="Arial"/>
                <w:sz w:val="13"/>
                <w:szCs w:val="13"/>
                <w:b w:val="1"/>
                <w:bCs w:val="1"/>
                <w:color w:val="auto"/>
              </w:rPr>
              <w:t>Partners' Interest</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240"/>
              <w:spacing w:after="0" w:line="108" w:lineRule="exact"/>
              <w:rPr>
                <w:sz w:val="20"/>
                <w:szCs w:val="20"/>
                <w:color w:val="auto"/>
              </w:rPr>
            </w:pPr>
            <w:r>
              <w:rPr>
                <w:rFonts w:ascii="Arial" w:cs="Arial" w:eastAsia="Arial" w:hAnsi="Arial"/>
                <w:sz w:val="12"/>
                <w:szCs w:val="12"/>
                <w:b w:val="1"/>
                <w:bCs w:val="1"/>
                <w:color w:val="auto"/>
                <w:w w:val="93"/>
              </w:rPr>
              <w:t>Series I</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9"/>
                <w:szCs w:val="9"/>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9"/>
                <w:szCs w:val="9"/>
                <w:color w:val="auto"/>
              </w:rPr>
            </w:pPr>
          </w:p>
        </w:tc>
        <w:tc>
          <w:tcPr>
            <w:tcW w:w="1140" w:type="dxa"/>
            <w:vAlign w:val="bottom"/>
            <w:gridSpan w:val="2"/>
          </w:tcPr>
          <w:p>
            <w:pPr>
              <w:jc w:val="center"/>
              <w:ind w:right="26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40" w:type="dxa"/>
            <w:vAlign w:val="bottom"/>
          </w:tcPr>
          <w:p>
            <w:pPr>
              <w:spacing w:after="0"/>
              <w:rPr>
                <w:sz w:val="9"/>
                <w:szCs w:val="9"/>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8"/>
              </w:rPr>
              <w:t>Noncontrolling</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Preferred</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Units</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Units</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Unitholders</w:t>
            </w:r>
          </w:p>
        </w:tc>
        <w:tc>
          <w:tcPr>
            <w:tcW w:w="13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Comprehensive Loss</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Interests</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221,932</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76,956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5,247,868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(28,485)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75,883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5,517,198</w:t>
            </w:r>
          </w:p>
        </w:tc>
        <w:tc>
          <w:tcPr>
            <w:tcW w:w="0" w:type="dxa"/>
            <w:vAlign w:val="bottom"/>
          </w:tcPr>
          <w:p>
            <w:pPr>
              <w:spacing w:after="0"/>
              <w:rPr>
                <w:sz w:val="1"/>
                <w:szCs w:val="1"/>
                <w:color w:val="auto"/>
              </w:rPr>
            </w:pPr>
          </w:p>
        </w:tc>
      </w:tr>
      <w:tr>
        <w:trPr>
          <w:trHeight w:val="16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Cumulative adjustment upon adoption of ASC 326</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(39,184)</w:t>
            </w: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January 1, 2020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221,932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5,208,684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75,883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5,478,014</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118,539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118,246</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of subsidiary interest from noncontrolling interest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(52,383)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(52,383)</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distributions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DRSPP proceeds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common units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Reallocation of noncontrolling interests in the operating partnership</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38,529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38,529</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Deferred compensation plan and stock awards, net of forfeitures and tax withholdings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5,502</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Repurchases of common stock</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(219,576)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(219,576)</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 to consolidated joint venture interests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3,814</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Cash distributions to noncontrolling interests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(492)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29"/>
        </w:trPr>
        <w:tc>
          <w:tcPr>
            <w:tcW w:w="4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0"/>
              </w:rPr>
              <w:t>Cash distributions declared ($0.304 per common unit, none of which represented a return</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(22,665)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(22,665)</w:t>
            </w: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capital for federal income tax purposes)</w:t>
            </w: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221,932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74,365</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5,122,402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(80,868)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80,499</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5,343,965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61,204</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(1,503)</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distributions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(3,737)</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DRSPP proceeds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common units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8,660</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Reallocation of noncontrolling interests in the operating partnership</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(7,385)</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Deferred compensation plan and stock awards, net of forfeitures and tax withholdings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7,991</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Repurchases of common stock</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(141,292)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(141,292)</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 to consolidated joint venture interests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4,372</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3"/>
                <w:szCs w:val="13"/>
                <w:color w:val="auto"/>
              </w:rPr>
              <w:t>Cash distributions to noncontrolling interests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29"/>
        </w:trPr>
        <w:tc>
          <w:tcPr>
            <w:tcW w:w="4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0"/>
              </w:rPr>
              <w:t>Cash distributions declared ($0.911 per common unit, none of which represented a return</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(66,607)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(66,607)</w:t>
            </w: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capital for federal income tax purposes)</w:t>
            </w: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221,932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71,586</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4,980,411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(82,371)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85,790</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5,205,762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3440" w:type="dxa"/>
            <w:vAlign w:val="bottom"/>
            <w:tcBorders>
              <w:bottom w:val="single" w:sz="8" w:color="auto"/>
            </w:tcBorders>
            <w:gridSpan w:val="5"/>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7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12"/>
        </w:trPr>
        <w:tc>
          <w:tcPr>
            <w:tcW w:w="7780" w:type="dxa"/>
            <w:vAlign w:val="bottom"/>
          </w:tcPr>
          <w:p>
            <w:pPr>
              <w:ind w:left="140"/>
              <w:spacing w:after="0"/>
              <w:rPr>
                <w:sz w:val="20"/>
                <w:szCs w:val="20"/>
                <w:color w:val="auto"/>
              </w:rPr>
            </w:pPr>
            <w:r>
              <w:rPr>
                <w:rFonts w:ascii="Arial" w:cs="Arial" w:eastAsia="Arial" w:hAnsi="Arial"/>
                <w:sz w:val="16"/>
                <w:szCs w:val="16"/>
                <w:b w:val="1"/>
                <w:bCs w:val="1"/>
                <w:color w:val="auto"/>
              </w:rPr>
              <w:t>Operating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113,279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193,741</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127,417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169,381</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Equity in net loss from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15,834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15,013</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of cumulative earnings from unconsolidated joint ventures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Equity in net loss on sale of interest in unconsolidated joint venture interest/real estate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4,158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price and other fair value adjustments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Depreciable real estate reserves and impairment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5,696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sale of real estate, net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(97,572)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(137,520)</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Loan loss reserves and other investment reserves, net of recoveries</w:t>
            </w:r>
          </w:p>
        </w:tc>
        <w:tc>
          <w:tcPr>
            <w:tcW w:w="10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18,061</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rents receivable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Non-cash lease expense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7,538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6,547</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non-cash adjustments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Tenant and other receivables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(57,325)</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Related party receivables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4,395</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lease costs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(11,143)</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15,550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(17,363)</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expenses, other liabilities and security deposits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(60,592)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39,318</w:t>
            </w: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(3,503)</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liability - operating leases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(5,728)</w:t>
            </w:r>
          </w:p>
        </w:tc>
      </w:tr>
      <w:tr>
        <w:trPr>
          <w:trHeight w:val="20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103,264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224,305</w:t>
            </w:r>
          </w:p>
        </w:tc>
      </w:tr>
      <w:tr>
        <w:trPr>
          <w:trHeight w:val="19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Acquisitions of real estate property</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(28,688)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(86,846)</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land, buildings and improvements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(118,076)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(183,297)</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(38,198)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(18,318)</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in excess of cumulative earnings from unconsolidated joint ventures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417,457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76,091</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Net proceeds from disposition of real estate/joint venture interest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398,173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249,820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assumed from consolidation of real estate investment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sale or redemption of marketable securities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4,528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Other investments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(4,108)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(7,324)</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Origination of debt and preferred equity investments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(74,148)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(265,574)</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Repayments or redemption of debt and preferred equity investments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85,106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639,267</w:t>
            </w: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641,521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403,819</w:t>
            </w:r>
          </w:p>
        </w:tc>
      </w:tr>
      <w:tr>
        <w:trPr>
          <w:trHeight w:val="206"/>
        </w:trPr>
        <w:tc>
          <w:tcPr>
            <w:tcW w:w="7780" w:type="dxa"/>
            <w:vAlign w:val="bottom"/>
          </w:tcPr>
          <w:p>
            <w:pPr>
              <w:ind w:left="140"/>
              <w:spacing w:after="0"/>
              <w:rPr>
                <w:sz w:val="20"/>
                <w:szCs w:val="20"/>
                <w:color w:val="auto"/>
              </w:rPr>
            </w:pPr>
            <w:r>
              <w:rPr>
                <w:rFonts w:ascii="Arial" w:cs="Arial" w:eastAsia="Arial" w:hAnsi="Arial"/>
                <w:sz w:val="16"/>
                <w:szCs w:val="16"/>
                <w:b w:val="1"/>
                <w:bCs w:val="1"/>
                <w:color w:val="auto"/>
              </w:rPr>
              <w:t>Financing Activities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mortgages and other loans payable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642,196</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Repayments of mortgages and other loans payable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0"/>
              </w:rPr>
              <w:t>(364,994)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(266,795)</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revolving credit facility and unsecured notes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1,275,000</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Repayments of revolving credit facility and unsecured notes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0"/>
              </w:rPr>
              <w:t>(680,000)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(815,000)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options exercised and DRSPP issuance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Repurchase of common units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0"/>
              </w:rPr>
              <w:t>(178,666)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(352,048)</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3440" w:type="dxa"/>
            <w:vAlign w:val="bottom"/>
            <w:tcBorders>
              <w:bottom w:val="single" w:sz="8" w:color="auto"/>
            </w:tcBorders>
            <w:gridSpan w:val="5"/>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7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units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(59,800)</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Redemption of OP units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(13,930)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(18,066)</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in other partnerships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Contributions from noncontrolling interests in other partnerships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8,186</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subsidiary interest from noncontrolling interest</w:t>
            </w:r>
          </w:p>
        </w:tc>
        <w:tc>
          <w:tcPr>
            <w:tcW w:w="10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Distributions paid on common and preferred units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0"/>
              </w:rPr>
              <w:t>(146,483)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(158,584)</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withholdings related to restricted share awards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Deferred loan costs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(16,510)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of on financing lease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0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(801,079)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231,729</w:t>
            </w: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(56,294)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859,853</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372,795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241,430</w:t>
            </w:r>
          </w:p>
        </w:tc>
      </w:tr>
      <w:tr>
        <w:trPr>
          <w:trHeight w:val="21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316,501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1,101,283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Conversion of units in the Operating Partnership</w:t>
            </w: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8,744</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units in the Operating Partnership for a joint venture sale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27,586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Exchange of preferred equity investment for real estate or equity in joint venture</w:t>
            </w:r>
          </w:p>
        </w:tc>
        <w:tc>
          <w:tcPr>
            <w:tcW w:w="10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119,467</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special distribution paid primarily in units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123,529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Tenant improvements and capital expenditures payable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8,911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6,653</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adjustment to noncontrolling interest in the Operating Partnership</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31,144</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Consolidation of real estate investment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119,444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Reversal of assets held for sale</w:t>
            </w:r>
          </w:p>
        </w:tc>
        <w:tc>
          <w:tcPr>
            <w:tcW w:w="10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391,664</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Extinguishment of debt in connection with property dispositions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53,548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Seller financed purchases</w:t>
            </w:r>
          </w:p>
        </w:tc>
        <w:tc>
          <w:tcPr>
            <w:tcW w:w="10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Debt and preferred equity investments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5,184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4,638</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of assets related to assets held for sale</w:t>
            </w:r>
          </w:p>
        </w:tc>
        <w:tc>
          <w:tcPr>
            <w:tcW w:w="10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49,687</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Transfer of liabilities related to assets held for sale</w:t>
            </w:r>
          </w:p>
        </w:tc>
        <w:tc>
          <w:tcPr>
            <w:tcW w:w="10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38,272</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Removal of fully depreciated commercial real estate properties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Share repurchase payable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20,221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8,820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Recognition of right of use assets and related lease liabilities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119,711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114,974</w:t>
            </w:r>
          </w:p>
        </w:tc>
      </w:tr>
    </w:tbl>
    <w:p>
      <w:pPr>
        <w:spacing w:after="0" w:line="94" w:lineRule="exact"/>
        <w:rPr>
          <w:sz w:val="20"/>
          <w:szCs w:val="20"/>
          <w:color w:val="auto"/>
        </w:rPr>
      </w:pPr>
    </w:p>
    <w:p>
      <w:pPr>
        <w:jc w:val="both"/>
        <w:ind w:firstLine="21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7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218,337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1,015,348</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98,164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85,935</w:t>
            </w:r>
          </w:p>
        </w:tc>
      </w:tr>
      <w:tr>
        <w:trPr>
          <w:trHeight w:val="237"/>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cash, cash equivalents, and restricted cash</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316,501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1,101,283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SL Green Realty Corp., which is referred to as the Company or SL Green,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Operating Partnership received a contribution of interest in the real estate properties, as well as 95% of the economic interest in the management, leasing and construction companies which are referred to as the Service Corporation. All of the management, leasing and construction services that are provided to the properties that are wholly-owned by us and that are provided to certain joint ventures are conducted through SL Green Management LLC and SL Green Management Corp., respectively, which are 100% owned by the Operating Partnership. The Company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 Unless the context requires otherwise, all references to "we," "our" and "us" means the Company and all entities owned or controlled by the Company, including the Operating Partnership.</w:t>
      </w:r>
    </w:p>
    <w:p>
      <w:pPr>
        <w:spacing w:after="0" w:line="7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Substantially all of our assets are held by, and all of our operations are conducted through, the Operating Partnership. The Company is the sole managing general partner of the Operating Partnership. As of June 30, 2021, noncontrolling investors held, in the aggregate, a 5.31% limited partnership interest in the Operating Partnership. We refer to these interests as the noncontrolling interests in the Operating Partnership. The Operating Partnership is considered a variable interest entity, or VIE, in which we are the primary beneficiary. See Note 11, "Noncontrolling Interests on the Company's Consolidated Financial Statements."</w:t>
      </w:r>
    </w:p>
    <w:p>
      <w:pPr>
        <w:spacing w:after="0" w:line="8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December 4, 2020, our Board of Directors declared an ordinary dividend and a special dividend (together, "the Total Dividend"). The Total Dividend was paid on January 15, 2021 to shareholders of record at the close of business on December 15, 2020 ("the Record Date"). Shareholders had the opportunity to elect to receive the Total Dividend in the form of all cash or all stock, subject to proration if either option was oversubscribed. As a result of the elections made, the cash option was oversubscribed and was prorated. Shareholders who elected to receive cash received, for each share of common stock they owned as of the Record Date, approximately $0.3735 in cash and 0.0279 shares of common stock. Shareholders who elected to receive shares received, for each share of common stock they owned as of the Record Date, approximately 0.0343 shares of common stock. The number of shares issued was calculated based on the volume weighted average trading price of SLG's common stock between January 5-7, 2021, of $58.15 per share.</w:t>
      </w:r>
    </w:p>
    <w:p>
      <w:pPr>
        <w:spacing w:after="0" w:line="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To mitigate the dilutive impact of the common stock issued in the special dividend, the Board of Directors also authorized a reverse stock split, which was effective after markets closed on January 20, 2021. On January 8, 2021, a committee of the Board of Directors calculated the ratio for the reverse stock split of our issued and outstanding shares of common stock as 1.02918-for-1. After the issuance of the dividend and the completion of the reverse stock split, the number of shares of our common stock outstanding was equivalent to the number of total shares outstanding on the Record Date (not including any issuances or repurchases that occurred following the Record Date, as well as any fractional shares that would have been issued but for which cash-in-lieu was paid). However, on a relative basis, some individual shareholders may have more shares of SLG’s common stock, and some individual shareholders may have fewer shares of our common stock, depending on their individual elections to receive cash or stock and as a result of the cash option being oversubscribed.</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All share-related references and measurements including the number of shares outstanding, share prices, number of shares repurchased, earnings per share, dividends per share, and share-based compensation awards, have been retroactively adjusted to reflect the reverse stock split for all periods presented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As of June 30, 2021, we owned the following interests in properties in the New York metropolitan area, primarily in midtown Manhattan. Our investments located outside of Manhattan are referred to as the Suburban properties: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ind w:left="700"/>
              <w:spacing w:after="0"/>
              <w:rPr>
                <w:sz w:val="20"/>
                <w:szCs w:val="20"/>
                <w:color w:val="auto"/>
              </w:rPr>
            </w:pPr>
            <w:r>
              <w:rPr>
                <w:rFonts w:ascii="Arial" w:cs="Arial" w:eastAsia="Arial" w:hAnsi="Arial"/>
                <w:sz w:val="14"/>
                <w:szCs w:val="14"/>
                <w:b w:val="1"/>
                <w:bCs w:val="1"/>
                <w:color w:val="auto"/>
              </w:rPr>
              <w:t>Consolidated</w:t>
            </w:r>
          </w:p>
        </w:tc>
        <w:tc>
          <w:tcPr>
            <w:tcW w:w="2320" w:type="dxa"/>
            <w:vAlign w:val="bottom"/>
            <w:gridSpan w:val="4"/>
          </w:tcPr>
          <w:p>
            <w:pPr>
              <w:ind w:left="640"/>
              <w:spacing w:after="0"/>
              <w:rPr>
                <w:sz w:val="20"/>
                <w:szCs w:val="20"/>
                <w:color w:val="auto"/>
              </w:rPr>
            </w:pPr>
            <w:r>
              <w:rPr>
                <w:rFonts w:ascii="Arial" w:cs="Arial" w:eastAsia="Arial" w:hAnsi="Arial"/>
                <w:sz w:val="14"/>
                <w:szCs w:val="14"/>
                <w:b w:val="1"/>
                <w:bCs w:val="1"/>
                <w:color w:val="auto"/>
              </w:rPr>
              <w:t>Unconsolidated</w:t>
            </w:r>
          </w:p>
        </w:tc>
        <w:tc>
          <w:tcPr>
            <w:tcW w:w="860" w:type="dxa"/>
            <w:vAlign w:val="bottom"/>
          </w:tcPr>
          <w:p>
            <w:pPr>
              <w:spacing w:after="0"/>
              <w:rPr>
                <w:sz w:val="16"/>
                <w:szCs w:val="16"/>
                <w:color w:val="auto"/>
              </w:rPr>
            </w:pPr>
          </w:p>
        </w:tc>
        <w:tc>
          <w:tcPr>
            <w:tcW w:w="1240" w:type="dxa"/>
            <w:vAlign w:val="bottom"/>
            <w:gridSpan w:val="3"/>
          </w:tcPr>
          <w:p>
            <w:pPr>
              <w:jc w:val="right"/>
              <w:ind w:right="82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21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Property</w:t>
            </w:r>
          </w:p>
        </w:tc>
        <w:tc>
          <w:tcPr>
            <w:tcW w:w="11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Approximate</w:t>
            </w:r>
          </w:p>
        </w:tc>
        <w:tc>
          <w:tcPr>
            <w:tcW w:w="100" w:type="dxa"/>
            <w:vAlign w:val="bottom"/>
          </w:tcPr>
          <w:p>
            <w:pPr>
              <w:spacing w:after="0"/>
              <w:rPr>
                <w:sz w:val="11"/>
                <w:szCs w:val="11"/>
                <w:color w:val="auto"/>
              </w:rPr>
            </w:pPr>
          </w:p>
        </w:tc>
        <w:tc>
          <w:tcPr>
            <w:tcW w:w="11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0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Approximate</w:t>
            </w:r>
          </w:p>
        </w:tc>
        <w:tc>
          <w:tcPr>
            <w:tcW w:w="100" w:type="dxa"/>
            <w:vAlign w:val="bottom"/>
          </w:tcPr>
          <w:p>
            <w:pPr>
              <w:spacing w:after="0"/>
              <w:rPr>
                <w:sz w:val="11"/>
                <w:szCs w:val="11"/>
                <w:color w:val="auto"/>
              </w:rPr>
            </w:pPr>
          </w:p>
        </w:tc>
        <w:tc>
          <w:tcPr>
            <w:tcW w:w="8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Number of</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Approximate</w:t>
            </w:r>
          </w:p>
        </w:tc>
        <w:tc>
          <w:tcPr>
            <w:tcW w:w="1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216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Square Feet</w:t>
            </w:r>
          </w:p>
        </w:tc>
        <w:tc>
          <w:tcPr>
            <w:tcW w:w="1140" w:type="dxa"/>
            <w:vAlign w:val="bottom"/>
            <w:gridSpan w:val="2"/>
            <w:vMerge w:val="continue"/>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Square Feet</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Square Feet</w:t>
            </w:r>
          </w:p>
        </w:tc>
        <w:tc>
          <w:tcPr>
            <w:tcW w:w="1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Occupancy</w:t>
            </w:r>
            <w:r>
              <w:rPr>
                <w:rFonts w:ascii="Arial" w:cs="Arial" w:eastAsia="Arial" w:hAnsi="Arial"/>
                <w:sz w:val="10"/>
                <w:szCs w:val="10"/>
                <w:b w:val="1"/>
                <w:bCs w:val="1"/>
                <w:color w:val="auto"/>
                <w:w w:val="93"/>
              </w:rPr>
              <w:t>(1)</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2160" w:type="dxa"/>
            <w:vAlign w:val="bottom"/>
            <w:gridSpan w:val="2"/>
          </w:tcPr>
          <w:p>
            <w:pPr>
              <w:ind w:left="840"/>
              <w:spacing w:after="0"/>
              <w:rPr>
                <w:sz w:val="20"/>
                <w:szCs w:val="20"/>
                <w:color w:val="auto"/>
              </w:rPr>
            </w:pPr>
            <w:r>
              <w:rPr>
                <w:rFonts w:ascii="Arial" w:cs="Arial" w:eastAsia="Arial" w:hAnsi="Arial"/>
                <w:sz w:val="14"/>
                <w:szCs w:val="14"/>
                <w:b w:val="1"/>
                <w:bCs w:val="1"/>
                <w:color w:val="auto"/>
              </w:rPr>
              <w:t>Type</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Buildings</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Buildings</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Buildings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84"/>
        </w:trPr>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Commercial:</w:t>
            </w:r>
          </w:p>
        </w:tc>
        <w:tc>
          <w:tcPr>
            <w:tcW w:w="1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Manhattan</w:t>
            </w:r>
          </w:p>
        </w:tc>
        <w:tc>
          <w:tcPr>
            <w:tcW w:w="2160" w:type="dxa"/>
            <w:vAlign w:val="bottom"/>
            <w:gridSpan w:val="2"/>
          </w:tcPr>
          <w:p>
            <w:pPr>
              <w:ind w:left="140"/>
              <w:spacing w:after="0"/>
              <w:rPr>
                <w:sz w:val="20"/>
                <w:szCs w:val="20"/>
                <w:color w:val="auto"/>
              </w:rPr>
            </w:pPr>
            <w:r>
              <w:rPr>
                <w:rFonts w:ascii="Arial" w:cs="Arial" w:eastAsia="Arial" w:hAnsi="Arial"/>
                <w:sz w:val="14"/>
                <w:szCs w:val="14"/>
                <w:color w:val="auto"/>
              </w:rPr>
              <w:t>Office</w:t>
            </w: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10,259,345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10,869,183</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w:t>
            </w: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21,128,528</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93.0 %</w:t>
            </w:r>
          </w:p>
        </w:tc>
        <w:tc>
          <w:tcPr>
            <w:tcW w:w="0" w:type="dxa"/>
            <w:vAlign w:val="bottom"/>
          </w:tcPr>
          <w:p>
            <w:pPr>
              <w:spacing w:after="0"/>
              <w:rPr>
                <w:sz w:val="1"/>
                <w:szCs w:val="1"/>
                <w:color w:val="auto"/>
              </w:rPr>
            </w:pPr>
          </w:p>
        </w:tc>
      </w:tr>
      <w:tr>
        <w:trPr>
          <w:trHeight w:val="192"/>
        </w:trPr>
        <w:tc>
          <w:tcPr>
            <w:tcW w:w="98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Retail</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301,996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312,036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90.5 %</w:t>
            </w: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2160" w:type="dxa"/>
            <w:vAlign w:val="bottom"/>
            <w:gridSpan w:val="2"/>
          </w:tcPr>
          <w:p>
            <w:pPr>
              <w:ind w:left="140"/>
              <w:spacing w:after="0"/>
              <w:rPr>
                <w:sz w:val="20"/>
                <w:szCs w:val="20"/>
                <w:color w:val="auto"/>
              </w:rPr>
            </w:pPr>
            <w:r>
              <w:rPr>
                <w:rFonts w:ascii="Arial" w:cs="Arial" w:eastAsia="Arial" w:hAnsi="Arial"/>
                <w:sz w:val="14"/>
                <w:szCs w:val="14"/>
                <w:color w:val="auto"/>
                <w:w w:val="99"/>
              </w:rPr>
              <w:t xml:space="preserve">Development/Redevelopment </w:t>
            </w:r>
            <w:r>
              <w:rPr>
                <w:rFonts w:ascii="Arial" w:cs="Arial" w:eastAsia="Arial" w:hAnsi="Arial"/>
                <w:sz w:val="10"/>
                <w:szCs w:val="10"/>
                <w:color w:val="auto"/>
                <w:w w:val="99"/>
              </w:rPr>
              <w:t>(1)</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1,912,984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2,927,782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4,840,766</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6"/>
        </w:trPr>
        <w:tc>
          <w:tcPr>
            <w:tcW w:w="98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12,182,369</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14,098,961</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26,281,330</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93.0 %</w:t>
            </w: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Suburban</w:t>
            </w:r>
          </w:p>
        </w:tc>
        <w:tc>
          <w:tcPr>
            <w:tcW w:w="2160" w:type="dxa"/>
            <w:vAlign w:val="bottom"/>
            <w:gridSpan w:val="2"/>
          </w:tcPr>
          <w:p>
            <w:pPr>
              <w:ind w:left="140"/>
              <w:spacing w:after="0"/>
              <w:rPr>
                <w:sz w:val="20"/>
                <w:szCs w:val="20"/>
                <w:color w:val="auto"/>
              </w:rPr>
            </w:pPr>
            <w:r>
              <w:rPr>
                <w:rFonts w:ascii="Arial" w:cs="Arial" w:eastAsia="Arial" w:hAnsi="Arial"/>
                <w:sz w:val="14"/>
                <w:szCs w:val="14"/>
                <w:color w:val="auto"/>
              </w:rPr>
              <w:t>Office</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862,800</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862,800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82.4 %</w:t>
            </w:r>
          </w:p>
        </w:tc>
        <w:tc>
          <w:tcPr>
            <w:tcW w:w="0" w:type="dxa"/>
            <w:vAlign w:val="bottom"/>
          </w:tcPr>
          <w:p>
            <w:pPr>
              <w:spacing w:after="0"/>
              <w:rPr>
                <w:sz w:val="1"/>
                <w:szCs w:val="1"/>
                <w:color w:val="auto"/>
              </w:rPr>
            </w:pPr>
          </w:p>
        </w:tc>
      </w:tr>
      <w:tr>
        <w:trPr>
          <w:trHeight w:val="186"/>
        </w:trPr>
        <w:tc>
          <w:tcPr>
            <w:tcW w:w="314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4"/>
                <w:szCs w:val="14"/>
                <w:color w:val="auto"/>
              </w:rPr>
              <w:t>Total commercial properties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13,045,169</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14,098,961</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27,144,130</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92.6 %</w:t>
            </w:r>
          </w:p>
        </w:tc>
        <w:tc>
          <w:tcPr>
            <w:tcW w:w="0" w:type="dxa"/>
            <w:vAlign w:val="bottom"/>
          </w:tcPr>
          <w:p>
            <w:pPr>
              <w:spacing w:after="0"/>
              <w:rPr>
                <w:sz w:val="1"/>
                <w:szCs w:val="1"/>
                <w:color w:val="auto"/>
              </w:rPr>
            </w:pPr>
          </w:p>
        </w:tc>
      </w:tr>
      <w:tr>
        <w:trPr>
          <w:trHeight w:val="168"/>
        </w:trPr>
        <w:tc>
          <w:tcPr>
            <w:tcW w:w="980" w:type="dxa"/>
            <w:vAlign w:val="bottom"/>
          </w:tcPr>
          <w:p>
            <w:pPr>
              <w:ind w:left="20"/>
              <w:spacing w:after="0"/>
              <w:rPr>
                <w:sz w:val="20"/>
                <w:szCs w:val="20"/>
                <w:color w:val="auto"/>
              </w:rPr>
            </w:pPr>
            <w:r>
              <w:rPr>
                <w:rFonts w:ascii="Arial" w:cs="Arial" w:eastAsia="Arial" w:hAnsi="Arial"/>
                <w:sz w:val="14"/>
                <w:szCs w:val="14"/>
                <w:b w:val="1"/>
                <w:bCs w:val="1"/>
                <w:color w:val="auto"/>
              </w:rPr>
              <w:t>Residential:</w:t>
            </w: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Manhattan</w:t>
            </w: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82,250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736,416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818,666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74.0 %</w:t>
            </w:r>
          </w:p>
        </w:tc>
        <w:tc>
          <w:tcPr>
            <w:tcW w:w="0" w:type="dxa"/>
            <w:vAlign w:val="bottom"/>
          </w:tcPr>
          <w:p>
            <w:pPr>
              <w:spacing w:after="0"/>
              <w:rPr>
                <w:sz w:val="1"/>
                <w:szCs w:val="1"/>
                <w:color w:val="auto"/>
              </w:rPr>
            </w:pPr>
          </w:p>
        </w:tc>
      </w:tr>
      <w:tr>
        <w:trPr>
          <w:trHeight w:val="183"/>
        </w:trPr>
        <w:tc>
          <w:tcPr>
            <w:tcW w:w="980" w:type="dxa"/>
            <w:vAlign w:val="bottom"/>
          </w:tcPr>
          <w:p>
            <w:pPr>
              <w:ind w:left="20"/>
              <w:spacing w:after="0"/>
              <w:rPr>
                <w:sz w:val="20"/>
                <w:szCs w:val="20"/>
                <w:color w:val="auto"/>
              </w:rPr>
            </w:pPr>
            <w:r>
              <w:rPr>
                <w:rFonts w:ascii="Arial" w:cs="Arial" w:eastAsia="Arial" w:hAnsi="Arial"/>
                <w:sz w:val="14"/>
                <w:szCs w:val="14"/>
                <w:color w:val="auto"/>
              </w:rPr>
              <w:t>Total portfolio</w:t>
            </w: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13,127,419</w:t>
            </w: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14,835,377</w:t>
            </w:r>
          </w:p>
        </w:tc>
        <w:tc>
          <w:tcPr>
            <w:tcW w:w="1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27,962,796</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92.0 %</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420" w:hanging="412"/>
        <w:spacing w:after="0" w:line="257" w:lineRule="auto"/>
        <w:tabs>
          <w:tab w:leader="none" w:pos="412"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footage divided by the total square footage at acquisition. The weighted average occupancy for residential properties represents the total occupied units divided by the total available units. Properties under construction are not included in the calculation of weighted average occupancy.</w:t>
      </w:r>
    </w:p>
    <w:p>
      <w:pPr>
        <w:spacing w:after="0" w:line="8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As of June 30, 2021, we also managed two office buildings owned by third parties encompassing approximately 2.1 million square feet (unaudited), and held debt and preferred equity investments with a book value of $1.1 billion, excluding less than $0.1 billion of debt and preferred equity investments and other financing receivables that are included in balance sheet line items other than the Debt and preferred equity investments line item.</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Agreement</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accordance with the partnership agreement of the Operating Partnership, or the Operating Partnership Agreement, we allocate all distributions and profits and losses in proportion to the percentage of ownership interests of the respective partners, subject to the priority distributions with respect to preferred units and special provisions that apply to Long Term Incentive Plan ("LTIP") Units. As the managing general partner of the Operating Partnership, we are required to take such reasonable efforts, as determined by us in our sole discretion, to cause the Operating Partnership to distribute sufficient amounts to enable the payment of sufficient dividends by us to minimize any Federal income or excise tax at the Company level. Under the Operating Partnership Agreement, each limited partner has the right to redeem units of limited partnership interests for cash, or if we so elect, shares of SL Green's common stock on a one-for-one basis.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Quarterly Presentation</w:t>
      </w:r>
    </w:p>
    <w:p>
      <w:pPr>
        <w:spacing w:after="0" w:line="12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the fair presentation of the financial position of the Company and the Operating Partnership at June 30, 2021 and the results of operations for the periods presented have been included. The operating results for the period presented are not necessarily indicative of the results that may be expected for the year ending December 31, 2021. These financial statements should be read in conjunction with the financial statements and accompanying notes included in the Annual Report on Form 10-K for the year ended December 31, 2020 of the Company and the Operating Partnership.</w:t>
      </w:r>
    </w:p>
    <w:p>
      <w:pPr>
        <w:spacing w:after="0" w:line="70"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consolidated balance sheet at December 31, 2020 has been derived from the audited financial statements as of that date but does not include all the information and footnotes required by accounting principles generally accepted in the United States for complete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July 2021, the Company sold a 49% joint venture interest in 220 East 42nd Street for a gross asset valuation of $783.5 million and gross consideration of $790.1 million. The Company retained a 51% interest in the joint venture and will continue to oversee management and leasing of the property. At June 30, 2021, we determined that the held for sale criteria was not met for this property.</w:t>
      </w:r>
    </w:p>
    <w:p>
      <w:pPr>
        <w:spacing w:after="0" w:line="72" w:lineRule="exact"/>
        <w:rPr>
          <w:sz w:val="20"/>
          <w:szCs w:val="20"/>
          <w:color w:val="auto"/>
        </w:rPr>
      </w:pPr>
    </w:p>
    <w:p>
      <w:pPr>
        <w:ind w:right="8680" w:firstLine="8"/>
        <w:spacing w:after="0" w:line="453" w:lineRule="auto"/>
        <w:tabs>
          <w:tab w:leader="none" w:pos="18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Principles of Consolidation</w:t>
      </w:r>
    </w:p>
    <w:p>
      <w:pPr>
        <w:spacing w:after="0" w:line="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consolidated financial statements include our accounts and those of our subsidiaries, which are wholly-owned or controlled by us. Entities which we do not control through our voting interest and entities which are variable interest entities, but where we are not the primary beneficiary, are accounted for under the equity method. See Note 5, "Debt and Preferred Equity Investments" and Note 6, "Investments in Unconsolidated Joint Ventures." All significant intercompany balances and transactions have been eliminated.</w:t>
      </w:r>
    </w:p>
    <w:p>
      <w:pPr>
        <w:spacing w:after="0" w:line="79"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We consolidate a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Commercial Real Estate Properties</w:t>
      </w:r>
    </w:p>
    <w:p>
      <w:pPr>
        <w:spacing w:after="0" w:line="12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3 years to 40 years. We amortize the amount allocated to the above- and below-market leases over the remaining term of the associated lease, which generally range from 1 year to 15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1 year to 15 years.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its contractual expiration date). We assess fair value of the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w:t>
      </w:r>
    </w:p>
    <w:p>
      <w:pPr>
        <w:spacing w:after="0" w:line="7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The Company classifies those leases under which the Company is the lessee at lease commencement as finance or operating leases. Leases qualify as finance leases if the lease transfers ownership of the asset at the end of the lease term, the lease grants an option to purchase the asset that we are reasonably certain to exercise, the lease term is for a major part of the remaining economic life of the asset, or the present value of the lease payments exceeds substantially all of the fair value of the asset. Leases that do not qualify as finance leases are deemed to be operating leases. At lease commencement the Company records a lease liability which is measured as the present value of the lease payments and a right of use asset which is measured as the amount of the lease liability and any initial direct costs incurred. The Company applies a discount rate to determine the present value of the lease payments. If the rate implicit in the lease is known, the Company uses that rate. If the rate implicit in the lease is not known, the Company uses a discount rate reflective of the Company’s collateralized borrowing rate given the term of the lease. To determine the discount rate, the Company employs a third party specialist to develop an analysis based primarily on the observable borrowing rates of the Company, other REITs, and other corporate borrowers with long-term borrowings. On the consolidated statements of operations, operating leases are expensed through operating lease rent while financing leases are expensed through amortization and interest expense. On the consolidated balance sheets, financing leases include the amounts previously captioned "Properties under capital lease." When applicable, the Company combines the consideration for lease and non-lease components in the calculation of the value of the lease obligation and right-of-use asset.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On a periodic basis, we assess whether there are any indications that the value of our real estate properties may be impaired or that their carrying value may not be recoverable. A property's value is considered impaired if management's estimate of the aggregate future cash flows (undiscounted) to be generated by the property is less than the carrying value of the property. To the extent impairment has occurred, the loss will be measured as the excess of the carrying amount of the property over the fair value of the property as calculated in accordance with Accounting Standards Codification, or ASC 820. We also evaluate our real estate properties for impairment when a property has been classified as held for sale. Real estate assets held for sale are valued at the lower of their carrying value or fair value less costs to sell and depreciation expense is no longer recorded.</w:t>
      </w:r>
    </w:p>
    <w:p>
      <w:pPr>
        <w:spacing w:after="0" w:line="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 the three and six months ended June 30, 2021, we recognized a reduction of rental revenue of ($1.9 million) and ($3.8 million), respectively, for the amortization of aggregate above-market leases in excess of below-market leases resulting from the allocation of the purchase price of the applicable properties. For the three and six months ended June 30, 2020 , we recognized $1.6 million and $2.9 million, respectively, of additional rental revenue for the amortization of aggregate below-market leases in excess of above-market leases.</w:t>
      </w:r>
    </w:p>
    <w:p>
      <w:pPr>
        <w:spacing w:after="0" w:line="7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following summarizes our identified intangible assets (acquired above-market leases and in-place leases) and intangible liabilities (acquired below-market leases) as of June 30, 2021 and December 31, 2020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December 31, 2020</w:t>
            </w:r>
          </w:p>
        </w:tc>
      </w:tr>
      <w:tr>
        <w:trPr>
          <w:trHeight w:val="199"/>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Identified intangible assets (included in other assets):</w:t>
            </w:r>
          </w:p>
        </w:tc>
        <w:tc>
          <w:tcPr>
            <w:tcW w:w="30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Gross amount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220,873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215,673</w:t>
            </w: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(190,828)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(190,523)</w:t>
            </w:r>
          </w:p>
        </w:tc>
      </w:tr>
      <w:tr>
        <w:trPr>
          <w:trHeight w:val="212"/>
        </w:trPr>
        <w:tc>
          <w:tcPr>
            <w:tcW w:w="7140" w:type="dxa"/>
            <w:vAlign w:val="bottom"/>
          </w:tcPr>
          <w:p>
            <w:pPr>
              <w:ind w:left="20"/>
              <w:spacing w:after="0" w:line="213" w:lineRule="exact"/>
              <w:rPr>
                <w:sz w:val="20"/>
                <w:szCs w:val="20"/>
                <w:color w:val="auto"/>
              </w:rPr>
            </w:pPr>
            <w:r>
              <w:rPr>
                <w:rFonts w:ascii="Arial" w:cs="Arial" w:eastAsia="Arial" w:hAnsi="Arial"/>
                <w:sz w:val="16"/>
                <w:szCs w:val="16"/>
                <w:color w:val="auto"/>
              </w:rPr>
              <w:t>Net</w:t>
            </w:r>
            <w:r>
              <w:rPr>
                <w:rFonts w:ascii="Arial" w:cs="Arial" w:eastAsia="Arial" w:hAnsi="Arial"/>
                <w:sz w:val="21"/>
                <w:szCs w:val="21"/>
                <w:color w:val="auto"/>
                <w:vertAlign w:val="superscript"/>
              </w:rPr>
              <w:t>(1)</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25,150</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Identified intangible liabilities (included in deferred revenue):</w:t>
            </w: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Gross amount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225,029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241,409</w:t>
            </w: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(217,907)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(230,479)</w:t>
            </w:r>
          </w:p>
        </w:tc>
      </w:tr>
      <w:tr>
        <w:trPr>
          <w:trHeight w:val="212"/>
        </w:trPr>
        <w:tc>
          <w:tcPr>
            <w:tcW w:w="7140" w:type="dxa"/>
            <w:vAlign w:val="bottom"/>
          </w:tcPr>
          <w:p>
            <w:pPr>
              <w:ind w:left="20"/>
              <w:spacing w:after="0" w:line="213" w:lineRule="exact"/>
              <w:rPr>
                <w:sz w:val="20"/>
                <w:szCs w:val="20"/>
                <w:color w:val="auto"/>
              </w:rPr>
            </w:pPr>
            <w:r>
              <w:rPr>
                <w:rFonts w:ascii="Arial" w:cs="Arial" w:eastAsia="Arial" w:hAnsi="Arial"/>
                <w:sz w:val="16"/>
                <w:szCs w:val="16"/>
                <w:color w:val="auto"/>
              </w:rPr>
              <w:t>Net</w:t>
            </w:r>
            <w:r>
              <w:rPr>
                <w:rFonts w:ascii="Arial" w:cs="Arial" w:eastAsia="Arial" w:hAnsi="Arial"/>
                <w:sz w:val="21"/>
                <w:szCs w:val="21"/>
                <w:color w:val="auto"/>
                <w:vertAlign w:val="superscript"/>
              </w:rPr>
              <w:t>(1)</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10,930</w:t>
            </w:r>
          </w:p>
        </w:tc>
      </w:tr>
      <w:tr>
        <w:trPr>
          <w:trHeight w:val="21"/>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(1) As of June 30, 2021 and December 31, 2020, no net intangible assets and no net intangible liabilities were reclassified to assets held for sale or liabilities related to assets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all highly liquid investments with maturity of three months or less when purchased to be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Restricted cash primarily consists of security deposits held on behalf of our tenants, interest reserves, as well as capital improvement and real estate tax escrows required under certain loan agreements.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"Fair Value Measurements."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Marketable Securities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At acquisition, we designate a debt security as held-to-maturity, available-for-sale, or trading. As of June 30, 2021, we did not have any debt securities designated as held-to-maturity or trading. We account for our available-for-sale securities at fair value pursuant to ASC 820-10, with the net unrealized gains or losses reported as a component of accumulated other comprehensive income or loss. The cost of marketable securities sold and the amount reclassified out of accumulated other comprehensive income into earnings is determined using the specific identification method. Credit losses are recognized in accordance with ASC 326. We account for our equity marketable securities at fair value pursuant to ASC 820-10, with the net unrealized gains or losses reported in net income.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2021 and December 31, 2020, we held the following marketable securities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December 31, 2020</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mortgage-backed securities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28,570</w:t>
            </w:r>
          </w:p>
        </w:tc>
      </w:tr>
      <w:tr>
        <w:trPr>
          <w:trHeight w:val="207"/>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marketable securities available-for-sale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24,289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28,570</w:t>
            </w:r>
          </w:p>
        </w:tc>
      </w:tr>
      <w:tr>
        <w:trPr>
          <w:trHeight w:val="239"/>
        </w:trPr>
        <w:tc>
          <w:tcPr>
            <w:tcW w:w="7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1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marketable securities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investment in marketable securities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32,339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cost basis of the commercial mortgage-backed securities was $23.0 million and $27.5 million at June 30, 2021 and December 31, 2020, respectively. These securities mature at various times through 2035. All securities were in an unrealized gain position at June 30, 2021 and December 31, 2020 except for one security, which had an unrealized loss of $0.6 million and a fair market value of $7.1 million at June 30, 2021, and an unrealized loss of $0.7 million and a fair value of $7.0 million at December 31, 2020. This marketable security was in a continuous unrealized loss position for more than 12 months at June 30, 2021 and less than 12 months at December 31, 2020. We do not intend to sell these securities, and it is more likely than not that we will not be required to sell the investments before recovery of their amortized cost bases.</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held equity marketable securities as of June 30, 2021 and no equity marketable securities as of December 31, 2020. We recognized $1.9 million of unrealized losses for both the three and six months ended June 30, 2021.</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did not dispose of any debt or equity marketable securities during the three months ended June 30, 2021. During the six months ended June 30, 2021, we received aggregate net proceeds of $5.0 million from the repayment of one debt marketable security. During the three and six months ended June 30, 2020, we did not dispose of or receive repayment of any debt or equity marketable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Joint Ventures</w:t>
      </w:r>
    </w:p>
    <w:p>
      <w:pPr>
        <w:spacing w:after="0" w:line="12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actual and projected cash flows. We do not believe that the values of any of our equity investments were impaired at June 30,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Costs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Deferred lease costs consist of incremental fees and direct costs that would not have been incurred if the lease had not been obtained and are amortized on a straight-line basis over the related lease term.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Classification</w:t>
      </w:r>
    </w:p>
    <w:p>
      <w:pPr>
        <w:spacing w:after="0" w:line="12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Lease classification for leases under which the Company is the lessor is evaluated at lease commencement and leases not classified as sales-type leases or direct financing leases are classified as operating leases. Leases qualify as sales-type leases if the contract includes either transfer of ownership clauses, certain purchase options, a lease term representing a major part of the economic life of the asset, or the present value of the lease payments and residual guarantees provided by the lessee exceeds substantially all of the fair value of the asset. Additionally, leasing an asset so specialized that it is not deemed to have any value to the Company at the end of the lease term may also result in classification as a sales-type lease. Leases qualify as direct financing leases when the present value of the lease payments and residual value guarantees provided by the lessee and unrelated third parties exceeds substantially all of the fair value of the asset and collection of the payments is probable.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Rental revenue for operating leases is recognized on a straight-line basis over the term of the lease. Rental revenue recognition commences when the leased space is available for its intended use by the lessee.</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To determine whether the leased space is available for its intended use by the lessee, management evaluates whether we are the owner of tenant improvements for accounting purposes or if the tenant is.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of tenant improvements, rental revenue recognition begins when the tenant takes possession of or controls the space.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When management concludes that we are the owner of tenant improvements for accounting purposes, we record amounts funded to construct the tenant improvements as a capital asset. For these tenant improvements, we record amounts reimbursed by tenants as a reduction of the capital asset. When management concludes that the tenant is the owner of tenant improvements for accounting purposes, we record our contribution towards those improvements as a lease incentive, which is included in deferred costs, net on our consolidated balance sheets and amortized as a reduction to rental revenue on a straight-line basis over the term of the lease.</w:t>
      </w:r>
    </w:p>
    <w:p>
      <w:pPr>
        <w:spacing w:after="0" w:line="8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excess of rents recognized over amounts contractually due pursuant to the underlying leases are included in deferred rents receivable on the consolidated balance sheets.</w:t>
      </w:r>
    </w:p>
    <w:p>
      <w:pPr>
        <w:spacing w:after="0" w:line="6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addition to base rent, our tenants also generally will pay variable rent, which represents their pro rata share of increases in real estate taxes and certain operating expenses for the building over a base year. In some leases, in lieu of paying additional rent based upon increases in certain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 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spacing w:after="0" w:line="7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Rental revenue is recognized if collectability is probable.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spacing w:after="0" w:line="8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recognize lease concessions related to COVID-19, such as rent deferrals and abatements, in accordance with the Lease Modification Q&amp;A issued by the FASB in April 2020, which provides entities with the option to elect to account for lease concessions as though the enforceable rights and obligations existed in the original lease. This election is only available when total cash flows resulting from the modified lease are substantially similar to the cash flows in the original lease. When total cash flows resulting from the modified lease are not substantially similar to the cash flows in the original lease, we account for the concession agreement as a new lease.</w:t>
      </w:r>
    </w:p>
    <w:p>
      <w:pPr>
        <w:spacing w:after="0" w:line="8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provides its tenants with certain customary services for lease contracts such as common area maintenance and general security. We have elected to combine the non-lease components with the lease components of our operating lease agreements and account for them as a single lease component in accordance with ASC 842.</w:t>
      </w:r>
    </w:p>
    <w:p>
      <w:pPr>
        <w:spacing w:after="0" w:line="7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record a gain or loss on sale of real estate assets when we no longer have a controlling financial interest in the entity owning the real estate, a contract exists with a third party and that third party has control of the assets acquired.</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Investment income on debt and preferred equity investments is accrued based on the contractual terms of the instruments and when it is deemed collectible. Some debt and preferred equity investments provide for accrual of interest at specified rates, which differ from current payment terms. Interest is recognized on such loans at the accrual rate subject to management's determination that accrued interest is collectible. If management cannot make this determination, interest income above the current pay rate is recognized only upon actual receipt.</w:t>
      </w:r>
    </w:p>
    <w:p>
      <w:pPr>
        <w:spacing w:after="0" w:line="79"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 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flows and expected cash flows at acquisition is not accreted. Anticipated exit fees, the collection of which is expected, are also recognized over the term of the loan as an adjustment to yield.</w:t>
      </w:r>
    </w:p>
    <w:p>
      <w:pPr>
        <w:spacing w:after="0" w:line="62"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consider a debt and preferred equity investment to be past due when amounts contractually due have not been paid. Debt and preferred equity investments are placed on a non-accrual status at the earlier of the date at which payments become 90 days past due or when, in the opinion of management, a full recovery of interest income becomes doubtful. Interest income recognition is resumed on any debt or preferred equity investment that is on non-accrual status when such debt or preferred equity investment becomes contractually current and performance is demonstrated to be resumed.</w:t>
      </w:r>
    </w:p>
    <w:p>
      <w:pPr>
        <w:spacing w:after="0" w:line="4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may syndicate a portion of the loans that we originate or sell the loans individually. When a transaction meets the criteria for sale accounting, we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 management fees are recognized on a straight-line basis over the term of the asset management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Preferred Equity Investments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Debt and preferred equity investments are presented at the net amount expected to be collected in accordance with ASC 326. An allowance for loan losses is deducted from the amortized cost basis of the financial assets to present the net carrying value at the amount expected to be collected through the expected maturity date of such investments. The expense for loan loss and other investment reserves is the charge to earnings to adjust the allowance for loan losses to the appropriate level. Amounts are written off from the allowance when we de-recognize the related investment either as a result of a sale of the investment or acquisition of equity interests in the collateral.</w:t>
      </w:r>
    </w:p>
    <w:p>
      <w:pPr>
        <w:spacing w:after="0" w:line="8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 evaluates the amount expected to be collected based on current market and economic conditions, historical loss information, and reasonable and supportable forecasts. The Company's assumptions are derived from both internal data and external data which may include, among others, governmental economic projections for the New York City Metropolitan area, public data on recent transactions and filings for securitized debt instruments. This information is aggregated by asset class and adjusted for duration. Based on these inputs, loans are evaluated at the individual asset level. In certain instances, we may also use a probability-weighted model that considers the likelihood of multiple outcomes and the amount expected to be collected for each outcome.</w:t>
      </w:r>
    </w:p>
    <w:p>
      <w:pPr>
        <w:spacing w:after="0" w:line="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evaluation of the possible credit deterioration associated with the performance and/or value of the underlying collateral property as well as the financial and operating capability of the borrower/sponsor requires significant judgment, which include both asset level and market assumptions over the relevant time period.</w:t>
      </w:r>
    </w:p>
    <w:p>
      <w:pPr>
        <w:spacing w:after="0" w:line="7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 addition, quarterly, the Company assigns each loan a risk rating. Based on a 3-point scale, loans are rated “1” through “3,” from lower risk to higher risk, which ratings are defined as follows: 1 - Low Risk Assets - Low probability of loss, 2 - Watch List Assets - Higher potential for loss, 3 - High Risk Assets - Loss more likely than not. Loans with risk ratings of 2 or above are evaluated to determine whether the expected risk of loss is appropriately captured through the combination of our expectations of current conditions, historical loss information and supportable forecasts described above or whether risk characteristics specific to the loan warrant the use of a probability-weighted model.</w:t>
      </w:r>
    </w:p>
    <w:p>
      <w:pPr>
        <w:spacing w:after="0" w:line="6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Financing investments that are classified as held for sale are carried at the expected amount to be collected or fair market value using available market information obtained through consultation with dealers or other originators of such investments as well as discounted cash flow models based on Level 3 data pursuant to ASC 820-10. As circumstances change, management may conclude not to sell an investment designated as held for sale. In such situations, the investment will be reclassified at its expected amount to be collected.</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Other financing receivables that are included in balance sheet line items other than the Debt and preferred equity investments line are also measured at the net amount expected to be collected.</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Accrued interest receivable amounts related to these debt and preferred equity investment and other financing receivables are recorded at the net amount expected to be collected within Other assets in the consolidated balance sheets. Accrued interest receivables that are written off are recognized as an expense in loan loss and other investment reserves.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SL Green is taxed as a REIT under Section 856(c) of the Code. As a REIT, SL Green generally is not subject to Federal income tax. To maintain its qualification as a REIT, SL Green must distribute at least 90% of its REIT taxable income to its stockholders and meet certain other requirements. If SL Green fails to qualify as a REIT in any taxable year, SL Green will be subject to Federal income tax on its taxable income at regular corporate rates. SL Green may also be subject to certain state, local and franchise taxes. Under certain circumstances, Federal income and excise taxes may be due on its undistributed taxable income.</w:t>
      </w:r>
    </w:p>
    <w:p>
      <w:pPr>
        <w:spacing w:after="0" w:line="8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Operating Partnership is a partnership and, as a result, all income and losses of the partnership are allocated to the partners for inclusion in their respective income tax returns. The only provision for income taxes included in the consolidated statements of operations relates to the Operating Partnership’s consolidated taxable REIT subsidiaries. The Operating Partnership may also be subject to certain state, local and franchise taxes.</w:t>
      </w:r>
    </w:p>
    <w:p>
      <w:pPr>
        <w:spacing w:after="0" w:line="4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have elected, and may elect in the future, to treat certain of our corporate subsidiaries as taxable REIT subsidiaries, or TRSs. In general, TRSs may perform non-customary services for the tenants of the Company, hold assets that we cannot hold directly and generally may engage in any real estate or non-real estate related business. The TRSs generate income, resulting in Federal and state income tax liability for these entities.</w:t>
      </w:r>
    </w:p>
    <w:p>
      <w:pPr>
        <w:spacing w:after="0" w:line="5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the three and six months ended June 30, 2021, we recorded a Federal, state and local tax provision of $0.8 million and $1.5 million, respectively. During the three and six months ended June 30, 2020, we recorded a Federal, state and local provision of $0.9 million and $2.0 million, respectively.</w:t>
      </w:r>
    </w:p>
    <w:p>
      <w:pPr>
        <w:spacing w:after="0" w:line="7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follow 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is more-likely-than-not to be realized upon settlement. Derecognition of a tax position that was previously recognized would occur when a company subsequently determines that a tax position no longer meets the more-likely-than-not threshold of being sustained. The use of a valuation allowance as a substitute for derecognition of tax positions is prohibited.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investments, debt and preferred equity investments and accounts receivable. We place our cash investments with high quality financial institutions. The collateral securing our debt and preferred equity investments is located in New York City. See Note 5, "Debt and Preferred Equity Investments."</w:t>
      </w:r>
    </w:p>
    <w:p>
      <w:pPr>
        <w:spacing w:after="0" w:line="76"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perform initial and ongoing evaluations of the credit quality of our tenants and require most tenants to provide security deposits or letters of credit. Though these security deposits and letters of credit are insufficient to meet the total value of a tenant's lease obligation, they are a measure of good faith and a potential source of funds to offset the economic costs associated with lost revenue from that tenant and the costs associated with re-tenanting a space. The properties in our real estate portfolio are located in the New York metropolitan area. The tenants located in our buildings operate in various industries. Other than one tenant, Viacom CBS Inc., which accounted for 6.0% of our share of annualized cash rent as of June 30, 2021, no other tenant in our portfolio accounted for more than 5.0% of our share of annualized cash rent, including our share of joint venture annualized rent, at June 30, 2021.</w:t>
      </w:r>
    </w:p>
    <w:p>
      <w:pPr>
        <w:spacing w:after="0" w:line="5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the three months ended June 30, 2021, the following properties contributed more than 5.0% of our annualized cash rent from office properties, including our share of annualized cash rent from joint venture office properties: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Property</w:t>
            </w:r>
          </w:p>
        </w:tc>
        <w:tc>
          <w:tcPr>
            <w:tcW w:w="6020" w:type="dxa"/>
            <w:vAlign w:val="bottom"/>
            <w:tcBorders>
              <w:bottom w:val="single" w:sz="8" w:color="auto"/>
            </w:tcBorders>
          </w:tcPr>
          <w:p>
            <w:pPr>
              <w:jc w:val="center"/>
              <w:ind w:left="2339"/>
              <w:spacing w:after="0"/>
              <w:rPr>
                <w:sz w:val="20"/>
                <w:szCs w:val="20"/>
                <w:color w:val="auto"/>
              </w:rPr>
            </w:pPr>
            <w:r>
              <w:rPr>
                <w:rFonts w:ascii="Arial" w:cs="Arial" w:eastAsia="Arial" w:hAnsi="Arial"/>
                <w:sz w:val="16"/>
                <w:szCs w:val="16"/>
                <w:b w:val="1"/>
                <w:bCs w:val="1"/>
                <w:color w:val="auto"/>
                <w:w w:val="90"/>
              </w:rPr>
              <w:t>Three months ended June 30, 2021</w:t>
            </w:r>
          </w:p>
        </w:tc>
      </w:tr>
      <w:tr>
        <w:trPr>
          <w:trHeight w:val="21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 Madison Avenue</w:t>
            </w:r>
          </w:p>
        </w:tc>
        <w:tc>
          <w:tcPr>
            <w:tcW w:w="6020" w:type="dxa"/>
            <w:vAlign w:val="bottom"/>
            <w:shd w:val="clear" w:color="auto" w:fill="CCEEFF"/>
          </w:tcPr>
          <w:p>
            <w:pPr>
              <w:jc w:val="center"/>
              <w:ind w:left="2319"/>
              <w:spacing w:after="0"/>
              <w:rPr>
                <w:sz w:val="20"/>
                <w:szCs w:val="20"/>
                <w:color w:val="auto"/>
              </w:rPr>
            </w:pPr>
            <w:r>
              <w:rPr>
                <w:rFonts w:ascii="Arial" w:cs="Arial" w:eastAsia="Arial" w:hAnsi="Arial"/>
                <w:sz w:val="16"/>
                <w:szCs w:val="16"/>
                <w:color w:val="auto"/>
                <w:w w:val="93"/>
              </w:rPr>
              <w:t>9.4%</w:t>
            </w: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420</w:t>
            </w:r>
          </w:p>
        </w:tc>
        <w:tc>
          <w:tcPr>
            <w:tcW w:w="4940" w:type="dxa"/>
            <w:vAlign w:val="bottom"/>
          </w:tcPr>
          <w:p>
            <w:pPr>
              <w:ind w:left="20"/>
              <w:spacing w:after="0"/>
              <w:rPr>
                <w:sz w:val="20"/>
                <w:szCs w:val="20"/>
                <w:color w:val="auto"/>
              </w:rPr>
            </w:pPr>
            <w:r>
              <w:rPr>
                <w:rFonts w:ascii="Arial" w:cs="Arial" w:eastAsia="Arial" w:hAnsi="Arial"/>
                <w:sz w:val="16"/>
                <w:szCs w:val="16"/>
                <w:color w:val="auto"/>
              </w:rPr>
              <w:t>Lexington Avenue (Graybar)</w:t>
            </w:r>
          </w:p>
        </w:tc>
        <w:tc>
          <w:tcPr>
            <w:tcW w:w="6020" w:type="dxa"/>
            <w:vAlign w:val="bottom"/>
          </w:tcPr>
          <w:p>
            <w:pPr>
              <w:jc w:val="center"/>
              <w:ind w:left="2319"/>
              <w:spacing w:after="0"/>
              <w:rPr>
                <w:sz w:val="20"/>
                <w:szCs w:val="20"/>
                <w:color w:val="auto"/>
              </w:rPr>
            </w:pPr>
            <w:r>
              <w:rPr>
                <w:rFonts w:ascii="Arial" w:cs="Arial" w:eastAsia="Arial" w:hAnsi="Arial"/>
                <w:sz w:val="16"/>
                <w:szCs w:val="16"/>
                <w:color w:val="auto"/>
                <w:w w:val="93"/>
              </w:rPr>
              <w:t>7.5%</w:t>
            </w:r>
          </w:p>
        </w:tc>
      </w:tr>
      <w:tr>
        <w:trPr>
          <w:trHeight w:val="21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1515 Broadway</w:t>
            </w:r>
          </w:p>
        </w:tc>
        <w:tc>
          <w:tcPr>
            <w:tcW w:w="6020" w:type="dxa"/>
            <w:vAlign w:val="bottom"/>
            <w:shd w:val="clear" w:color="auto" w:fill="CCEEFF"/>
          </w:tcPr>
          <w:p>
            <w:pPr>
              <w:jc w:val="center"/>
              <w:ind w:left="2319"/>
              <w:spacing w:after="0"/>
              <w:rPr>
                <w:sz w:val="20"/>
                <w:szCs w:val="20"/>
                <w:color w:val="auto"/>
              </w:rPr>
            </w:pPr>
            <w:r>
              <w:rPr>
                <w:rFonts w:ascii="Arial" w:cs="Arial" w:eastAsia="Arial" w:hAnsi="Arial"/>
                <w:sz w:val="16"/>
                <w:szCs w:val="16"/>
                <w:color w:val="auto"/>
                <w:w w:val="93"/>
              </w:rPr>
              <w:t>7.4%</w:t>
            </w:r>
          </w:p>
        </w:tc>
      </w:tr>
      <w:tr>
        <w:trPr>
          <w:trHeight w:val="213"/>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1185 Avenue of the Americas</w:t>
            </w:r>
          </w:p>
        </w:tc>
        <w:tc>
          <w:tcPr>
            <w:tcW w:w="6020" w:type="dxa"/>
            <w:vAlign w:val="bottom"/>
          </w:tcPr>
          <w:p>
            <w:pPr>
              <w:jc w:val="center"/>
              <w:ind w:left="2319"/>
              <w:spacing w:after="0"/>
              <w:rPr>
                <w:sz w:val="20"/>
                <w:szCs w:val="20"/>
                <w:color w:val="auto"/>
              </w:rPr>
            </w:pPr>
            <w:r>
              <w:rPr>
                <w:rFonts w:ascii="Arial" w:cs="Arial" w:eastAsia="Arial" w:hAnsi="Arial"/>
                <w:sz w:val="16"/>
                <w:szCs w:val="16"/>
                <w:color w:val="auto"/>
                <w:w w:val="93"/>
              </w:rPr>
              <w:t>7.3%</w:t>
            </w:r>
          </w:p>
        </w:tc>
      </w:tr>
      <w:tr>
        <w:trPr>
          <w:trHeight w:val="21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220</w:t>
            </w: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42nd Street</w:t>
            </w:r>
          </w:p>
        </w:tc>
        <w:tc>
          <w:tcPr>
            <w:tcW w:w="6020" w:type="dxa"/>
            <w:vAlign w:val="bottom"/>
            <w:shd w:val="clear" w:color="auto" w:fill="CCEEFF"/>
          </w:tcPr>
          <w:p>
            <w:pPr>
              <w:jc w:val="center"/>
              <w:ind w:left="2319"/>
              <w:spacing w:after="0"/>
              <w:rPr>
                <w:sz w:val="20"/>
                <w:szCs w:val="20"/>
                <w:color w:val="auto"/>
              </w:rPr>
            </w:pPr>
            <w:r>
              <w:rPr>
                <w:rFonts w:ascii="Arial" w:cs="Arial" w:eastAsia="Arial" w:hAnsi="Arial"/>
                <w:sz w:val="16"/>
                <w:szCs w:val="16"/>
                <w:color w:val="auto"/>
                <w:w w:val="93"/>
              </w:rPr>
              <w:t>6.5%</w:t>
            </w: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280</w:t>
            </w:r>
          </w:p>
        </w:tc>
        <w:tc>
          <w:tcPr>
            <w:tcW w:w="4940" w:type="dxa"/>
            <w:vAlign w:val="bottom"/>
          </w:tcPr>
          <w:p>
            <w:pPr>
              <w:ind w:left="20"/>
              <w:spacing w:after="0"/>
              <w:rPr>
                <w:sz w:val="20"/>
                <w:szCs w:val="20"/>
                <w:color w:val="auto"/>
              </w:rPr>
            </w:pPr>
            <w:r>
              <w:rPr>
                <w:rFonts w:ascii="Arial" w:cs="Arial" w:eastAsia="Arial" w:hAnsi="Arial"/>
                <w:sz w:val="16"/>
                <w:szCs w:val="16"/>
                <w:color w:val="auto"/>
              </w:rPr>
              <w:t>Park Avenue</w:t>
            </w:r>
          </w:p>
        </w:tc>
        <w:tc>
          <w:tcPr>
            <w:tcW w:w="6020" w:type="dxa"/>
            <w:vAlign w:val="bottom"/>
          </w:tcPr>
          <w:p>
            <w:pPr>
              <w:jc w:val="center"/>
              <w:ind w:left="2319"/>
              <w:spacing w:after="0"/>
              <w:rPr>
                <w:sz w:val="20"/>
                <w:szCs w:val="20"/>
                <w:color w:val="auto"/>
              </w:rPr>
            </w:pPr>
            <w:r>
              <w:rPr>
                <w:rFonts w:ascii="Arial" w:cs="Arial" w:eastAsia="Arial" w:hAnsi="Arial"/>
                <w:sz w:val="16"/>
                <w:szCs w:val="16"/>
                <w:color w:val="auto"/>
                <w:w w:val="93"/>
              </w:rPr>
              <w:t>5.9%</w:t>
            </w:r>
          </w:p>
        </w:tc>
      </w:tr>
      <w:tr>
        <w:trPr>
          <w:trHeight w:val="21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485</w:t>
            </w:r>
          </w:p>
        </w:tc>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Lexington Avenue</w:t>
            </w:r>
          </w:p>
        </w:tc>
        <w:tc>
          <w:tcPr>
            <w:tcW w:w="6020" w:type="dxa"/>
            <w:vAlign w:val="bottom"/>
            <w:shd w:val="clear" w:color="auto" w:fill="CCEEFF"/>
          </w:tcPr>
          <w:p>
            <w:pPr>
              <w:jc w:val="center"/>
              <w:ind w:left="2319"/>
              <w:spacing w:after="0"/>
              <w:rPr>
                <w:sz w:val="20"/>
                <w:szCs w:val="20"/>
                <w:color w:val="auto"/>
              </w:rPr>
            </w:pPr>
            <w:r>
              <w:rPr>
                <w:rFonts w:ascii="Arial" w:cs="Arial" w:eastAsia="Arial" w:hAnsi="Arial"/>
                <w:sz w:val="16"/>
                <w:szCs w:val="16"/>
                <w:color w:val="auto"/>
                <w:w w:val="93"/>
              </w:rPr>
              <w:t>5.1%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balances have been reclassified to conform to our current year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August 2020, the FASB issued Accounting Standard Update, or "ASU," No. 2020-06 Debt - Debt with Conversion and Other Options (Subtopic 470-20) and Derivatives and Hedging - Contracts in Entity's Own Equity (Subtopic 815-40). ASU 2020-06 simplifies the 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ASU 2020-06 is effective for reporting periods beginning after December 15, 2021, with early adoption permitted. We are currently evaluating the impact of the adoption of ASU 2020-06 on our consolidated financial statements, but do not believe the adoption of this standard will have a material impact on our consolidated financial statements.</w:t>
      </w:r>
    </w:p>
    <w:p>
      <w:pPr>
        <w:spacing w:after="0" w:line="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and then in January 2021, the FASB issued ASU No. 2021-01. The amendments provide practical expedients for reference rate reform related activities that impact debt, leases, derivatives and other contracts. The guidance is optional and is effective between March 12, 2020 and December 31, 2022. The guidance may be elected over time as reference rate reform activities occur. During the first quarter of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the guidance and may apply other elections as applicable as additional changes in the market occur.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July 2021, the FASB issued ASU No. 2021-05 Leases (Topic 842) Lessors - Certain Leases with Variable Lease Payments. ASU 2021-05 amends the lease classification requirements for lessors when classifying and accounting for a lease with variable lease payments that do not depend on a reference rate index or a rate. The update provides criteria, that if met, the lease would be classified and accounted for as an operating lease. ASU 2021-05 is effective for reporting periods beginning after December 15, 2021, with early adoption permitted. We are currently evaluating the impact of the adoption of ASU 2021-05 on our consolidated financial statements, but do not believe the adoption of this standard will have a material impact on our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properties acquired during the six months ended June 30,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Approximate</w:t>
            </w:r>
          </w:p>
        </w:tc>
        <w:tc>
          <w:tcPr>
            <w:tcW w:w="220" w:type="dxa"/>
            <w:vAlign w:val="bottom"/>
          </w:tcPr>
          <w:p>
            <w:pPr>
              <w:spacing w:after="0"/>
              <w:rPr>
                <w:sz w:val="16"/>
                <w:szCs w:val="16"/>
                <w:color w:val="auto"/>
              </w:rPr>
            </w:pPr>
          </w:p>
        </w:tc>
        <w:tc>
          <w:tcPr>
            <w:tcW w:w="1280" w:type="dxa"/>
            <w:vAlign w:val="bottom"/>
          </w:tcPr>
          <w:p>
            <w:pPr>
              <w:jc w:val="center"/>
              <w:ind w:right="139"/>
              <w:spacing w:after="0"/>
              <w:rPr>
                <w:sz w:val="20"/>
                <w:szCs w:val="20"/>
                <w:color w:val="auto"/>
              </w:rPr>
            </w:pPr>
            <w:r>
              <w:rPr>
                <w:rFonts w:ascii="Arial" w:cs="Arial" w:eastAsia="Arial" w:hAnsi="Arial"/>
                <w:sz w:val="16"/>
                <w:szCs w:val="16"/>
                <w:b w:val="1"/>
                <w:bCs w:val="1"/>
                <w:color w:val="auto"/>
                <w:w w:val="86"/>
              </w:rPr>
              <w:t>Gross Asset</w:t>
            </w:r>
          </w:p>
        </w:tc>
        <w:tc>
          <w:tcPr>
            <w:tcW w:w="0" w:type="dxa"/>
            <w:vAlign w:val="bottom"/>
          </w:tcPr>
          <w:p>
            <w:pPr>
              <w:spacing w:after="0"/>
              <w:rPr>
                <w:sz w:val="1"/>
                <w:szCs w:val="1"/>
                <w:color w:val="auto"/>
              </w:rPr>
            </w:pPr>
          </w:p>
        </w:tc>
      </w:tr>
      <w:tr>
        <w:trPr>
          <w:trHeight w:val="162"/>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120" w:type="dxa"/>
            <w:vAlign w:val="bottom"/>
            <w:vMerge w:val="restart"/>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Acquisition Date</w:t>
            </w:r>
          </w:p>
        </w:tc>
        <w:tc>
          <w:tcPr>
            <w:tcW w:w="100" w:type="dxa"/>
            <w:vAlign w:val="bottom"/>
            <w:vMerge w:val="restart"/>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Property Type</w:t>
            </w:r>
          </w:p>
        </w:tc>
        <w:tc>
          <w:tcPr>
            <w:tcW w:w="120" w:type="dxa"/>
            <w:vAlign w:val="bottom"/>
            <w:vMerge w:val="restart"/>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1"/>
              </w:rPr>
              <w:t>Valuation</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Square Feet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885</w:t>
            </w:r>
          </w:p>
        </w:tc>
        <w:tc>
          <w:tcPr>
            <w:tcW w:w="466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Third Avenue </w:t>
            </w:r>
            <w:r>
              <w:rPr>
                <w:rFonts w:ascii="Arial" w:cs="Arial" w:eastAsia="Arial" w:hAnsi="Arial"/>
                <w:sz w:val="21"/>
                <w:szCs w:val="21"/>
                <w:color w:val="auto"/>
                <w:vertAlign w:val="superscript"/>
              </w:rPr>
              <w:t>(1)</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2021</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279"/>
        </w:trPr>
        <w:tc>
          <w:tcPr>
            <w:tcW w:w="280" w:type="dxa"/>
            <w:vAlign w:val="bottom"/>
          </w:tcPr>
          <w:p>
            <w:pPr>
              <w:ind w:left="20"/>
              <w:spacing w:after="0"/>
              <w:rPr>
                <w:sz w:val="20"/>
                <w:szCs w:val="20"/>
                <w:color w:val="auto"/>
              </w:rPr>
            </w:pPr>
            <w:r>
              <w:rPr>
                <w:rFonts w:ascii="Arial" w:cs="Arial" w:eastAsia="Arial" w:hAnsi="Arial"/>
                <w:sz w:val="16"/>
                <w:szCs w:val="16"/>
                <w:color w:val="auto"/>
                <w:w w:val="89"/>
              </w:rPr>
              <w:t>461</w:t>
            </w: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 xml:space="preserve">Fifth Avenue </w:t>
            </w:r>
            <w:r>
              <w:rPr>
                <w:rFonts w:ascii="Arial" w:cs="Arial" w:eastAsia="Arial" w:hAnsi="Arial"/>
                <w:sz w:val="21"/>
                <w:szCs w:val="21"/>
                <w:color w:val="auto"/>
                <w:vertAlign w:val="superscript"/>
              </w:rPr>
              <w:t>(2)</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50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20" w:hanging="412"/>
        <w:spacing w:after="0" w:line="245" w:lineRule="auto"/>
        <w:tabs>
          <w:tab w:leader="none" w:pos="412"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January 2021, pursuant to the partnership documents of our 885 Third Avenue investment, certain participating rights of the common member expired. As a result, it was determined that this investment is a VIE of which we are the primary beneficiary, and the investment was consolidated in our financial statements. Upon consolidating the entity, the assets and liabilities of the entity were recorded at fair value. Prior to January 2021, the investment was accounted for under the equity method. See Note 6, "Investments in Unconsolidated Joint Ventures" and Note 16, "Fair Value Measurements."</w:t>
      </w:r>
    </w:p>
    <w:p>
      <w:pPr>
        <w:spacing w:after="0" w:line="2" w:lineRule="exact"/>
        <w:rPr>
          <w:rFonts w:ascii="Arial" w:cs="Arial" w:eastAsia="Arial" w:hAnsi="Arial"/>
          <w:sz w:val="14"/>
          <w:szCs w:val="14"/>
          <w:color w:val="auto"/>
        </w:rPr>
      </w:pPr>
    </w:p>
    <w:p>
      <w:pPr>
        <w:ind w:left="420" w:right="580" w:hanging="412"/>
        <w:spacing w:after="0" w:line="237" w:lineRule="auto"/>
        <w:tabs>
          <w:tab w:leader="none" w:pos="412"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April 2021, the Company exercised its option to acquire the fee interest in the property from the ground lessor. The Company held the leasehold interest in the property prior to exercising its option.</w:t>
      </w:r>
    </w:p>
    <w:p>
      <w:pPr>
        <w:spacing w:after="0" w:line="210" w:lineRule="exact"/>
        <w:rPr>
          <w:sz w:val="20"/>
          <w:szCs w:val="20"/>
          <w:color w:val="auto"/>
        </w:rPr>
      </w:pPr>
    </w:p>
    <w:p>
      <w:pPr>
        <w:ind w:right="7160" w:firstLine="8"/>
        <w:spacing w:after="0" w:line="377"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Properties Held for Sale and Property Dispositions Properties Held for Sale</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As of June 30, 2021, no properties were classified as held for sale.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Dispositions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properties disposed of during the six months ended June 30,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Approximate</w:t>
            </w: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Gross Asset</w:t>
            </w:r>
          </w:p>
        </w:tc>
        <w:tc>
          <w:tcPr>
            <w:tcW w:w="160" w:type="dxa"/>
            <w:vAlign w:val="bottom"/>
          </w:tcPr>
          <w:p>
            <w:pPr>
              <w:spacing w:after="0"/>
              <w:rPr>
                <w:sz w:val="16"/>
                <w:szCs w:val="16"/>
                <w:color w:val="auto"/>
              </w:rPr>
            </w:pPr>
          </w:p>
        </w:tc>
        <w:tc>
          <w:tcPr>
            <w:tcW w:w="13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6"/>
              </w:rPr>
              <w:t>Gain (Loss) (in</w:t>
            </w:r>
          </w:p>
        </w:tc>
        <w:tc>
          <w:tcPr>
            <w:tcW w:w="0" w:type="dxa"/>
            <w:vAlign w:val="bottom"/>
          </w:tcPr>
          <w:p>
            <w:pPr>
              <w:spacing w:after="0"/>
              <w:rPr>
                <w:sz w:val="1"/>
                <w:szCs w:val="1"/>
                <w:color w:val="auto"/>
              </w:rPr>
            </w:pPr>
          </w:p>
        </w:tc>
      </w:tr>
      <w:tr>
        <w:trPr>
          <w:trHeight w:val="162"/>
        </w:trPr>
        <w:tc>
          <w:tcPr>
            <w:tcW w:w="3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100" w:type="dxa"/>
            <w:vAlign w:val="bottom"/>
            <w:vMerge w:val="restart"/>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Disposition Date</w:t>
            </w:r>
          </w:p>
        </w:tc>
        <w:tc>
          <w:tcPr>
            <w:tcW w:w="100" w:type="dxa"/>
            <w:vAlign w:val="bottom"/>
            <w:vMerge w:val="restart"/>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Property Type</w:t>
            </w:r>
          </w:p>
        </w:tc>
        <w:tc>
          <w:tcPr>
            <w:tcW w:w="120" w:type="dxa"/>
            <w:vAlign w:val="bottom"/>
            <w:vMerge w:val="restart"/>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1"/>
              </w:rPr>
              <w:t>Valuation</w:t>
            </w: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Square Feet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(in millions)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9"/>
              <w:spacing w:after="0" w:line="216" w:lineRule="exact"/>
              <w:rPr>
                <w:sz w:val="20"/>
                <w:szCs w:val="20"/>
                <w:color w:val="auto"/>
              </w:rPr>
            </w:pPr>
            <w:r>
              <w:rPr>
                <w:rFonts w:ascii="Arial" w:cs="Arial" w:eastAsia="Arial" w:hAnsi="Arial"/>
                <w:sz w:val="16"/>
                <w:szCs w:val="16"/>
                <w:b w:val="1"/>
                <w:bCs w:val="1"/>
                <w:color w:val="auto"/>
              </w:rPr>
              <w:t xml:space="preserve">millions)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0"/>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712</w:t>
            </w:r>
          </w:p>
        </w:tc>
        <w:tc>
          <w:tcPr>
            <w:tcW w:w="30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Madison Avenue </w:t>
            </w:r>
            <w:r>
              <w:rPr>
                <w:rFonts w:ascii="Arial" w:cs="Arial" w:eastAsia="Arial" w:hAnsi="Arial"/>
                <w:sz w:val="21"/>
                <w:szCs w:val="21"/>
                <w:color w:val="auto"/>
                <w:vertAlign w:val="superscript"/>
              </w:rPr>
              <w:t>(2)</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2021</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Arial" w:cs="Arial" w:eastAsia="Arial" w:hAnsi="Arial"/>
                <w:sz w:val="16"/>
                <w:szCs w:val="16"/>
                <w:color w:val="auto"/>
                <w:w w:val="89"/>
              </w:rPr>
              <w:t>133</w:t>
            </w:r>
          </w:p>
        </w:tc>
        <w:tc>
          <w:tcPr>
            <w:tcW w:w="30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Greene Street </w:t>
            </w:r>
            <w:r>
              <w:rPr>
                <w:rFonts w:ascii="Arial" w:cs="Arial" w:eastAsia="Arial" w:hAnsi="Arial"/>
                <w:sz w:val="21"/>
                <w:szCs w:val="21"/>
                <w:color w:val="auto"/>
                <w:vertAlign w:val="superscript"/>
              </w:rPr>
              <w:t>(3)</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February 2021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500" w:type="dxa"/>
            <w:vAlign w:val="bottom"/>
          </w:tcPr>
          <w:p>
            <w:pPr>
              <w:jc w:val="right"/>
              <w:spacing w:after="0"/>
              <w:rPr>
                <w:sz w:val="20"/>
                <w:szCs w:val="20"/>
                <w:color w:val="auto"/>
              </w:rPr>
            </w:pPr>
            <w:r>
              <w:rPr>
                <w:rFonts w:ascii="Arial" w:cs="Arial" w:eastAsia="Arial" w:hAnsi="Arial"/>
                <w:sz w:val="16"/>
                <w:szCs w:val="16"/>
                <w:color w:val="auto"/>
              </w:rPr>
              <w:t>6,425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106</w:t>
            </w:r>
          </w:p>
        </w:tc>
        <w:tc>
          <w:tcPr>
            <w:tcW w:w="30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Spring Street </w:t>
            </w:r>
            <w:r>
              <w:rPr>
                <w:rFonts w:ascii="Arial" w:cs="Arial" w:eastAsia="Arial" w:hAnsi="Arial"/>
                <w:sz w:val="21"/>
                <w:szCs w:val="21"/>
                <w:color w:val="auto"/>
                <w:vertAlign w:val="superscript"/>
              </w:rPr>
              <w:t>(3)</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March 2021</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0"/>
        </w:trPr>
        <w:tc>
          <w:tcPr>
            <w:tcW w:w="3360" w:type="dxa"/>
            <w:vAlign w:val="bottom"/>
            <w:gridSpan w:val="3"/>
          </w:tcPr>
          <w:p>
            <w:pPr>
              <w:ind w:left="20"/>
              <w:spacing w:after="0"/>
              <w:rPr>
                <w:sz w:val="20"/>
                <w:szCs w:val="20"/>
                <w:color w:val="auto"/>
              </w:rPr>
            </w:pPr>
            <w:r>
              <w:rPr>
                <w:rFonts w:ascii="Arial" w:cs="Arial" w:eastAsia="Arial" w:hAnsi="Arial"/>
                <w:sz w:val="16"/>
                <w:szCs w:val="16"/>
                <w:color w:val="auto"/>
              </w:rPr>
              <w:t>635-641 Sixth Avenue</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Fee Interest</w:t>
            </w:r>
          </w:p>
        </w:tc>
        <w:tc>
          <w:tcPr>
            <w:tcW w:w="1500" w:type="dxa"/>
            <w:vAlign w:val="bottom"/>
          </w:tcPr>
          <w:p>
            <w:pPr>
              <w:jc w:val="right"/>
              <w:spacing w:after="0"/>
              <w:rPr>
                <w:sz w:val="20"/>
                <w:szCs w:val="20"/>
                <w:color w:val="auto"/>
              </w:rPr>
            </w:pPr>
            <w:r>
              <w:rPr>
                <w:rFonts w:ascii="Arial" w:cs="Arial" w:eastAsia="Arial" w:hAnsi="Arial"/>
                <w:sz w:val="16"/>
                <w:szCs w:val="16"/>
                <w:color w:val="auto"/>
              </w:rPr>
              <w:t>267,000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20" w:hanging="412"/>
        <w:spacing w:after="0" w:line="250" w:lineRule="auto"/>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gain (loss) on sale is net of $5.7 million of employee compensation accrued in connection with the realization of the investment gains during the six months ended June 30, 2021. Additionally, the amounts do not include adjustments for expenses recorded in subsequent periods.</w:t>
      </w:r>
    </w:p>
    <w:p>
      <w:pPr>
        <w:ind w:left="400" w:hanging="392"/>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Disposition resulted from the buyer exercising its purchase option under a ground lease arrangement.</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the first quarter of 2021, the property was foreclosed by the lender in conjunction with the related debt extinguishment.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Preferred Equity Investments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Below is a summary of the activity in our debt and preferred equity investments for the six months ended June 30, 2021 and the twelve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 2020</w:t>
            </w:r>
          </w:p>
        </w:tc>
      </w:tr>
      <w:tr>
        <w:trPr>
          <w:trHeight w:val="213"/>
        </w:trPr>
        <w:tc>
          <w:tcPr>
            <w:tcW w:w="732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Balance at beginning of year </w:t>
            </w:r>
            <w:r>
              <w:rPr>
                <w:rFonts w:ascii="Arial" w:cs="Arial" w:eastAsia="Arial" w:hAnsi="Arial"/>
                <w:sz w:val="21"/>
                <w:szCs w:val="21"/>
                <w:color w:val="auto"/>
                <w:vertAlign w:val="superscript"/>
              </w:rPr>
              <w:t>(1)</w:t>
            </w: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1,076,542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1,580,306</w:t>
            </w:r>
          </w:p>
        </w:tc>
      </w:tr>
      <w:tr>
        <w:trPr>
          <w:trHeight w:val="216"/>
        </w:trPr>
        <w:tc>
          <w:tcPr>
            <w:tcW w:w="73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Debt investment originations/fundings/accretion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89,990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389,300</w:t>
            </w:r>
          </w:p>
        </w:tc>
      </w:tr>
      <w:tr>
        <w:trPr>
          <w:trHeight w:val="216"/>
        </w:trPr>
        <w:tc>
          <w:tcPr>
            <w:tcW w:w="7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Preferred equity investment originations/accretion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167,042</w:t>
            </w:r>
          </w:p>
        </w:tc>
      </w:tr>
      <w:tr>
        <w:trPr>
          <w:trHeight w:val="216"/>
        </w:trPr>
        <w:tc>
          <w:tcPr>
            <w:tcW w:w="73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Redemptions/sales/syndications/equity ownership/amortization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(100,290)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(1,048,643)</w:t>
            </w:r>
          </w:p>
        </w:tc>
      </w:tr>
      <w:tr>
        <w:trPr>
          <w:trHeight w:val="213"/>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loan loss reserves</w:t>
            </w: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(11,463)</w:t>
            </w:r>
          </w:p>
        </w:tc>
      </w:tr>
      <w:tr>
        <w:trPr>
          <w:trHeight w:val="212"/>
        </w:trPr>
        <w:tc>
          <w:tcPr>
            <w:tcW w:w="732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Balance at end of period </w:t>
            </w:r>
            <w:r>
              <w:rPr>
                <w:rFonts w:ascii="Arial" w:cs="Arial" w:eastAsia="Arial" w:hAnsi="Arial"/>
                <w:sz w:val="21"/>
                <w:szCs w:val="21"/>
                <w:color w:val="auto"/>
                <w:vertAlign w:val="superscript"/>
              </w:rPr>
              <w:t>(1)</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1,072,711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1,076,542</w:t>
            </w:r>
          </w:p>
        </w:tc>
      </w:tr>
      <w:tr>
        <w:trPr>
          <w:trHeight w:val="21"/>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unamortized fees, discounts, and premiums.</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Accretion includes amortization of fees and discounts and paid-in-kind investment income.</w:t>
      </w:r>
    </w:p>
    <w:p>
      <w:pPr>
        <w:spacing w:after="0" w:line="1" w:lineRule="exact"/>
        <w:rPr>
          <w:rFonts w:ascii="Arial" w:cs="Arial" w:eastAsia="Arial" w:hAnsi="Arial"/>
          <w:sz w:val="14"/>
          <w:szCs w:val="14"/>
          <w:color w:val="auto"/>
        </w:rPr>
      </w:pPr>
    </w:p>
    <w:p>
      <w:pPr>
        <w:ind w:left="420" w:hanging="412"/>
        <w:spacing w:after="0" w:line="255" w:lineRule="auto"/>
        <w:tabs>
          <w:tab w:leader="none" w:pos="412" w:val="left"/>
        </w:tabs>
        <w:numPr>
          <w:ilvl w:val="0"/>
          <w:numId w:val="12"/>
        </w:numPr>
        <w:rPr>
          <w:rFonts w:ascii="Arial" w:cs="Arial" w:eastAsia="Arial" w:hAnsi="Arial"/>
          <w:sz w:val="14"/>
          <w:szCs w:val="14"/>
          <w:color w:val="auto"/>
        </w:rPr>
      </w:pPr>
      <w:r>
        <w:rPr>
          <w:rFonts w:ascii="Arial" w:cs="Arial" w:eastAsia="Arial" w:hAnsi="Arial"/>
          <w:sz w:val="14"/>
          <w:szCs w:val="14"/>
          <w:color w:val="auto"/>
        </w:rPr>
        <w:t>Certain participations in debt investments that were sold or syndicated, but did not meet the conditions for sale accounting, are included in Other assets and Other liabilities on the consolidated balance sheets.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our debt and preferred equity investments as of June 30, 2021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Floating Rate</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6"/>
                <w:szCs w:val="16"/>
                <w:b w:val="1"/>
                <w:bCs w:val="1"/>
                <w:color w:val="auto"/>
              </w:rPr>
              <w:t>Fixed Rate</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restart"/>
          </w:tcPr>
          <w:p>
            <w:pPr>
              <w:jc w:val="center"/>
              <w:ind w:right="25"/>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5"/>
              <w:spacing w:after="0"/>
              <w:rPr>
                <w:sz w:val="20"/>
                <w:szCs w:val="20"/>
                <w:color w:val="auto"/>
              </w:rPr>
            </w:pPr>
            <w:r>
              <w:rPr>
                <w:rFonts w:ascii="Arial" w:cs="Arial" w:eastAsia="Arial" w:hAnsi="Arial"/>
                <w:sz w:val="16"/>
                <w:szCs w:val="16"/>
                <w:b w:val="1"/>
                <w:bCs w:val="1"/>
                <w:color w:val="auto"/>
                <w:w w:val="97"/>
              </w:rPr>
              <w:t>Carrying</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3"/>
              </w:rPr>
              <w:t>Interest</w:t>
            </w:r>
          </w:p>
        </w:tc>
        <w:tc>
          <w:tcPr>
            <w:tcW w:w="100" w:type="dxa"/>
            <w:vAlign w:val="bottom"/>
          </w:tcPr>
          <w:p>
            <w:pPr>
              <w:spacing w:after="0"/>
              <w:rPr>
                <w:sz w:val="14"/>
                <w:szCs w:val="14"/>
                <w:color w:val="auto"/>
              </w:rPr>
            </w:pPr>
          </w:p>
        </w:tc>
        <w:tc>
          <w:tcPr>
            <w:tcW w:w="780" w:type="dxa"/>
            <w:vAlign w:val="bottom"/>
            <w:vMerge w:val="restart"/>
          </w:tcPr>
          <w:p>
            <w:pPr>
              <w:jc w:val="right"/>
              <w:ind w:right="45"/>
              <w:spacing w:after="0"/>
              <w:rPr>
                <w:sz w:val="20"/>
                <w:szCs w:val="20"/>
                <w:color w:val="auto"/>
              </w:rPr>
            </w:pPr>
            <w:r>
              <w:rPr>
                <w:rFonts w:ascii="Arial" w:cs="Arial" w:eastAsia="Arial" w:hAnsi="Arial"/>
                <w:sz w:val="16"/>
                <w:szCs w:val="16"/>
                <w:b w:val="1"/>
                <w:bCs w:val="1"/>
                <w:color w:val="auto"/>
                <w:w w:val="97"/>
              </w:rPr>
              <w:t>Carrying</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3"/>
              </w:rPr>
              <w:t>Interest</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205"/>
              <w:spacing w:after="0"/>
              <w:rPr>
                <w:sz w:val="20"/>
                <w:szCs w:val="20"/>
                <w:color w:val="auto"/>
              </w:rPr>
            </w:pPr>
            <w:r>
              <w:rPr>
                <w:rFonts w:ascii="Arial" w:cs="Arial" w:eastAsia="Arial" w:hAnsi="Arial"/>
                <w:sz w:val="16"/>
                <w:szCs w:val="16"/>
                <w:b w:val="1"/>
                <w:bCs w:val="1"/>
                <w:color w:val="auto"/>
              </w:rPr>
              <w:t>Senior</w:t>
            </w: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Average Yield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Type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0" w:type="dxa"/>
            <w:vAlign w:val="bottom"/>
            <w:gridSpan w:val="2"/>
            <w:vMerge w:val="restart"/>
          </w:tcPr>
          <w:p>
            <w:pPr>
              <w:jc w:val="right"/>
              <w:ind w:right="48"/>
              <w:spacing w:after="0"/>
              <w:rPr>
                <w:sz w:val="20"/>
                <w:szCs w:val="20"/>
                <w:color w:val="auto"/>
              </w:rPr>
            </w:pPr>
            <w:r>
              <w:rPr>
                <w:rFonts w:ascii="Arial" w:cs="Arial" w:eastAsia="Arial" w:hAnsi="Arial"/>
                <w:sz w:val="16"/>
                <w:szCs w:val="16"/>
                <w:b w:val="1"/>
                <w:bCs w:val="1"/>
                <w:color w:val="auto"/>
              </w:rPr>
              <w:t>Face Value</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80" w:type="dxa"/>
            <w:vAlign w:val="bottom"/>
            <w:gridSpan w:val="2"/>
            <w:vMerge w:val="restart"/>
          </w:tcPr>
          <w:p>
            <w:pPr>
              <w:jc w:val="right"/>
              <w:ind w:right="48"/>
              <w:spacing w:after="0"/>
              <w:rPr>
                <w:sz w:val="20"/>
                <w:szCs w:val="20"/>
                <w:color w:val="auto"/>
              </w:rPr>
            </w:pPr>
            <w:r>
              <w:rPr>
                <w:rFonts w:ascii="Arial" w:cs="Arial" w:eastAsia="Arial" w:hAnsi="Arial"/>
                <w:sz w:val="16"/>
                <w:szCs w:val="16"/>
                <w:b w:val="1"/>
                <w:bCs w:val="1"/>
                <w:color w:val="auto"/>
              </w:rPr>
              <w:t>Face Value</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5"/>
              <w:spacing w:after="0" w:line="162" w:lineRule="exact"/>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at End of</w:t>
            </w:r>
          </w:p>
        </w:tc>
        <w:tc>
          <w:tcPr>
            <w:tcW w:w="960" w:type="dxa"/>
            <w:vAlign w:val="bottom"/>
            <w:vMerge w:val="restart"/>
          </w:tcPr>
          <w:p>
            <w:pPr>
              <w:jc w:val="right"/>
              <w:ind w:right="6"/>
              <w:spacing w:after="0"/>
              <w:rPr>
                <w:sz w:val="20"/>
                <w:szCs w:val="20"/>
                <w:color w:val="auto"/>
              </w:rPr>
            </w:pPr>
            <w:r>
              <w:rPr>
                <w:rFonts w:ascii="Arial" w:cs="Arial" w:eastAsia="Arial" w:hAnsi="Arial"/>
                <w:sz w:val="16"/>
                <w:szCs w:val="16"/>
                <w:b w:val="1"/>
                <w:bCs w:val="1"/>
                <w:color w:val="auto"/>
              </w:rPr>
              <w:t xml:space="preserve">Maturity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25"/>
              <w:spacing w:after="0"/>
              <w:rPr>
                <w:sz w:val="20"/>
                <w:szCs w:val="20"/>
                <w:color w:val="auto"/>
              </w:rPr>
            </w:pPr>
            <w:r>
              <w:rPr>
                <w:rFonts w:ascii="Arial" w:cs="Arial" w:eastAsia="Arial" w:hAnsi="Arial"/>
                <w:sz w:val="16"/>
                <w:szCs w:val="16"/>
                <w:b w:val="1"/>
                <w:bCs w:val="1"/>
                <w:color w:val="auto"/>
              </w:rPr>
              <w:t>Value</w:t>
            </w:r>
          </w:p>
        </w:tc>
        <w:tc>
          <w:tcPr>
            <w:tcW w:w="1000" w:type="dxa"/>
            <w:vAlign w:val="bottom"/>
            <w:gridSpan w:val="2"/>
            <w:vMerge w:val="continue"/>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Rate</w:t>
            </w:r>
          </w:p>
        </w:tc>
        <w:tc>
          <w:tcPr>
            <w:tcW w:w="100" w:type="dxa"/>
            <w:vAlign w:val="bottom"/>
          </w:tcPr>
          <w:p>
            <w:pPr>
              <w:spacing w:after="0"/>
              <w:rPr>
                <w:sz w:val="18"/>
                <w:szCs w:val="18"/>
                <w:color w:val="auto"/>
              </w:rPr>
            </w:pPr>
          </w:p>
        </w:tc>
        <w:tc>
          <w:tcPr>
            <w:tcW w:w="780" w:type="dxa"/>
            <w:vAlign w:val="bottom"/>
          </w:tcPr>
          <w:p>
            <w:pPr>
              <w:jc w:val="right"/>
              <w:ind w:right="165"/>
              <w:spacing w:after="0"/>
              <w:rPr>
                <w:sz w:val="20"/>
                <w:szCs w:val="20"/>
                <w:color w:val="auto"/>
              </w:rPr>
            </w:pPr>
            <w:r>
              <w:rPr>
                <w:rFonts w:ascii="Arial" w:cs="Arial" w:eastAsia="Arial" w:hAnsi="Arial"/>
                <w:sz w:val="16"/>
                <w:szCs w:val="16"/>
                <w:b w:val="1"/>
                <w:bCs w:val="1"/>
                <w:color w:val="auto"/>
              </w:rPr>
              <w:t>Value</w:t>
            </w:r>
          </w:p>
        </w:tc>
        <w:tc>
          <w:tcPr>
            <w:tcW w:w="980" w:type="dxa"/>
            <w:vAlign w:val="bottom"/>
            <w:gridSpan w:val="2"/>
            <w:vMerge w:val="continue"/>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Rate</w:t>
            </w:r>
          </w:p>
        </w:tc>
        <w:tc>
          <w:tcPr>
            <w:tcW w:w="100" w:type="dxa"/>
            <w:vAlign w:val="bottom"/>
          </w:tcPr>
          <w:p>
            <w:pPr>
              <w:spacing w:after="0"/>
              <w:rPr>
                <w:sz w:val="18"/>
                <w:szCs w:val="18"/>
                <w:color w:val="auto"/>
              </w:rPr>
            </w:pPr>
          </w:p>
        </w:tc>
        <w:tc>
          <w:tcPr>
            <w:tcW w:w="780" w:type="dxa"/>
            <w:vAlign w:val="bottom"/>
          </w:tcPr>
          <w:p>
            <w:pPr>
              <w:jc w:val="center"/>
              <w:ind w:right="25"/>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900" w:type="dxa"/>
            <w:vAlign w:val="bottom"/>
          </w:tcPr>
          <w:p>
            <w:pPr>
              <w:jc w:val="right"/>
              <w:ind w:right="85"/>
              <w:spacing w:after="0"/>
              <w:rPr>
                <w:sz w:val="20"/>
                <w:szCs w:val="20"/>
                <w:color w:val="auto"/>
              </w:rPr>
            </w:pPr>
            <w:r>
              <w:rPr>
                <w:rFonts w:ascii="Arial" w:cs="Arial" w:eastAsia="Arial" w:hAnsi="Arial"/>
                <w:sz w:val="16"/>
                <w:szCs w:val="16"/>
                <w:b w:val="1"/>
                <w:bCs w:val="1"/>
                <w:color w:val="auto"/>
                <w:w w:val="95"/>
              </w:rPr>
              <w:t>Financing</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Senior Mortgage Debt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13,753</w:t>
            </w:r>
          </w:p>
        </w:tc>
        <w:tc>
          <w:tcPr>
            <w:tcW w:w="2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14,048</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L + 3.50%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1,250</w:t>
            </w:r>
          </w:p>
        </w:tc>
        <w:tc>
          <w:tcPr>
            <w:tcW w:w="2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1,250</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3.50%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15,003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5.33%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2021 - 2022</w:t>
            </w:r>
          </w:p>
        </w:tc>
        <w:tc>
          <w:tcPr>
            <w:tcW w:w="0" w:type="dxa"/>
            <w:vAlign w:val="bottom"/>
          </w:tcPr>
          <w:p>
            <w:pPr>
              <w:spacing w:after="0"/>
              <w:rPr>
                <w:sz w:val="1"/>
                <w:szCs w:val="1"/>
                <w:color w:val="auto"/>
              </w:rPr>
            </w:pPr>
          </w:p>
        </w:tc>
      </w:tr>
      <w:tr>
        <w:trPr>
          <w:trHeight w:val="188"/>
        </w:trPr>
        <w:tc>
          <w:tcPr>
            <w:tcW w:w="1660" w:type="dxa"/>
            <w:vAlign w:val="bottom"/>
          </w:tcPr>
          <w:p>
            <w:pPr>
              <w:ind w:left="20"/>
              <w:spacing w:after="0"/>
              <w:rPr>
                <w:sz w:val="20"/>
                <w:szCs w:val="20"/>
                <w:color w:val="auto"/>
              </w:rPr>
            </w:pPr>
            <w:r>
              <w:rPr>
                <w:rFonts w:ascii="Arial" w:cs="Arial" w:eastAsia="Arial" w:hAnsi="Arial"/>
                <w:sz w:val="14"/>
                <w:szCs w:val="14"/>
                <w:color w:val="auto"/>
              </w:rPr>
              <w:t>Junior Mortgage Debt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7,213</w:t>
            </w:r>
          </w:p>
        </w:tc>
        <w:tc>
          <w:tcPr>
            <w:tcW w:w="28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12,000</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L + 7.25%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7,213</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60,000</w:t>
            </w: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7.54%</w:t>
            </w:r>
          </w:p>
        </w:tc>
        <w:tc>
          <w:tcPr>
            <w:tcW w:w="960" w:type="dxa"/>
            <w:vAlign w:val="bottom"/>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36"/>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Mezzanine Debt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287,385</w:t>
            </w:r>
          </w:p>
        </w:tc>
        <w:tc>
          <w:tcPr>
            <w:tcW w:w="2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290,789</w:t>
            </w:r>
          </w:p>
        </w:tc>
        <w:tc>
          <w:tcPr>
            <w:tcW w:w="940" w:type="dxa"/>
            <w:vAlign w:val="bottom"/>
            <w:gridSpan w:val="2"/>
            <w:shd w:val="clear" w:color="auto" w:fill="CCEEFF"/>
          </w:tcPr>
          <w:p>
            <w:pPr>
              <w:jc w:val="center"/>
              <w:ind w:right="160"/>
              <w:spacing w:after="0" w:line="137" w:lineRule="exact"/>
              <w:rPr>
                <w:sz w:val="20"/>
                <w:szCs w:val="20"/>
                <w:color w:val="auto"/>
              </w:rPr>
            </w:pPr>
            <w:r>
              <w:rPr>
                <w:rFonts w:ascii="Arial" w:cs="Arial" w:eastAsia="Arial" w:hAnsi="Arial"/>
                <w:sz w:val="14"/>
                <w:szCs w:val="14"/>
                <w:color w:val="auto"/>
                <w:w w:val="97"/>
              </w:rPr>
              <w:t>L + 4.95% -</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496,855</w:t>
            </w:r>
          </w:p>
        </w:tc>
        <w:tc>
          <w:tcPr>
            <w:tcW w:w="2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507,842</w:t>
            </w:r>
          </w:p>
        </w:tc>
        <w:tc>
          <w:tcPr>
            <w:tcW w:w="820" w:type="dxa"/>
            <w:vAlign w:val="bottom"/>
            <w:shd w:val="clear" w:color="auto" w:fill="CCEEFF"/>
          </w:tcPr>
          <w:p>
            <w:pPr>
              <w:jc w:val="center"/>
              <w:spacing w:after="0" w:line="137" w:lineRule="exact"/>
              <w:rPr>
                <w:sz w:val="20"/>
                <w:szCs w:val="20"/>
                <w:color w:val="auto"/>
              </w:rPr>
            </w:pPr>
            <w:r>
              <w:rPr>
                <w:rFonts w:ascii="Arial" w:cs="Arial" w:eastAsia="Arial" w:hAnsi="Arial"/>
                <w:sz w:val="14"/>
                <w:szCs w:val="14"/>
                <w:color w:val="auto"/>
                <w:w w:val="95"/>
              </w:rPr>
              <w:t>2.90%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784,240</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4,737,442</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6.51%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2021 - 2029</w:t>
            </w:r>
          </w:p>
        </w:tc>
        <w:tc>
          <w:tcPr>
            <w:tcW w:w="0" w:type="dxa"/>
            <w:vAlign w:val="bottom"/>
          </w:tcPr>
          <w:p>
            <w:pPr>
              <w:spacing w:after="0"/>
              <w:rPr>
                <w:sz w:val="1"/>
                <w:szCs w:val="1"/>
                <w:color w:val="auto"/>
              </w:rPr>
            </w:pPr>
          </w:p>
        </w:tc>
      </w:tr>
      <w:tr>
        <w:trPr>
          <w:trHeight w:val="189"/>
        </w:trPr>
        <w:tc>
          <w:tcPr>
            <w:tcW w:w="1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jc w:val="right"/>
              <w:ind w:right="125"/>
              <w:spacing w:after="0"/>
              <w:rPr>
                <w:sz w:val="20"/>
                <w:szCs w:val="20"/>
                <w:color w:val="auto"/>
              </w:rPr>
            </w:pPr>
            <w:r>
              <w:rPr>
                <w:rFonts w:ascii="Arial" w:cs="Arial" w:eastAsia="Arial" w:hAnsi="Arial"/>
                <w:sz w:val="14"/>
                <w:szCs w:val="14"/>
                <w:color w:val="auto"/>
              </w:rPr>
              <w:t>13.50%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60" w:type="dxa"/>
            <w:vAlign w:val="bottom"/>
            <w:vMerge w:val="restart"/>
          </w:tcPr>
          <w:p>
            <w:pPr>
              <w:ind w:left="20"/>
              <w:spacing w:after="0"/>
              <w:rPr>
                <w:sz w:val="20"/>
                <w:szCs w:val="20"/>
                <w:color w:val="auto"/>
              </w:rPr>
            </w:pPr>
            <w:r>
              <w:rPr>
                <w:rFonts w:ascii="Arial" w:cs="Arial" w:eastAsia="Arial" w:hAnsi="Arial"/>
                <w:sz w:val="14"/>
                <w:szCs w:val="14"/>
                <w:color w:val="auto"/>
              </w:rPr>
              <w:t>Preferred Equity</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266,255</w:t>
            </w:r>
          </w:p>
        </w:tc>
        <w:tc>
          <w:tcPr>
            <w:tcW w:w="260" w:type="dxa"/>
            <w:vAlign w:val="bottom"/>
          </w:tcPr>
          <w:p>
            <w:pPr>
              <w:spacing w:after="0"/>
              <w:rPr>
                <w:sz w:val="11"/>
                <w:szCs w:val="11"/>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267,916</w:t>
            </w:r>
          </w:p>
        </w:tc>
        <w:tc>
          <w:tcPr>
            <w:tcW w:w="820" w:type="dxa"/>
            <w:vAlign w:val="bottom"/>
          </w:tcPr>
          <w:p>
            <w:pPr>
              <w:jc w:val="center"/>
              <w:spacing w:after="0" w:line="135" w:lineRule="exact"/>
              <w:rPr>
                <w:sz w:val="20"/>
                <w:szCs w:val="20"/>
                <w:color w:val="auto"/>
              </w:rPr>
            </w:pPr>
            <w:r>
              <w:rPr>
                <w:rFonts w:ascii="Arial" w:cs="Arial" w:eastAsia="Arial" w:hAnsi="Arial"/>
                <w:sz w:val="14"/>
                <w:szCs w:val="14"/>
                <w:color w:val="auto"/>
                <w:w w:val="95"/>
              </w:rPr>
              <w:t>6.50%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266,255</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1,962,750</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5"/>
              </w:rPr>
              <w:t>9.92%</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2022 - 2027</w:t>
            </w:r>
          </w:p>
        </w:tc>
        <w:tc>
          <w:tcPr>
            <w:tcW w:w="0" w:type="dxa"/>
            <w:vAlign w:val="bottom"/>
          </w:tcPr>
          <w:p>
            <w:pPr>
              <w:spacing w:after="0"/>
              <w:rPr>
                <w:sz w:val="1"/>
                <w:szCs w:val="1"/>
                <w:color w:val="auto"/>
              </w:rPr>
            </w:pPr>
          </w:p>
        </w:tc>
      </w:tr>
      <w:tr>
        <w:trPr>
          <w:trHeight w:val="186"/>
        </w:trPr>
        <w:tc>
          <w:tcPr>
            <w:tcW w:w="1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11.00%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308,351</w:t>
            </w:r>
          </w:p>
        </w:tc>
        <w:tc>
          <w:tcPr>
            <w:tcW w:w="2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316,837</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764,360</w:t>
            </w:r>
          </w:p>
        </w:tc>
        <w:tc>
          <w:tcPr>
            <w:tcW w:w="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777,008</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1,072,711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6,760,192</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available extension options to the extent they have not been exercised as of the date of this filing.</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is a rollforward of our total allowance for loan losses for the six months ended June 30, 2021 and the twelve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1500" w:type="dxa"/>
            <w:vAlign w:val="bottom"/>
            <w:shd w:val="clear" w:color="auto" w:fill="CCEEFF"/>
          </w:tcPr>
          <w:p>
            <w:pPr>
              <w:jc w:val="right"/>
              <w:ind w:right="1319"/>
              <w:spacing w:after="0"/>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13,213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Cumulative adjustment upon adoption of ASC 326</w:t>
            </w:r>
          </w:p>
        </w:tc>
        <w:tc>
          <w:tcPr>
            <w:tcW w:w="15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27,803</w:t>
            </w: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provision for loan loss</w:t>
            </w:r>
          </w:p>
        </w:tc>
        <w:tc>
          <w:tcPr>
            <w:tcW w:w="15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20,693</w:t>
            </w:r>
          </w:p>
        </w:tc>
      </w:tr>
      <w:tr>
        <w:trPr>
          <w:trHeight w:val="216"/>
        </w:trPr>
        <w:tc>
          <w:tcPr>
            <w:tcW w:w="7380" w:type="dxa"/>
            <w:vAlign w:val="bottom"/>
          </w:tcPr>
          <w:p>
            <w:pPr>
              <w:ind w:left="20"/>
              <w:spacing w:after="0" w:line="216" w:lineRule="exact"/>
              <w:rPr>
                <w:sz w:val="20"/>
                <w:szCs w:val="20"/>
                <w:color w:val="auto"/>
              </w:rPr>
            </w:pPr>
            <w:r>
              <w:rPr>
                <w:rFonts w:ascii="Arial" w:cs="Arial" w:eastAsia="Arial" w:hAnsi="Arial"/>
                <w:sz w:val="16"/>
                <w:szCs w:val="16"/>
                <w:color w:val="auto"/>
              </w:rPr>
              <w:t>Write-offs charged against the allowance</w:t>
            </w:r>
            <w:r>
              <w:rPr>
                <w:rFonts w:ascii="Arial" w:cs="Arial" w:eastAsia="Arial" w:hAnsi="Arial"/>
                <w:sz w:val="21"/>
                <w:szCs w:val="21"/>
                <w:color w:val="auto"/>
                <w:vertAlign w:val="superscript"/>
              </w:rPr>
              <w:t>(1)</w:t>
            </w:r>
          </w:p>
        </w:tc>
        <w:tc>
          <w:tcPr>
            <w:tcW w:w="15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(37,033)</w:t>
            </w:r>
          </w:p>
        </w:tc>
      </w:tr>
      <w:tr>
        <w:trPr>
          <w:trHeight w:val="234"/>
        </w:trPr>
        <w:tc>
          <w:tcPr>
            <w:tcW w:w="738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Balance at end of period</w:t>
            </w:r>
            <w:r>
              <w:rPr>
                <w:rFonts w:ascii="Arial" w:cs="Arial" w:eastAsia="Arial" w:hAnsi="Arial"/>
                <w:sz w:val="21"/>
                <w:szCs w:val="21"/>
                <w:color w:val="auto"/>
                <w:vertAlign w:val="superscript"/>
              </w:rPr>
              <w:t>(2)</w:t>
            </w:r>
          </w:p>
        </w:tc>
        <w:tc>
          <w:tcPr>
            <w:tcW w:w="1500" w:type="dxa"/>
            <w:vAlign w:val="bottom"/>
            <w:tcBorders>
              <w:top w:val="single" w:sz="8" w:color="auto"/>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13,213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hanging="412"/>
        <w:spacing w:after="0" w:line="250" w:lineRule="auto"/>
        <w:tabs>
          <w:tab w:leader="none" w:pos="412"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$19.0 million of charges recorded against investments that were sold during the year ended December 31, 2020. These charges are included in loan loss and other investment reserves, net of recoveries, in our consolidated statements of operations for the year ended December 31, 2020.</w:t>
      </w:r>
    </w:p>
    <w:p>
      <w:pPr>
        <w:ind w:left="400" w:hanging="392"/>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June 30, 2021, all financing receivables on non-accrual had an allowance for loan loss except for one debt investment with a carrying value of $225.4 million.</w:t>
      </w:r>
    </w:p>
    <w:p>
      <w:pPr>
        <w:spacing w:after="0" w:line="236"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At June 30, 2021 and December 31, 2020, all debt and preferred equity investments were performing in accordance with their respective terms, with the exception of one investment with a carrying value, net of reserves, of $6.8 million, as discussed in the Debt Investments table further below.</w:t>
      </w:r>
    </w:p>
    <w:p>
      <w:pPr>
        <w:spacing w:after="0" w:line="3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No other financing receivables were 90 days past due at June 30, 2021 and December 31, 2020 with the exception of a $27.7 million financing receivable included in Other assets, which was put on non-accrual in August 2018 as a result of an interest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carrying value of our debt and preferred equity investment portfolio by risk rating as of June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Risk Rating</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8"/>
              </w:rPr>
              <w:t>December 31, 2020</w:t>
            </w:r>
          </w:p>
        </w:tc>
      </w:tr>
      <w:tr>
        <w:trPr>
          <w:trHeight w:val="320"/>
        </w:trPr>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w:t>
            </w:r>
          </w:p>
        </w:tc>
        <w:tc>
          <w:tcPr>
            <w:tcW w:w="6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Low Risk Assets - Low probability of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682,565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695,035</w:t>
            </w:r>
          </w:p>
        </w:tc>
      </w:tr>
      <w:tr>
        <w:trPr>
          <w:trHeight w:val="321"/>
        </w:trPr>
        <w:tc>
          <w:tcPr>
            <w:tcW w:w="120" w:type="dxa"/>
            <w:vAlign w:val="bottom"/>
          </w:tcPr>
          <w:p>
            <w:pPr>
              <w:ind w:left="20"/>
              <w:spacing w:after="0"/>
              <w:rPr>
                <w:sz w:val="20"/>
                <w:szCs w:val="20"/>
                <w:color w:val="auto"/>
              </w:rPr>
            </w:pPr>
            <w:r>
              <w:rPr>
                <w:rFonts w:ascii="Arial" w:cs="Arial" w:eastAsia="Arial" w:hAnsi="Arial"/>
                <w:sz w:val="16"/>
                <w:szCs w:val="16"/>
                <w:color w:val="auto"/>
                <w:w w:val="89"/>
              </w:rPr>
              <w:t>2</w:t>
            </w:r>
          </w:p>
        </w:tc>
        <w:tc>
          <w:tcPr>
            <w:tcW w:w="6960" w:type="dxa"/>
            <w:vAlign w:val="bottom"/>
            <w:gridSpan w:val="2"/>
          </w:tcPr>
          <w:p>
            <w:pPr>
              <w:ind w:left="20"/>
              <w:spacing w:after="0"/>
              <w:rPr>
                <w:sz w:val="20"/>
                <w:szCs w:val="20"/>
                <w:color w:val="auto"/>
              </w:rPr>
            </w:pPr>
            <w:r>
              <w:rPr>
                <w:rFonts w:ascii="Arial" w:cs="Arial" w:eastAsia="Arial" w:hAnsi="Arial"/>
                <w:sz w:val="16"/>
                <w:szCs w:val="16"/>
                <w:color w:val="auto"/>
              </w:rPr>
              <w:t>- Watch List Assets - Higher potential for loss</w:t>
            </w:r>
          </w:p>
        </w:tc>
        <w:tc>
          <w:tcPr>
            <w:tcW w:w="3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373,788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365,167</w:t>
            </w:r>
          </w:p>
        </w:tc>
      </w:tr>
      <w:tr>
        <w:trPr>
          <w:trHeight w:val="216"/>
        </w:trPr>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3</w:t>
            </w:r>
          </w:p>
        </w:tc>
        <w:tc>
          <w:tcPr>
            <w:tcW w:w="6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High Risk Assets - Loss more likely than not</w:t>
            </w: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16,358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16,340</w:t>
            </w:r>
          </w:p>
        </w:tc>
      </w:tr>
      <w:tr>
        <w:trPr>
          <w:trHeight w:val="209"/>
        </w:trPr>
        <w:tc>
          <w:tcPr>
            <w:tcW w:w="1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1,072,711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1,076,542</w:t>
            </w:r>
          </w:p>
        </w:tc>
      </w:tr>
      <w:tr>
        <w:trPr>
          <w:trHeight w:val="23"/>
        </w:trPr>
        <w:tc>
          <w:tcPr>
            <w:tcW w:w="1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carrying value of our debt and preferred equity investment portfolio by year of origination and risk rating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2021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w w:val="91"/>
              </w:rPr>
              <w:t>As of June 30, 2021</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5"/>
        </w:trPr>
        <w:tc>
          <w:tcPr>
            <w:tcW w:w="4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Risk Rating</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line="216" w:lineRule="exact"/>
              <w:rPr>
                <w:sz w:val="20"/>
                <w:szCs w:val="20"/>
                <w:color w:val="auto"/>
              </w:rPr>
            </w:pPr>
            <w:r>
              <w:rPr>
                <w:rFonts w:ascii="Arial" w:cs="Arial" w:eastAsia="Arial" w:hAnsi="Arial"/>
                <w:sz w:val="16"/>
                <w:szCs w:val="16"/>
                <w:b w:val="1"/>
                <w:bCs w:val="1"/>
                <w:color w:val="auto"/>
              </w:rPr>
              <w:t>2021</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line="216" w:lineRule="exact"/>
              <w:rPr>
                <w:sz w:val="20"/>
                <w:szCs w:val="20"/>
                <w:color w:val="auto"/>
              </w:rPr>
            </w:pPr>
            <w:r>
              <w:rPr>
                <w:rFonts w:ascii="Arial" w:cs="Arial" w:eastAsia="Arial" w:hAnsi="Arial"/>
                <w:sz w:val="16"/>
                <w:szCs w:val="16"/>
                <w:b w:val="1"/>
                <w:bCs w:val="1"/>
                <w:color w:val="auto"/>
              </w:rPr>
              <w:t>2020</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line="216"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line="216" w:lineRule="exact"/>
              <w:rPr>
                <w:sz w:val="20"/>
                <w:szCs w:val="20"/>
                <w:color w:val="auto"/>
              </w:rPr>
            </w:pPr>
            <w:r>
              <w:rPr>
                <w:rFonts w:ascii="Arial" w:cs="Arial" w:eastAsia="Arial" w:hAnsi="Arial"/>
                <w:sz w:val="16"/>
                <w:szCs w:val="16"/>
                <w:b w:val="1"/>
                <w:bCs w:val="1"/>
                <w:color w:val="auto"/>
              </w:rPr>
              <w:t>Prior</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318"/>
        </w:trPr>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Low Risk Assets - Low probability of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57,148</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292,923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682,565</w:t>
            </w:r>
          </w:p>
        </w:tc>
      </w:tr>
      <w:tr>
        <w:trPr>
          <w:trHeight w:val="321"/>
        </w:trPr>
        <w:tc>
          <w:tcPr>
            <w:tcW w:w="120" w:type="dxa"/>
            <w:vAlign w:val="bottom"/>
          </w:tcPr>
          <w:p>
            <w:pPr>
              <w:ind w:left="20"/>
              <w:spacing w:after="0"/>
              <w:rPr>
                <w:sz w:val="20"/>
                <w:szCs w:val="20"/>
                <w:color w:val="auto"/>
              </w:rPr>
            </w:pPr>
            <w:r>
              <w:rPr>
                <w:rFonts w:ascii="Arial" w:cs="Arial" w:eastAsia="Arial" w:hAnsi="Arial"/>
                <w:sz w:val="16"/>
                <w:szCs w:val="16"/>
                <w:color w:val="auto"/>
                <w:w w:val="89"/>
              </w:rPr>
              <w:t>2</w:t>
            </w: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 Watch List Assets - Higher potential for loss</w:t>
            </w:r>
          </w:p>
        </w:tc>
        <w:tc>
          <w:tcPr>
            <w:tcW w:w="2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246,578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127,210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373,788</w:t>
            </w:r>
          </w:p>
        </w:tc>
      </w:tr>
      <w:tr>
        <w:trPr>
          <w:trHeight w:val="216"/>
        </w:trPr>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3</w:t>
            </w: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High Risk Assets - Loss more likely than not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16,358</w:t>
            </w:r>
          </w:p>
        </w:tc>
      </w:tr>
      <w:tr>
        <w:trPr>
          <w:trHeight w:val="209"/>
        </w:trPr>
        <w:tc>
          <w:tcPr>
            <w:tcW w:w="1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62,240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270,254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303,726</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436,491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1,072,711</w:t>
            </w:r>
          </w:p>
        </w:tc>
      </w:tr>
      <w:tr>
        <w:trPr>
          <w:trHeight w:val="23"/>
        </w:trPr>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Year in which the investment was originated or acquired by us or in which a material modification occurred.</w:t>
      </w:r>
    </w:p>
    <w:p>
      <w:pPr>
        <w:spacing w:after="0" w:line="11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have determined that we have one portfolio segment of financing receivables at June 30, 2021 and December 31, 2020 comprised of commercial real estate which is primarily recorded in debt and preferred equity investments.</w:t>
      </w:r>
    </w:p>
    <w:p>
      <w:pPr>
        <w:spacing w:after="0" w:line="6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Included in Other assets is an additional amount of financing receivables representing loans to joint venture partners totaling $66.4 million and $66.2 million at June 30, 2021 and December 31, 2020, respectively. The Company recorded no provisions for loan losses related to these financing receivables for the three and six months ended June 30, 2021, and $3.4 million and $6.3 million for the three and six months ended June 30, 2020, respectively. All of these loans have a risk rating of 2 and were performing in accordance with their respective terms with the exception of one financing receivable, which was put on nonaccrual in August 2018, that has a risk rating of 3 and a carrying value at June 30, 2021 of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June 30, 2021 and December 31, 2020, we held the following debt investments with an aggregate weighted average current yield of 6.51%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(dollars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2021</w:t>
            </w:r>
          </w:p>
        </w:tc>
        <w:tc>
          <w:tcPr>
            <w:tcW w:w="120" w:type="dxa"/>
            <w:vAlign w:val="bottom"/>
          </w:tcPr>
          <w:p>
            <w:pPr>
              <w:spacing w:after="0"/>
              <w:rPr>
                <w:sz w:val="16"/>
                <w:szCs w:val="16"/>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June 30, 2021 Senior</w:t>
            </w:r>
          </w:p>
        </w:tc>
        <w:tc>
          <w:tcPr>
            <w:tcW w:w="16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June 30, 2021</w:t>
            </w:r>
          </w:p>
        </w:tc>
        <w:tc>
          <w:tcPr>
            <w:tcW w:w="140" w:type="dxa"/>
            <w:vAlign w:val="bottom"/>
          </w:tcPr>
          <w:p>
            <w:pPr>
              <w:spacing w:after="0"/>
              <w:rPr>
                <w:sz w:val="16"/>
                <w:szCs w:val="16"/>
                <w:color w:val="auto"/>
              </w:rPr>
            </w:pPr>
          </w:p>
        </w:tc>
        <w:tc>
          <w:tcPr>
            <w:tcW w:w="15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tcPr>
          <w:p>
            <w:pPr>
              <w:spacing w:after="0"/>
              <w:rPr>
                <w:sz w:val="16"/>
                <w:szCs w:val="16"/>
                <w:color w:val="auto"/>
              </w:rPr>
            </w:pPr>
          </w:p>
        </w:tc>
        <w:tc>
          <w:tcPr>
            <w:tcW w:w="14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Maturity</w:t>
            </w:r>
          </w:p>
        </w:tc>
        <w:tc>
          <w:tcPr>
            <w:tcW w:w="0" w:type="dxa"/>
            <w:vAlign w:val="bottom"/>
          </w:tcPr>
          <w:p>
            <w:pPr>
              <w:spacing w:after="0"/>
              <w:rPr>
                <w:sz w:val="1"/>
                <w:szCs w:val="1"/>
                <w:color w:val="auto"/>
              </w:rPr>
            </w:pPr>
          </w:p>
        </w:tc>
      </w:tr>
      <w:tr>
        <w:trPr>
          <w:trHeight w:val="162"/>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Loan Type</w:t>
            </w:r>
          </w:p>
        </w:tc>
        <w:tc>
          <w:tcPr>
            <w:tcW w:w="200" w:type="dxa"/>
            <w:vAlign w:val="bottom"/>
          </w:tcPr>
          <w:p>
            <w:pPr>
              <w:spacing w:after="0"/>
              <w:rPr>
                <w:sz w:val="14"/>
                <w:szCs w:val="14"/>
                <w:color w:val="auto"/>
              </w:rPr>
            </w:pPr>
          </w:p>
        </w:tc>
        <w:tc>
          <w:tcPr>
            <w:tcW w:w="16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Future Funding</w:t>
            </w:r>
          </w:p>
        </w:tc>
        <w:tc>
          <w:tcPr>
            <w:tcW w:w="1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Obligations</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Financing</w:t>
            </w:r>
          </w:p>
        </w:tc>
        <w:tc>
          <w:tcPr>
            <w:tcW w:w="160" w:type="dxa"/>
            <w:vAlign w:val="bottom"/>
          </w:tcPr>
          <w:p>
            <w:pPr>
              <w:spacing w:after="0"/>
              <w:rPr>
                <w:sz w:val="18"/>
                <w:szCs w:val="18"/>
                <w:color w:val="auto"/>
              </w:rPr>
            </w:pPr>
          </w:p>
        </w:tc>
        <w:tc>
          <w:tcPr>
            <w:tcW w:w="1580" w:type="dxa"/>
            <w:vAlign w:val="bottom"/>
            <w:gridSpan w:val="2"/>
          </w:tcPr>
          <w:p>
            <w:pPr>
              <w:jc w:val="center"/>
              <w:ind w:right="260"/>
              <w:spacing w:after="0" w:line="216" w:lineRule="exact"/>
              <w:rPr>
                <w:sz w:val="20"/>
                <w:szCs w:val="20"/>
                <w:color w:val="auto"/>
              </w:rPr>
            </w:pPr>
            <w:r>
              <w:rPr>
                <w:rFonts w:ascii="Arial" w:cs="Arial" w:eastAsia="Arial" w:hAnsi="Arial"/>
                <w:sz w:val="16"/>
                <w:szCs w:val="16"/>
                <w:b w:val="1"/>
                <w:bCs w:val="1"/>
                <w:color w:val="auto"/>
                <w:w w:val="92"/>
              </w:rPr>
              <w:t xml:space="preserve">Carrying Value </w:t>
            </w:r>
            <w:r>
              <w:rPr>
                <w:rFonts w:ascii="Arial" w:cs="Arial" w:eastAsia="Arial" w:hAnsi="Arial"/>
                <w:sz w:val="21"/>
                <w:szCs w:val="21"/>
                <w:b w:val="1"/>
                <w:bCs w:val="1"/>
                <w:color w:val="auto"/>
                <w:w w:val="92"/>
                <w:vertAlign w:val="superscript"/>
              </w:rPr>
              <w:t>(1)</w:t>
            </w:r>
          </w:p>
        </w:tc>
        <w:tc>
          <w:tcPr>
            <w:tcW w:w="140" w:type="dxa"/>
            <w:vAlign w:val="bottom"/>
          </w:tcPr>
          <w:p>
            <w:pPr>
              <w:spacing w:after="0"/>
              <w:rPr>
                <w:sz w:val="18"/>
                <w:szCs w:val="18"/>
                <w:color w:val="auto"/>
              </w:rPr>
            </w:pPr>
          </w:p>
        </w:tc>
        <w:tc>
          <w:tcPr>
            <w:tcW w:w="1520" w:type="dxa"/>
            <w:vAlign w:val="bottom"/>
          </w:tcPr>
          <w:p>
            <w:pPr>
              <w:jc w:val="right"/>
              <w:ind w:right="139"/>
              <w:spacing w:after="0" w:line="216" w:lineRule="exact"/>
              <w:rPr>
                <w:sz w:val="20"/>
                <w:szCs w:val="20"/>
                <w:color w:val="auto"/>
              </w:rPr>
            </w:pPr>
            <w:r>
              <w:rPr>
                <w:rFonts w:ascii="Arial" w:cs="Arial" w:eastAsia="Arial" w:hAnsi="Arial"/>
                <w:sz w:val="16"/>
                <w:szCs w:val="16"/>
                <w:b w:val="1"/>
                <w:bCs w:val="1"/>
                <w:color w:val="auto"/>
                <w:w w:val="95"/>
              </w:rPr>
              <w:t xml:space="preserve">Carrying Value </w:t>
            </w:r>
            <w:r>
              <w:rPr>
                <w:rFonts w:ascii="Arial" w:cs="Arial" w:eastAsia="Arial" w:hAnsi="Arial"/>
                <w:sz w:val="21"/>
                <w:szCs w:val="21"/>
                <w:b w:val="1"/>
                <w:bCs w:val="1"/>
                <w:color w:val="auto"/>
                <w:w w:val="95"/>
                <w:vertAlign w:val="superscript"/>
              </w:rPr>
              <w:t>(1)</w:t>
            </w:r>
          </w:p>
        </w:tc>
        <w:tc>
          <w:tcPr>
            <w:tcW w:w="100" w:type="dxa"/>
            <w:vAlign w:val="bottom"/>
          </w:tcPr>
          <w:p>
            <w:pPr>
              <w:spacing w:after="0"/>
              <w:rPr>
                <w:sz w:val="18"/>
                <w:szCs w:val="18"/>
                <w:color w:val="auto"/>
              </w:rPr>
            </w:pPr>
          </w:p>
        </w:tc>
        <w:tc>
          <w:tcPr>
            <w:tcW w:w="1420" w:type="dxa"/>
            <w:vAlign w:val="bottom"/>
          </w:tcPr>
          <w:p>
            <w:pPr>
              <w:jc w:val="right"/>
              <w:ind w:right="379"/>
              <w:spacing w:after="0" w:line="216" w:lineRule="exact"/>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9"/>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Fixed Rate Investments: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Mortgage/Mezzanine Loan</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56,248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56,244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October 2021</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2022</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Mezzanine Loan </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364,858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225,367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225,204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June 2023</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270,550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62,240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2023</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Mezzanine Loan </w:t>
            </w:r>
            <w:r>
              <w:rPr>
                <w:rFonts w:ascii="Arial" w:cs="Arial" w:eastAsia="Arial" w:hAnsi="Arial"/>
                <w:sz w:val="21"/>
                <w:szCs w:val="21"/>
                <w:color w:val="auto"/>
                <w:vertAlign w:val="superscript"/>
              </w:rPr>
              <w:t>(3a)(5)</w:t>
            </w:r>
          </w:p>
        </w:tc>
        <w:tc>
          <w:tcPr>
            <w:tcW w:w="2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13,367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13,366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June 2024</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2025</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Mezzanine Loan</w:t>
            </w:r>
          </w:p>
        </w:tc>
        <w:tc>
          <w:tcPr>
            <w:tcW w:w="2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1,712,750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55,250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55,250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June 2027</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2029</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Junior Mortgage</w:t>
            </w:r>
          </w:p>
        </w:tc>
        <w:tc>
          <w:tcPr>
            <w:tcW w:w="2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32,888</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fixed rate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2,913,158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504,735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477,509</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Floating Rate Investments:</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Junior Mortgage</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60,000</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15,751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15,733</w:t>
            </w:r>
          </w:p>
        </w:tc>
        <w:tc>
          <w:tcPr>
            <w:tcW w:w="1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July 2021</w:t>
            </w:r>
          </w:p>
        </w:tc>
        <w:tc>
          <w:tcPr>
            <w:tcW w:w="0" w:type="dxa"/>
            <w:vAlign w:val="bottom"/>
          </w:tcPr>
          <w:p>
            <w:pPr>
              <w:spacing w:after="0"/>
              <w:rPr>
                <w:sz w:val="1"/>
                <w:szCs w:val="1"/>
                <w:color w:val="auto"/>
              </w:rPr>
            </w:pPr>
          </w:p>
        </w:tc>
      </w:tr>
      <w:tr>
        <w:trPr>
          <w:trHeight w:val="212"/>
        </w:trPr>
        <w:tc>
          <w:tcPr>
            <w:tcW w:w="270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 xml:space="preserve">Participation/Mezzanine Loan </w:t>
            </w:r>
            <w:r>
              <w:rPr>
                <w:rFonts w:ascii="Arial" w:cs="Arial" w:eastAsia="Arial" w:hAnsi="Arial"/>
                <w:sz w:val="21"/>
                <w:szCs w:val="21"/>
                <w:color w:val="auto"/>
                <w:vertAlign w:val="superscript"/>
              </w:rPr>
              <w:t>(6)</w:t>
            </w:r>
          </w:p>
        </w:tc>
        <w:tc>
          <w:tcPr>
            <w:tcW w:w="200" w:type="dxa"/>
            <w:vAlign w:val="bottom"/>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Mezzanine Loan </w:t>
            </w:r>
            <w:r>
              <w:rPr>
                <w:rFonts w:ascii="Arial" w:cs="Arial" w:eastAsia="Arial" w:hAnsi="Arial"/>
                <w:sz w:val="21"/>
                <w:szCs w:val="21"/>
                <w:color w:val="auto"/>
                <w:vertAlign w:val="superscript"/>
              </w:rPr>
              <w:t>(7)</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61,744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2021</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Mezzanine Loan</w:t>
            </w:r>
          </w:p>
        </w:tc>
        <w:tc>
          <w:tcPr>
            <w:tcW w:w="2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275,000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49,994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49,956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April 2022</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2022</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Mezzanine Loan </w:t>
            </w:r>
            <w:r>
              <w:rPr>
                <w:rFonts w:ascii="Arial" w:cs="Arial" w:eastAsia="Arial" w:hAnsi="Arial"/>
                <w:sz w:val="21"/>
                <w:szCs w:val="21"/>
                <w:color w:val="auto"/>
                <w:vertAlign w:val="superscript"/>
              </w:rPr>
              <w:t>(3b)</w:t>
            </w:r>
          </w:p>
        </w:tc>
        <w:tc>
          <w:tcPr>
            <w:tcW w:w="2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1,115,000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130,774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127,915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March 2022</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2022</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Mortgage and Mezzanine Loan</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36,887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21,211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14,011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December 2022</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Mezzanine Loan</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50,448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2023</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Mortgage Loan</w:t>
            </w:r>
          </w:p>
        </w:tc>
        <w:tc>
          <w:tcPr>
            <w:tcW w:w="2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53,574</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0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floating rate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1,824,284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314,934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352,460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gridSpan w:val="2"/>
          </w:tcPr>
          <w:p>
            <w:pPr>
              <w:ind w:left="220"/>
              <w:spacing w:after="0"/>
              <w:rPr>
                <w:sz w:val="20"/>
                <w:szCs w:val="20"/>
                <w:color w:val="auto"/>
              </w:rPr>
            </w:pPr>
            <w:r>
              <w:rPr>
                <w:rFonts w:ascii="Arial" w:cs="Arial" w:eastAsia="Arial" w:hAnsi="Arial"/>
                <w:sz w:val="16"/>
                <w:szCs w:val="16"/>
                <w:color w:val="auto"/>
              </w:rPr>
              <w:t>Allowance for loan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(13,213)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(13,213)</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97,187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4,737,442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806,456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816,756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Carrying value is net of discounts, premiums, original issue discounts and deferred origination fees.</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contractual maturity, excluding any unexercised extension options.</w:t>
      </w:r>
    </w:p>
    <w:p>
      <w:pPr>
        <w:spacing w:after="0" w:line="1" w:lineRule="exact"/>
        <w:rPr>
          <w:rFonts w:ascii="Arial" w:cs="Arial" w:eastAsia="Arial" w:hAnsi="Arial"/>
          <w:sz w:val="14"/>
          <w:szCs w:val="14"/>
          <w:color w:val="auto"/>
        </w:rPr>
      </w:pPr>
    </w:p>
    <w:p>
      <w:pPr>
        <w:ind w:left="420" w:hanging="412"/>
        <w:spacing w:after="0" w:line="241" w:lineRule="auto"/>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Carrying value is net of the following amounts that were sold or syndicated, which are included in Other assets and Other liabilities on the consolidated balance sheets as a result of the transfers not meeting the conditions for sale accounting: (a) $12.0 million, and (b) $0.4 million.</w:t>
      </w:r>
    </w:p>
    <w:p>
      <w:pPr>
        <w:ind w:left="400" w:hanging="392"/>
        <w:spacing w:after="0"/>
        <w:tabs>
          <w:tab w:leader="none" w:pos="4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loan was put on non-accrual in July 2020 and remains on non-accrual at June 30, 2021. No investment income has been recognized subsequent to it being put on non-accrual.</w:t>
      </w:r>
    </w:p>
    <w:p>
      <w:pPr>
        <w:spacing w:after="0" w:line="12" w:lineRule="exact"/>
        <w:rPr>
          <w:rFonts w:ascii="Arial" w:cs="Arial" w:eastAsia="Arial" w:hAnsi="Arial"/>
          <w:sz w:val="13"/>
          <w:szCs w:val="13"/>
          <w:color w:val="auto"/>
        </w:rPr>
      </w:pPr>
    </w:p>
    <w:p>
      <w:pPr>
        <w:ind w:left="420" w:hanging="412"/>
        <w:spacing w:after="0" w:line="260" w:lineRule="auto"/>
        <w:tabs>
          <w:tab w:leader="none" w:pos="412"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loan went into default and was put on non-accrual in June 2020 and remains on non-accrual at June 30, 2021. No investment income has been recognized subsequent to it being put on non-accrual. The Company is in discussions with the borrower. Additionally, we determined the borrower entity to be a VIE which we are not the primary beneficiary.</w:t>
      </w:r>
    </w:p>
    <w:p>
      <w:pPr>
        <w:ind w:left="400" w:hanging="392"/>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loan is in default as of the date of this filing. The Company is in discussions with the borrower.</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loan was repaid in July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Equity Investments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2021 and December 31, 2020, we held the following preferred equity investments with an aggregate weighted average current yield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9.92% at June 30, 2021 (dollars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left="199"/>
              <w:spacing w:after="0"/>
              <w:rPr>
                <w:sz w:val="20"/>
                <w:szCs w:val="20"/>
                <w:color w:val="auto"/>
              </w:rPr>
            </w:pPr>
            <w:r>
              <w:rPr>
                <w:rFonts w:ascii="Arial" w:cs="Arial" w:eastAsia="Arial" w:hAnsi="Arial"/>
                <w:sz w:val="16"/>
                <w:szCs w:val="16"/>
                <w:b w:val="1"/>
                <w:bCs w:val="1"/>
                <w:color w:val="auto"/>
                <w:w w:val="90"/>
              </w:rPr>
              <w:t>June 30, 2021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June 30, 2021 Senior</w:t>
            </w:r>
          </w:p>
        </w:tc>
        <w:tc>
          <w:tcPr>
            <w:tcW w:w="160" w:type="dxa"/>
            <w:vAlign w:val="bottom"/>
          </w:tcPr>
          <w:p>
            <w:pPr>
              <w:spacing w:after="0"/>
              <w:rPr>
                <w:sz w:val="16"/>
                <w:szCs w:val="16"/>
                <w:color w:val="auto"/>
              </w:rPr>
            </w:pPr>
          </w:p>
        </w:tc>
        <w:tc>
          <w:tcPr>
            <w:tcW w:w="16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6"/>
                <w:szCs w:val="16"/>
                <w:color w:val="auto"/>
              </w:rPr>
            </w:pPr>
          </w:p>
        </w:tc>
        <w:tc>
          <w:tcPr>
            <w:tcW w:w="15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2"/>
              </w:rPr>
              <w:t>December 31, 2020</w:t>
            </w:r>
          </w:p>
        </w:tc>
        <w:tc>
          <w:tcPr>
            <w:tcW w:w="100" w:type="dxa"/>
            <w:vAlign w:val="bottom"/>
          </w:tcPr>
          <w:p>
            <w:pPr>
              <w:spacing w:after="0"/>
              <w:rPr>
                <w:sz w:val="16"/>
                <w:szCs w:val="16"/>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Mandatory</w:t>
            </w:r>
          </w:p>
        </w:tc>
        <w:tc>
          <w:tcPr>
            <w:tcW w:w="0" w:type="dxa"/>
            <w:vAlign w:val="bottom"/>
          </w:tcPr>
          <w:p>
            <w:pPr>
              <w:spacing w:after="0"/>
              <w:rPr>
                <w:sz w:val="1"/>
                <w:szCs w:val="1"/>
                <w:color w:val="auto"/>
              </w:rPr>
            </w:pPr>
          </w:p>
        </w:tc>
      </w:tr>
      <w:tr>
        <w:trPr>
          <w:trHeight w:val="162"/>
        </w:trPr>
        <w:tc>
          <w:tcPr>
            <w:tcW w:w="2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Type</w:t>
            </w:r>
          </w:p>
        </w:tc>
        <w:tc>
          <w:tcPr>
            <w:tcW w:w="100" w:type="dxa"/>
            <w:vAlign w:val="bottom"/>
            <w:vMerge w:val="restart"/>
          </w:tcPr>
          <w:p>
            <w:pPr>
              <w:spacing w:after="0"/>
              <w:rPr>
                <w:sz w:val="14"/>
                <w:szCs w:val="14"/>
                <w:color w:val="auto"/>
              </w:rPr>
            </w:pPr>
          </w:p>
        </w:tc>
        <w:tc>
          <w:tcPr>
            <w:tcW w:w="150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93"/>
              </w:rPr>
              <w:t>Future Funding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0"/>
              </w:rPr>
              <w:t>Obligations</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Financing</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9"/>
              <w:spacing w:after="0" w:line="216" w:lineRule="exact"/>
              <w:rPr>
                <w:sz w:val="20"/>
                <w:szCs w:val="20"/>
                <w:color w:val="auto"/>
              </w:rPr>
            </w:pPr>
            <w:r>
              <w:rPr>
                <w:rFonts w:ascii="Arial" w:cs="Arial" w:eastAsia="Arial" w:hAnsi="Arial"/>
                <w:sz w:val="16"/>
                <w:szCs w:val="16"/>
                <w:b w:val="1"/>
                <w:bCs w:val="1"/>
                <w:color w:val="auto"/>
                <w:w w:val="95"/>
              </w:rPr>
              <w:t xml:space="preserve">Carrying Value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9"/>
              <w:spacing w:after="0" w:line="216" w:lineRule="exact"/>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 xml:space="preserve">Redemption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Preferred Equity</w:t>
            </w:r>
          </w:p>
        </w:tc>
        <w:tc>
          <w:tcPr>
            <w:tcW w:w="1500" w:type="dxa"/>
            <w:vAlign w:val="bottom"/>
            <w:shd w:val="clear" w:color="auto" w:fill="CCEEFF"/>
          </w:tcPr>
          <w:p>
            <w:pPr>
              <w:jc w:val="right"/>
              <w:ind w:right="1319"/>
              <w:spacing w:after="0"/>
              <w:rPr>
                <w:sz w:val="20"/>
                <w:szCs w:val="20"/>
                <w:color w:val="auto"/>
              </w:rPr>
            </w:pPr>
            <w:r>
              <w:rPr>
                <w:rFonts w:ascii="Arial" w:cs="Arial" w:eastAsia="Arial" w:hAnsi="Arial"/>
                <w:sz w:val="16"/>
                <w:szCs w:val="16"/>
                <w:b w:val="1"/>
                <w:bCs w:val="1"/>
                <w:color w:val="auto"/>
                <w:w w:val="89"/>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1,712,750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154,691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2022</w:t>
            </w: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Preferred Equity</w:t>
            </w:r>
          </w:p>
        </w:tc>
        <w:tc>
          <w:tcPr>
            <w:tcW w:w="150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250,000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108,577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105,095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February 2027</w:t>
            </w:r>
          </w:p>
        </w:tc>
        <w:tc>
          <w:tcPr>
            <w:tcW w:w="0" w:type="dxa"/>
            <w:vAlign w:val="bottom"/>
          </w:tcPr>
          <w:p>
            <w:pPr>
              <w:spacing w:after="0"/>
              <w:rPr>
                <w:sz w:val="1"/>
                <w:szCs w:val="1"/>
                <w:color w:val="auto"/>
              </w:rPr>
            </w:pPr>
          </w:p>
        </w:tc>
      </w:tr>
      <w:tr>
        <w:trPr>
          <w:trHeight w:val="212"/>
        </w:trPr>
        <w:tc>
          <w:tcPr>
            <w:tcW w:w="24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Preferred Equity</w:t>
            </w:r>
          </w:p>
        </w:tc>
        <w:tc>
          <w:tcPr>
            <w:tcW w:w="1500" w:type="dxa"/>
            <w:vAlign w:val="bottom"/>
            <w:tcBorders>
              <w:top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1,962,750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266,255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259,786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220"/>
              <w:spacing w:after="0"/>
              <w:rPr>
                <w:sz w:val="20"/>
                <w:szCs w:val="20"/>
                <w:color w:val="auto"/>
              </w:rPr>
            </w:pPr>
            <w:r>
              <w:rPr>
                <w:rFonts w:ascii="Arial" w:cs="Arial" w:eastAsia="Arial" w:hAnsi="Arial"/>
                <w:sz w:val="16"/>
                <w:szCs w:val="16"/>
                <w:color w:val="auto"/>
              </w:rPr>
              <w:t>Allowance for loan loss</w:t>
            </w:r>
          </w:p>
        </w:tc>
        <w:tc>
          <w:tcPr>
            <w:tcW w:w="1500" w:type="dxa"/>
            <w:vAlign w:val="bottom"/>
          </w:tcPr>
          <w:p>
            <w:pPr>
              <w:jc w:val="right"/>
              <w:ind w:right="1319"/>
              <w:spacing w:after="0"/>
              <w:rPr>
                <w:sz w:val="20"/>
                <w:szCs w:val="20"/>
                <w:color w:val="auto"/>
              </w:rPr>
            </w:pPr>
            <w:r>
              <w:rPr>
                <w:rFonts w:ascii="Arial" w:cs="Arial" w:eastAsia="Arial" w:hAnsi="Arial"/>
                <w:sz w:val="16"/>
                <w:szCs w:val="16"/>
                <w:b w:val="1"/>
                <w:bCs w:val="1"/>
                <w:color w:val="auto"/>
                <w:w w:val="89"/>
              </w:rPr>
              <w:t>$</w:t>
            </w:r>
          </w:p>
        </w:tc>
        <w:tc>
          <w:tcPr>
            <w:tcW w:w="38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7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1,962,750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266,255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259,786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Carrying value is net of deferred origination fees.</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contractual maturity, excluding any unexercised extension options.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Joint Ventures</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We have investments in several real estate joint ventures with various partners. As of June 30, 2021, the book value of these investments was $3.2 billion, net of investments with negative book values totaling $96.0 million for which we have an implicit commitment to fund future capital needs.</w:t>
      </w:r>
    </w:p>
    <w:p>
      <w:pPr>
        <w:spacing w:after="0" w:line="3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As of June 30, 2021, 800 Third Avenue, 21 East 66th Street, and certain properties within the Stonehenge Portfolio are VIEs in which we are not the primary beneficiary. As of December 31, 2020, 800 Third Avenue, 21 East 66th Street, 605 West 42nd Street, and certain properties within the Stonehenge Portfolio were VIEs in which we were not the primary beneficiary. Our net equity investment in these VIEs was $87.7 million and $134.0 million as of June 30, 2021 and December 31, 2020, respectively. Our maximum loss is limited to the amount of our equity investment in these VIEs. See the "Principles of Consolidation" section of Note 2, "Significant Accounting Policies." All other investments below are voting interest entities. As we do not control the joint ventures listed below, we account for them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general information on each of our joint ventures as of June 30,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620" w:type="dxa"/>
            <w:vAlign w:val="bottom"/>
            <w:vMerge w:val="restart"/>
          </w:tcPr>
          <w:p>
            <w:pPr>
              <w:jc w:val="center"/>
              <w:ind w:left="439"/>
              <w:spacing w:after="0"/>
              <w:rPr>
                <w:sz w:val="20"/>
                <w:szCs w:val="20"/>
                <w:color w:val="auto"/>
              </w:rPr>
            </w:pPr>
            <w:r>
              <w:rPr>
                <w:rFonts w:ascii="Arial" w:cs="Arial" w:eastAsia="Arial" w:hAnsi="Arial"/>
                <w:sz w:val="16"/>
                <w:szCs w:val="16"/>
                <w:b w:val="1"/>
                <w:bCs w:val="1"/>
                <w:color w:val="auto"/>
                <w:w w:val="94"/>
              </w:rPr>
              <w:t>Ownership</w:t>
            </w: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Economic</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162"/>
        </w:trPr>
        <w:tc>
          <w:tcPr>
            <w:tcW w:w="1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5180" w:type="dxa"/>
            <w:vAlign w:val="bottom"/>
            <w:vMerge w:val="restart"/>
          </w:tcPr>
          <w:p>
            <w:pPr>
              <w:ind w:left="2740"/>
              <w:spacing w:after="0"/>
              <w:rPr>
                <w:sz w:val="20"/>
                <w:szCs w:val="20"/>
                <w:color w:val="auto"/>
              </w:rPr>
            </w:pPr>
            <w:r>
              <w:rPr>
                <w:rFonts w:ascii="Arial" w:cs="Arial" w:eastAsia="Arial" w:hAnsi="Arial"/>
                <w:sz w:val="16"/>
                <w:szCs w:val="16"/>
                <w:b w:val="1"/>
                <w:bCs w:val="1"/>
                <w:color w:val="auto"/>
              </w:rPr>
              <w:t>Partner</w:t>
            </w:r>
          </w:p>
        </w:tc>
        <w:tc>
          <w:tcPr>
            <w:tcW w:w="16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216"/>
        </w:trPr>
        <w:tc>
          <w:tcPr>
            <w:tcW w:w="1920" w:type="dxa"/>
            <w:vAlign w:val="bottom"/>
            <w:tcBorders>
              <w:bottom w:val="single" w:sz="8" w:color="auto"/>
            </w:tcBorders>
            <w:gridSpan w:val="2"/>
            <w:vMerge w:val="continue"/>
          </w:tcPr>
          <w:p>
            <w:pPr>
              <w:spacing w:after="0"/>
              <w:rPr>
                <w:sz w:val="18"/>
                <w:szCs w:val="18"/>
                <w:color w:val="auto"/>
              </w:rPr>
            </w:pPr>
          </w:p>
        </w:tc>
        <w:tc>
          <w:tcPr>
            <w:tcW w:w="518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jc w:val="center"/>
              <w:ind w:left="439"/>
              <w:spacing w:after="0" w:line="216" w:lineRule="exact"/>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11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Square Feet</w:t>
            </w:r>
          </w:p>
        </w:tc>
        <w:tc>
          <w:tcPr>
            <w:tcW w:w="0" w:type="dxa"/>
            <w:vAlign w:val="bottom"/>
          </w:tcPr>
          <w:p>
            <w:pPr>
              <w:spacing w:after="0"/>
              <w:rPr>
                <w:sz w:val="1"/>
                <w:szCs w:val="1"/>
                <w:color w:val="auto"/>
              </w:rPr>
            </w:pPr>
          </w:p>
        </w:tc>
      </w:tr>
      <w:tr>
        <w:trPr>
          <w:trHeight w:val="20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100</w:t>
            </w:r>
          </w:p>
        </w:tc>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Park Avenue</w:t>
            </w:r>
          </w:p>
        </w:tc>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Prudential Real Estate Investors</w:t>
            </w:r>
          </w:p>
        </w:tc>
        <w:tc>
          <w:tcPr>
            <w:tcW w:w="16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49.90%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49.90%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834,000</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717</w:t>
            </w:r>
          </w:p>
        </w:tc>
        <w:tc>
          <w:tcPr>
            <w:tcW w:w="1640" w:type="dxa"/>
            <w:vAlign w:val="bottom"/>
          </w:tcPr>
          <w:p>
            <w:pPr>
              <w:ind w:left="20"/>
              <w:spacing w:after="0"/>
              <w:rPr>
                <w:sz w:val="20"/>
                <w:szCs w:val="20"/>
                <w:color w:val="auto"/>
              </w:rPr>
            </w:pPr>
            <w:r>
              <w:rPr>
                <w:rFonts w:ascii="Arial" w:cs="Arial" w:eastAsia="Arial" w:hAnsi="Arial"/>
                <w:sz w:val="16"/>
                <w:szCs w:val="16"/>
                <w:color w:val="auto"/>
              </w:rPr>
              <w:t>Fifth Avenue</w:t>
            </w:r>
          </w:p>
        </w:tc>
        <w:tc>
          <w:tcPr>
            <w:tcW w:w="5180" w:type="dxa"/>
            <w:vAlign w:val="bottom"/>
          </w:tcPr>
          <w:p>
            <w:pPr>
              <w:ind w:left="320"/>
              <w:spacing w:after="0"/>
              <w:rPr>
                <w:sz w:val="20"/>
                <w:szCs w:val="20"/>
                <w:color w:val="auto"/>
              </w:rPr>
            </w:pPr>
            <w:r>
              <w:rPr>
                <w:rFonts w:ascii="Arial" w:cs="Arial" w:eastAsia="Arial" w:hAnsi="Arial"/>
                <w:sz w:val="16"/>
                <w:szCs w:val="16"/>
                <w:color w:val="auto"/>
              </w:rPr>
              <w:t>Wharton Properties/Private Investor</w:t>
            </w:r>
          </w:p>
        </w:tc>
        <w:tc>
          <w:tcPr>
            <w:tcW w:w="1620" w:type="dxa"/>
            <w:vAlign w:val="bottom"/>
          </w:tcPr>
          <w:p>
            <w:pPr>
              <w:jc w:val="center"/>
              <w:ind w:left="439"/>
              <w:spacing w:after="0"/>
              <w:rPr>
                <w:sz w:val="20"/>
                <w:szCs w:val="20"/>
                <w:color w:val="auto"/>
              </w:rPr>
            </w:pPr>
            <w:r>
              <w:rPr>
                <w:rFonts w:ascii="Arial" w:cs="Arial" w:eastAsia="Arial" w:hAnsi="Arial"/>
                <w:sz w:val="16"/>
                <w:szCs w:val="16"/>
                <w:color w:val="auto"/>
                <w:w w:val="92"/>
              </w:rPr>
              <w:t>10.92%</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10.92%</w:t>
            </w:r>
          </w:p>
        </w:tc>
        <w:tc>
          <w:tcPr>
            <w:tcW w:w="1420" w:type="dxa"/>
            <w:vAlign w:val="bottom"/>
          </w:tcPr>
          <w:p>
            <w:pPr>
              <w:jc w:val="right"/>
              <w:spacing w:after="0"/>
              <w:rPr>
                <w:sz w:val="20"/>
                <w:szCs w:val="20"/>
                <w:color w:val="auto"/>
              </w:rPr>
            </w:pPr>
            <w:r>
              <w:rPr>
                <w:rFonts w:ascii="Arial" w:cs="Arial" w:eastAsia="Arial" w:hAnsi="Arial"/>
                <w:sz w:val="16"/>
                <w:szCs w:val="16"/>
                <w:color w:val="auto"/>
              </w:rPr>
              <w:t>119,500</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800</w:t>
            </w:r>
          </w:p>
        </w:tc>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Avenue</w:t>
            </w:r>
          </w:p>
        </w:tc>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Private Investors</w:t>
            </w:r>
          </w:p>
        </w:tc>
        <w:tc>
          <w:tcPr>
            <w:tcW w:w="16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60.52%</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60.52%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526,000</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919</w:t>
            </w:r>
          </w:p>
        </w:tc>
        <w:tc>
          <w:tcPr>
            <w:tcW w:w="1640" w:type="dxa"/>
            <w:vAlign w:val="bottom"/>
          </w:tcPr>
          <w:p>
            <w:pPr>
              <w:ind w:left="20"/>
              <w:spacing w:after="0"/>
              <w:rPr>
                <w:sz w:val="20"/>
                <w:szCs w:val="20"/>
                <w:color w:val="auto"/>
              </w:rPr>
            </w:pPr>
            <w:r>
              <w:rPr>
                <w:rFonts w:ascii="Arial" w:cs="Arial" w:eastAsia="Arial" w:hAnsi="Arial"/>
                <w:sz w:val="16"/>
                <w:szCs w:val="16"/>
                <w:color w:val="auto"/>
              </w:rPr>
              <w:t>Third Avenue</w:t>
            </w:r>
          </w:p>
        </w:tc>
        <w:tc>
          <w:tcPr>
            <w:tcW w:w="5180" w:type="dxa"/>
            <w:vAlign w:val="bottom"/>
          </w:tcPr>
          <w:p>
            <w:pPr>
              <w:ind w:left="320"/>
              <w:spacing w:after="0"/>
              <w:rPr>
                <w:sz w:val="20"/>
                <w:szCs w:val="20"/>
                <w:color w:val="auto"/>
              </w:rPr>
            </w:pPr>
            <w:r>
              <w:rPr>
                <w:rFonts w:ascii="Arial" w:cs="Arial" w:eastAsia="Arial" w:hAnsi="Arial"/>
                <w:sz w:val="16"/>
                <w:szCs w:val="16"/>
                <w:color w:val="auto"/>
              </w:rPr>
              <w:t>New York State Teacher's Retirement System</w:t>
            </w:r>
          </w:p>
        </w:tc>
        <w:tc>
          <w:tcPr>
            <w:tcW w:w="1620" w:type="dxa"/>
            <w:vAlign w:val="bottom"/>
          </w:tcPr>
          <w:p>
            <w:pPr>
              <w:jc w:val="center"/>
              <w:ind w:left="439"/>
              <w:spacing w:after="0"/>
              <w:rPr>
                <w:sz w:val="20"/>
                <w:szCs w:val="20"/>
                <w:color w:val="auto"/>
              </w:rPr>
            </w:pPr>
            <w:r>
              <w:rPr>
                <w:rFonts w:ascii="Arial" w:cs="Arial" w:eastAsia="Arial" w:hAnsi="Arial"/>
                <w:sz w:val="16"/>
                <w:szCs w:val="16"/>
                <w:color w:val="auto"/>
                <w:w w:val="92"/>
              </w:rPr>
              <w:t>51.00%</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51.00%</w:t>
            </w:r>
          </w:p>
        </w:tc>
        <w:tc>
          <w:tcPr>
            <w:tcW w:w="1420" w:type="dxa"/>
            <w:vAlign w:val="bottom"/>
          </w:tcPr>
          <w:p>
            <w:pPr>
              <w:jc w:val="right"/>
              <w:spacing w:after="0"/>
              <w:rPr>
                <w:sz w:val="20"/>
                <w:szCs w:val="20"/>
                <w:color w:val="auto"/>
              </w:rPr>
            </w:pPr>
            <w:r>
              <w:rPr>
                <w:rFonts w:ascii="Arial" w:cs="Arial" w:eastAsia="Arial" w:hAnsi="Arial"/>
                <w:sz w:val="16"/>
                <w:szCs w:val="16"/>
                <w:color w:val="auto"/>
              </w:rPr>
              <w:t>1,454,000</w:t>
            </w:r>
          </w:p>
        </w:tc>
        <w:tc>
          <w:tcPr>
            <w:tcW w:w="0" w:type="dxa"/>
            <w:vAlign w:val="bottom"/>
          </w:tcPr>
          <w:p>
            <w:pPr>
              <w:spacing w:after="0"/>
              <w:rPr>
                <w:sz w:val="1"/>
                <w:szCs w:val="1"/>
                <w:color w:val="auto"/>
              </w:rPr>
            </w:pPr>
          </w:p>
        </w:tc>
      </w:tr>
      <w:tr>
        <w:trPr>
          <w:trHeight w:val="21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 West 34th Street</w:t>
            </w:r>
          </w:p>
        </w:tc>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Private Investor/Wharton Properties</w:t>
            </w:r>
          </w:p>
        </w:tc>
        <w:tc>
          <w:tcPr>
            <w:tcW w:w="16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30.00%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17,150</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280</w:t>
            </w:r>
          </w:p>
        </w:tc>
        <w:tc>
          <w:tcPr>
            <w:tcW w:w="1640" w:type="dxa"/>
            <w:vAlign w:val="bottom"/>
          </w:tcPr>
          <w:p>
            <w:pPr>
              <w:ind w:left="20"/>
              <w:spacing w:after="0"/>
              <w:rPr>
                <w:sz w:val="20"/>
                <w:szCs w:val="20"/>
                <w:color w:val="auto"/>
              </w:rPr>
            </w:pPr>
            <w:r>
              <w:rPr>
                <w:rFonts w:ascii="Arial" w:cs="Arial" w:eastAsia="Arial" w:hAnsi="Arial"/>
                <w:sz w:val="16"/>
                <w:szCs w:val="16"/>
                <w:color w:val="auto"/>
              </w:rPr>
              <w:t>Park Avenue</w:t>
            </w:r>
          </w:p>
        </w:tc>
        <w:tc>
          <w:tcPr>
            <w:tcW w:w="5180" w:type="dxa"/>
            <w:vAlign w:val="bottom"/>
          </w:tcPr>
          <w:p>
            <w:pPr>
              <w:ind w:left="320"/>
              <w:spacing w:after="0"/>
              <w:rPr>
                <w:sz w:val="20"/>
                <w:szCs w:val="20"/>
                <w:color w:val="auto"/>
              </w:rPr>
            </w:pPr>
            <w:r>
              <w:rPr>
                <w:rFonts w:ascii="Arial" w:cs="Arial" w:eastAsia="Arial" w:hAnsi="Arial"/>
                <w:sz w:val="16"/>
                <w:szCs w:val="16"/>
                <w:color w:val="auto"/>
              </w:rPr>
              <w:t>Vornado Realty Trust</w:t>
            </w:r>
          </w:p>
        </w:tc>
        <w:tc>
          <w:tcPr>
            <w:tcW w:w="1620" w:type="dxa"/>
            <w:vAlign w:val="bottom"/>
          </w:tcPr>
          <w:p>
            <w:pPr>
              <w:jc w:val="center"/>
              <w:ind w:left="439"/>
              <w:spacing w:after="0"/>
              <w:rPr>
                <w:sz w:val="20"/>
                <w:szCs w:val="20"/>
                <w:color w:val="auto"/>
              </w:rPr>
            </w:pPr>
            <w:r>
              <w:rPr>
                <w:rFonts w:ascii="Arial" w:cs="Arial" w:eastAsia="Arial" w:hAnsi="Arial"/>
                <w:sz w:val="16"/>
                <w:szCs w:val="16"/>
                <w:color w:val="auto"/>
                <w:w w:val="92"/>
              </w:rPr>
              <w:t>50.00%</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50.00%</w:t>
            </w:r>
          </w:p>
        </w:tc>
        <w:tc>
          <w:tcPr>
            <w:tcW w:w="1420" w:type="dxa"/>
            <w:vAlign w:val="bottom"/>
          </w:tcPr>
          <w:p>
            <w:pPr>
              <w:jc w:val="right"/>
              <w:spacing w:after="0"/>
              <w:rPr>
                <w:sz w:val="20"/>
                <w:szCs w:val="20"/>
                <w:color w:val="auto"/>
              </w:rPr>
            </w:pPr>
            <w:r>
              <w:rPr>
                <w:rFonts w:ascii="Arial" w:cs="Arial" w:eastAsia="Arial" w:hAnsi="Arial"/>
                <w:sz w:val="16"/>
                <w:szCs w:val="16"/>
                <w:color w:val="auto"/>
              </w:rPr>
              <w:t>1,219,158</w:t>
            </w:r>
          </w:p>
        </w:tc>
        <w:tc>
          <w:tcPr>
            <w:tcW w:w="0" w:type="dxa"/>
            <w:vAlign w:val="bottom"/>
          </w:tcPr>
          <w:p>
            <w:pPr>
              <w:spacing w:after="0"/>
              <w:rPr>
                <w:sz w:val="1"/>
                <w:szCs w:val="1"/>
                <w:color w:val="auto"/>
              </w:rPr>
            </w:pPr>
          </w:p>
        </w:tc>
      </w:tr>
      <w:tr>
        <w:trPr>
          <w:trHeight w:val="219"/>
        </w:trPr>
        <w:tc>
          <w:tcPr>
            <w:tcW w:w="19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1552-1560 Broadway </w:t>
            </w:r>
            <w:r>
              <w:rPr>
                <w:rFonts w:ascii="Arial" w:cs="Arial" w:eastAsia="Arial" w:hAnsi="Arial"/>
                <w:sz w:val="21"/>
                <w:szCs w:val="21"/>
                <w:color w:val="auto"/>
                <w:vertAlign w:val="superscript"/>
              </w:rPr>
              <w:t>(2)</w:t>
            </w:r>
          </w:p>
        </w:tc>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Wharton Properties</w:t>
            </w:r>
          </w:p>
        </w:tc>
        <w:tc>
          <w:tcPr>
            <w:tcW w:w="16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50.00%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57,718</w:t>
            </w:r>
          </w:p>
        </w:tc>
        <w:tc>
          <w:tcPr>
            <w:tcW w:w="0" w:type="dxa"/>
            <w:vAlign w:val="bottom"/>
          </w:tcPr>
          <w:p>
            <w:pPr>
              <w:spacing w:after="0"/>
              <w:rPr>
                <w:sz w:val="1"/>
                <w:szCs w:val="1"/>
                <w:color w:val="auto"/>
              </w:rPr>
            </w:pPr>
          </w:p>
        </w:tc>
      </w:tr>
      <w:tr>
        <w:trPr>
          <w:trHeight w:val="213"/>
        </w:trPr>
        <w:tc>
          <w:tcPr>
            <w:tcW w:w="1920" w:type="dxa"/>
            <w:vAlign w:val="bottom"/>
            <w:gridSpan w:val="2"/>
          </w:tcPr>
          <w:p>
            <w:pPr>
              <w:ind w:left="20"/>
              <w:spacing w:after="0"/>
              <w:rPr>
                <w:sz w:val="20"/>
                <w:szCs w:val="20"/>
                <w:color w:val="auto"/>
              </w:rPr>
            </w:pPr>
            <w:r>
              <w:rPr>
                <w:rFonts w:ascii="Arial" w:cs="Arial" w:eastAsia="Arial" w:hAnsi="Arial"/>
                <w:sz w:val="16"/>
                <w:szCs w:val="16"/>
                <w:color w:val="auto"/>
              </w:rPr>
              <w:t>10 East 53rd Street</w:t>
            </w:r>
          </w:p>
        </w:tc>
        <w:tc>
          <w:tcPr>
            <w:tcW w:w="5180" w:type="dxa"/>
            <w:vAlign w:val="bottom"/>
          </w:tcPr>
          <w:p>
            <w:pPr>
              <w:ind w:left="320"/>
              <w:spacing w:after="0"/>
              <w:rPr>
                <w:sz w:val="20"/>
                <w:szCs w:val="20"/>
                <w:color w:val="auto"/>
              </w:rPr>
            </w:pPr>
            <w:r>
              <w:rPr>
                <w:rFonts w:ascii="Arial" w:cs="Arial" w:eastAsia="Arial" w:hAnsi="Arial"/>
                <w:sz w:val="16"/>
                <w:szCs w:val="16"/>
                <w:color w:val="auto"/>
              </w:rPr>
              <w:t>Canadian Pension Plan Investment Board</w:t>
            </w:r>
          </w:p>
        </w:tc>
        <w:tc>
          <w:tcPr>
            <w:tcW w:w="1620" w:type="dxa"/>
            <w:vAlign w:val="bottom"/>
          </w:tcPr>
          <w:p>
            <w:pPr>
              <w:jc w:val="center"/>
              <w:ind w:left="439"/>
              <w:spacing w:after="0"/>
              <w:rPr>
                <w:sz w:val="20"/>
                <w:szCs w:val="20"/>
                <w:color w:val="auto"/>
              </w:rPr>
            </w:pPr>
            <w:r>
              <w:rPr>
                <w:rFonts w:ascii="Arial" w:cs="Arial" w:eastAsia="Arial" w:hAnsi="Arial"/>
                <w:sz w:val="16"/>
                <w:szCs w:val="16"/>
                <w:color w:val="auto"/>
                <w:w w:val="92"/>
              </w:rPr>
              <w:t>55.00%</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55.00%</w:t>
            </w:r>
          </w:p>
        </w:tc>
        <w:tc>
          <w:tcPr>
            <w:tcW w:w="1420" w:type="dxa"/>
            <w:vAlign w:val="bottom"/>
          </w:tcPr>
          <w:p>
            <w:pPr>
              <w:jc w:val="right"/>
              <w:spacing w:after="0"/>
              <w:rPr>
                <w:sz w:val="20"/>
                <w:szCs w:val="20"/>
                <w:color w:val="auto"/>
              </w:rPr>
            </w:pPr>
            <w:r>
              <w:rPr>
                <w:rFonts w:ascii="Arial" w:cs="Arial" w:eastAsia="Arial" w:hAnsi="Arial"/>
                <w:sz w:val="16"/>
                <w:szCs w:val="16"/>
                <w:color w:val="auto"/>
              </w:rPr>
              <w:t>354,300</w:t>
            </w:r>
          </w:p>
        </w:tc>
        <w:tc>
          <w:tcPr>
            <w:tcW w:w="0" w:type="dxa"/>
            <w:vAlign w:val="bottom"/>
          </w:tcPr>
          <w:p>
            <w:pPr>
              <w:spacing w:after="0"/>
              <w:rPr>
                <w:sz w:val="1"/>
                <w:szCs w:val="1"/>
                <w:color w:val="auto"/>
              </w:rPr>
            </w:pPr>
          </w:p>
        </w:tc>
      </w:tr>
      <w:tr>
        <w:trPr>
          <w:trHeight w:val="219"/>
        </w:trPr>
        <w:tc>
          <w:tcPr>
            <w:tcW w:w="19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21 East 66th Street </w:t>
            </w:r>
            <w:r>
              <w:rPr>
                <w:rFonts w:ascii="Arial" w:cs="Arial" w:eastAsia="Arial" w:hAnsi="Arial"/>
                <w:sz w:val="21"/>
                <w:szCs w:val="21"/>
                <w:color w:val="auto"/>
                <w:vertAlign w:val="superscript"/>
              </w:rPr>
              <w:t>(3)</w:t>
            </w:r>
          </w:p>
        </w:tc>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Private Investors</w:t>
            </w:r>
          </w:p>
        </w:tc>
        <w:tc>
          <w:tcPr>
            <w:tcW w:w="16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32.28%</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32.28%</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13,069</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Arial" w:cs="Arial" w:eastAsia="Arial" w:hAnsi="Arial"/>
                <w:sz w:val="16"/>
                <w:szCs w:val="16"/>
                <w:color w:val="auto"/>
                <w:w w:val="89"/>
              </w:rPr>
              <w:t>650</w:t>
            </w:r>
          </w:p>
        </w:tc>
        <w:tc>
          <w:tcPr>
            <w:tcW w:w="16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Fifth Avenue </w:t>
            </w:r>
            <w:r>
              <w:rPr>
                <w:rFonts w:ascii="Arial" w:cs="Arial" w:eastAsia="Arial" w:hAnsi="Arial"/>
                <w:sz w:val="21"/>
                <w:szCs w:val="21"/>
                <w:color w:val="auto"/>
                <w:vertAlign w:val="superscript"/>
              </w:rPr>
              <w:t>(4)</w:t>
            </w:r>
          </w:p>
        </w:tc>
        <w:tc>
          <w:tcPr>
            <w:tcW w:w="5180" w:type="dxa"/>
            <w:vAlign w:val="bottom"/>
          </w:tcPr>
          <w:p>
            <w:pPr>
              <w:ind w:left="320"/>
              <w:spacing w:after="0"/>
              <w:rPr>
                <w:sz w:val="20"/>
                <w:szCs w:val="20"/>
                <w:color w:val="auto"/>
              </w:rPr>
            </w:pPr>
            <w:r>
              <w:rPr>
                <w:rFonts w:ascii="Arial" w:cs="Arial" w:eastAsia="Arial" w:hAnsi="Arial"/>
                <w:sz w:val="16"/>
                <w:szCs w:val="16"/>
                <w:color w:val="auto"/>
              </w:rPr>
              <w:t>Wharton Properties</w:t>
            </w:r>
          </w:p>
        </w:tc>
        <w:tc>
          <w:tcPr>
            <w:tcW w:w="1620" w:type="dxa"/>
            <w:vAlign w:val="bottom"/>
          </w:tcPr>
          <w:p>
            <w:pPr>
              <w:jc w:val="center"/>
              <w:ind w:left="439"/>
              <w:spacing w:after="0"/>
              <w:rPr>
                <w:sz w:val="20"/>
                <w:szCs w:val="20"/>
                <w:color w:val="auto"/>
              </w:rPr>
            </w:pPr>
            <w:r>
              <w:rPr>
                <w:rFonts w:ascii="Arial" w:cs="Arial" w:eastAsia="Arial" w:hAnsi="Arial"/>
                <w:sz w:val="16"/>
                <w:szCs w:val="16"/>
                <w:color w:val="auto"/>
                <w:w w:val="92"/>
              </w:rPr>
              <w:t>50.00%</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50.00%</w:t>
            </w:r>
          </w:p>
        </w:tc>
        <w:tc>
          <w:tcPr>
            <w:tcW w:w="1420" w:type="dxa"/>
            <w:vAlign w:val="bottom"/>
          </w:tcPr>
          <w:p>
            <w:pPr>
              <w:jc w:val="right"/>
              <w:spacing w:after="0"/>
              <w:rPr>
                <w:sz w:val="20"/>
                <w:szCs w:val="20"/>
                <w:color w:val="auto"/>
              </w:rPr>
            </w:pPr>
            <w:r>
              <w:rPr>
                <w:rFonts w:ascii="Arial" w:cs="Arial" w:eastAsia="Arial" w:hAnsi="Arial"/>
                <w:sz w:val="16"/>
                <w:szCs w:val="16"/>
                <w:color w:val="auto"/>
              </w:rPr>
              <w:t>69,214</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121</w:t>
            </w:r>
          </w:p>
        </w:tc>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Greene Street</w:t>
            </w:r>
          </w:p>
        </w:tc>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Wharton Properties</w:t>
            </w:r>
          </w:p>
        </w:tc>
        <w:tc>
          <w:tcPr>
            <w:tcW w:w="16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50.00%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w:t>
            </w:r>
          </w:p>
        </w:tc>
        <w:tc>
          <w:tcPr>
            <w:tcW w:w="0" w:type="dxa"/>
            <w:vAlign w:val="bottom"/>
          </w:tcPr>
          <w:p>
            <w:pPr>
              <w:spacing w:after="0"/>
              <w:rPr>
                <w:sz w:val="1"/>
                <w:szCs w:val="1"/>
                <w:color w:val="auto"/>
              </w:rPr>
            </w:pPr>
          </w:p>
        </w:tc>
      </w:tr>
      <w:tr>
        <w:trPr>
          <w:trHeight w:val="213"/>
        </w:trPr>
        <w:tc>
          <w:tcPr>
            <w:tcW w:w="1920" w:type="dxa"/>
            <w:vAlign w:val="bottom"/>
            <w:gridSpan w:val="2"/>
          </w:tcPr>
          <w:p>
            <w:pPr>
              <w:ind w:left="20"/>
              <w:spacing w:after="0"/>
              <w:rPr>
                <w:sz w:val="20"/>
                <w:szCs w:val="20"/>
                <w:color w:val="auto"/>
              </w:rPr>
            </w:pPr>
            <w:r>
              <w:rPr>
                <w:rFonts w:ascii="Arial" w:cs="Arial" w:eastAsia="Arial" w:hAnsi="Arial"/>
                <w:sz w:val="16"/>
                <w:szCs w:val="16"/>
                <w:color w:val="auto"/>
              </w:rPr>
              <w:t>Stonehenge Portfolio</w:t>
            </w:r>
          </w:p>
        </w:tc>
        <w:tc>
          <w:tcPr>
            <w:tcW w:w="5180" w:type="dxa"/>
            <w:vAlign w:val="bottom"/>
          </w:tcPr>
          <w:p>
            <w:pPr>
              <w:ind w:left="320"/>
              <w:spacing w:after="0"/>
              <w:rPr>
                <w:sz w:val="20"/>
                <w:szCs w:val="20"/>
                <w:color w:val="auto"/>
              </w:rPr>
            </w:pPr>
            <w:r>
              <w:rPr>
                <w:rFonts w:ascii="Arial" w:cs="Arial" w:eastAsia="Arial" w:hAnsi="Arial"/>
                <w:sz w:val="16"/>
                <w:szCs w:val="16"/>
                <w:color w:val="auto"/>
              </w:rPr>
              <w:t>Various</w:t>
            </w:r>
          </w:p>
        </w:tc>
        <w:tc>
          <w:tcPr>
            <w:tcW w:w="1620" w:type="dxa"/>
            <w:vAlign w:val="bottom"/>
          </w:tcPr>
          <w:p>
            <w:pPr>
              <w:jc w:val="center"/>
              <w:ind w:left="439"/>
              <w:spacing w:after="0"/>
              <w:rPr>
                <w:sz w:val="20"/>
                <w:szCs w:val="20"/>
                <w:color w:val="auto"/>
              </w:rPr>
            </w:pPr>
            <w:r>
              <w:rPr>
                <w:rFonts w:ascii="Arial" w:cs="Arial" w:eastAsia="Arial" w:hAnsi="Arial"/>
                <w:sz w:val="16"/>
                <w:szCs w:val="16"/>
                <w:color w:val="auto"/>
                <w:w w:val="92"/>
              </w:rPr>
              <w:t>Various</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Various</w:t>
            </w:r>
          </w:p>
        </w:tc>
        <w:tc>
          <w:tcPr>
            <w:tcW w:w="1420" w:type="dxa"/>
            <w:vAlign w:val="bottom"/>
          </w:tcPr>
          <w:p>
            <w:pPr>
              <w:jc w:val="right"/>
              <w:spacing w:after="0"/>
              <w:rPr>
                <w:sz w:val="20"/>
                <w:szCs w:val="20"/>
                <w:color w:val="auto"/>
              </w:rPr>
            </w:pPr>
            <w:r>
              <w:rPr>
                <w:rFonts w:ascii="Arial" w:cs="Arial" w:eastAsia="Arial" w:hAnsi="Arial"/>
                <w:sz w:val="16"/>
                <w:szCs w:val="16"/>
                <w:color w:val="auto"/>
              </w:rPr>
              <w:t>1,439,016</w:t>
            </w:r>
          </w:p>
        </w:tc>
        <w:tc>
          <w:tcPr>
            <w:tcW w:w="0" w:type="dxa"/>
            <w:vAlign w:val="bottom"/>
          </w:tcPr>
          <w:p>
            <w:pPr>
              <w:spacing w:after="0"/>
              <w:rPr>
                <w:sz w:val="1"/>
                <w:szCs w:val="1"/>
                <w:color w:val="auto"/>
              </w:rPr>
            </w:pPr>
          </w:p>
        </w:tc>
      </w:tr>
      <w:tr>
        <w:trPr>
          <w:trHeight w:val="21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 Madison Avenue</w:t>
            </w:r>
          </w:p>
        </w:tc>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PGIM Real Estate</w:t>
            </w:r>
          </w:p>
        </w:tc>
        <w:tc>
          <w:tcPr>
            <w:tcW w:w="16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60.00%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60.00%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2,314,000</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Arial" w:cs="Arial" w:eastAsia="Arial" w:hAnsi="Arial"/>
                <w:sz w:val="16"/>
                <w:szCs w:val="16"/>
                <w:color w:val="auto"/>
                <w:w w:val="89"/>
              </w:rPr>
              <w:t>400</w:t>
            </w:r>
          </w:p>
        </w:tc>
        <w:tc>
          <w:tcPr>
            <w:tcW w:w="16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East 57th Street </w:t>
            </w:r>
            <w:r>
              <w:rPr>
                <w:rFonts w:ascii="Arial" w:cs="Arial" w:eastAsia="Arial" w:hAnsi="Arial"/>
                <w:sz w:val="21"/>
                <w:szCs w:val="21"/>
                <w:color w:val="auto"/>
                <w:vertAlign w:val="superscript"/>
              </w:rPr>
              <w:t>(5)</w:t>
            </w:r>
          </w:p>
        </w:tc>
        <w:tc>
          <w:tcPr>
            <w:tcW w:w="5180" w:type="dxa"/>
            <w:vAlign w:val="bottom"/>
          </w:tcPr>
          <w:p>
            <w:pPr>
              <w:ind w:left="320"/>
              <w:spacing w:after="0"/>
              <w:rPr>
                <w:sz w:val="20"/>
                <w:szCs w:val="20"/>
                <w:color w:val="auto"/>
              </w:rPr>
            </w:pPr>
            <w:r>
              <w:rPr>
                <w:rFonts w:ascii="Arial" w:cs="Arial" w:eastAsia="Arial" w:hAnsi="Arial"/>
                <w:sz w:val="16"/>
                <w:szCs w:val="16"/>
                <w:color w:val="auto"/>
              </w:rPr>
              <w:t>BlackRock, Inc and Stonehenge Partners</w:t>
            </w:r>
          </w:p>
        </w:tc>
        <w:tc>
          <w:tcPr>
            <w:tcW w:w="1620" w:type="dxa"/>
            <w:vAlign w:val="bottom"/>
          </w:tcPr>
          <w:p>
            <w:pPr>
              <w:jc w:val="center"/>
              <w:ind w:left="439"/>
              <w:spacing w:after="0"/>
              <w:rPr>
                <w:sz w:val="20"/>
                <w:szCs w:val="20"/>
                <w:color w:val="auto"/>
              </w:rPr>
            </w:pPr>
            <w:r>
              <w:rPr>
                <w:rFonts w:ascii="Arial" w:cs="Arial" w:eastAsia="Arial" w:hAnsi="Arial"/>
                <w:sz w:val="16"/>
                <w:szCs w:val="16"/>
                <w:color w:val="auto"/>
                <w:w w:val="92"/>
              </w:rPr>
              <w:t>51.00%</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41.00%</w:t>
            </w:r>
          </w:p>
        </w:tc>
        <w:tc>
          <w:tcPr>
            <w:tcW w:w="1420" w:type="dxa"/>
            <w:vAlign w:val="bottom"/>
          </w:tcPr>
          <w:p>
            <w:pPr>
              <w:jc w:val="right"/>
              <w:spacing w:after="0"/>
              <w:rPr>
                <w:sz w:val="20"/>
                <w:szCs w:val="20"/>
                <w:color w:val="auto"/>
              </w:rPr>
            </w:pPr>
            <w:r>
              <w:rPr>
                <w:rFonts w:ascii="Arial" w:cs="Arial" w:eastAsia="Arial" w:hAnsi="Arial"/>
                <w:sz w:val="16"/>
                <w:szCs w:val="16"/>
                <w:color w:val="auto"/>
              </w:rPr>
              <w:t>290,482</w:t>
            </w: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One Vanderbilt Avenue</w:t>
            </w:r>
          </w:p>
        </w:tc>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Pension Service of Korea/Hines Interest LP</w:t>
            </w:r>
          </w:p>
        </w:tc>
        <w:tc>
          <w:tcPr>
            <w:tcW w:w="16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71.01%</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71.01%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1,657,198</w:t>
            </w:r>
          </w:p>
        </w:tc>
        <w:tc>
          <w:tcPr>
            <w:tcW w:w="0" w:type="dxa"/>
            <w:vAlign w:val="bottom"/>
          </w:tcPr>
          <w:p>
            <w:pPr>
              <w:spacing w:after="0"/>
              <w:rPr>
                <w:sz w:val="1"/>
                <w:szCs w:val="1"/>
                <w:color w:val="auto"/>
              </w:rPr>
            </w:pPr>
          </w:p>
        </w:tc>
      </w:tr>
      <w:tr>
        <w:trPr>
          <w:trHeight w:val="216"/>
        </w:trPr>
        <w:tc>
          <w:tcPr>
            <w:tcW w:w="19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Worldwide Plaza </w:t>
            </w:r>
            <w:r>
              <w:rPr>
                <w:rFonts w:ascii="Arial" w:cs="Arial" w:eastAsia="Arial" w:hAnsi="Arial"/>
                <w:sz w:val="21"/>
                <w:szCs w:val="21"/>
                <w:color w:val="auto"/>
                <w:vertAlign w:val="superscript"/>
              </w:rPr>
              <w:t>(6)</w:t>
            </w:r>
          </w:p>
        </w:tc>
        <w:tc>
          <w:tcPr>
            <w:tcW w:w="5180" w:type="dxa"/>
            <w:vAlign w:val="bottom"/>
          </w:tcPr>
          <w:p>
            <w:pPr>
              <w:ind w:left="320"/>
              <w:spacing w:after="0"/>
              <w:rPr>
                <w:sz w:val="20"/>
                <w:szCs w:val="20"/>
                <w:color w:val="auto"/>
              </w:rPr>
            </w:pPr>
            <w:r>
              <w:rPr>
                <w:rFonts w:ascii="Arial" w:cs="Arial" w:eastAsia="Arial" w:hAnsi="Arial"/>
                <w:sz w:val="16"/>
                <w:szCs w:val="16"/>
                <w:color w:val="auto"/>
              </w:rPr>
              <w:t>RXR Realty / New York REIT</w:t>
            </w:r>
          </w:p>
        </w:tc>
        <w:tc>
          <w:tcPr>
            <w:tcW w:w="1620" w:type="dxa"/>
            <w:vAlign w:val="bottom"/>
          </w:tcPr>
          <w:p>
            <w:pPr>
              <w:jc w:val="center"/>
              <w:ind w:left="439"/>
              <w:spacing w:after="0"/>
              <w:rPr>
                <w:sz w:val="20"/>
                <w:szCs w:val="20"/>
                <w:color w:val="auto"/>
              </w:rPr>
            </w:pPr>
            <w:r>
              <w:rPr>
                <w:rFonts w:ascii="Arial" w:cs="Arial" w:eastAsia="Arial" w:hAnsi="Arial"/>
                <w:sz w:val="16"/>
                <w:szCs w:val="16"/>
                <w:color w:val="auto"/>
                <w:w w:val="92"/>
              </w:rPr>
              <w:t>24.95%</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24.95%</w:t>
            </w:r>
          </w:p>
        </w:tc>
        <w:tc>
          <w:tcPr>
            <w:tcW w:w="1420" w:type="dxa"/>
            <w:vAlign w:val="bottom"/>
          </w:tcPr>
          <w:p>
            <w:pPr>
              <w:jc w:val="right"/>
              <w:spacing w:after="0"/>
              <w:rPr>
                <w:sz w:val="20"/>
                <w:szCs w:val="20"/>
                <w:color w:val="auto"/>
              </w:rPr>
            </w:pPr>
            <w:r>
              <w:rPr>
                <w:rFonts w:ascii="Arial" w:cs="Arial" w:eastAsia="Arial" w:hAnsi="Arial"/>
                <w:sz w:val="16"/>
                <w:szCs w:val="16"/>
                <w:color w:val="auto"/>
              </w:rPr>
              <w:t>2,048,725</w:t>
            </w: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1515 Broadway</w:t>
            </w:r>
          </w:p>
        </w:tc>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Allianz Real Estate of America</w:t>
            </w:r>
          </w:p>
        </w:tc>
        <w:tc>
          <w:tcPr>
            <w:tcW w:w="16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56.87%</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56.87%</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1,750,000</w:t>
            </w:r>
          </w:p>
        </w:tc>
        <w:tc>
          <w:tcPr>
            <w:tcW w:w="0" w:type="dxa"/>
            <w:vAlign w:val="bottom"/>
          </w:tcPr>
          <w:p>
            <w:pPr>
              <w:spacing w:after="0"/>
              <w:rPr>
                <w:sz w:val="1"/>
                <w:szCs w:val="1"/>
                <w:color w:val="auto"/>
              </w:rPr>
            </w:pPr>
          </w:p>
        </w:tc>
      </w:tr>
      <w:tr>
        <w:trPr>
          <w:trHeight w:val="213"/>
        </w:trPr>
        <w:tc>
          <w:tcPr>
            <w:tcW w:w="1920" w:type="dxa"/>
            <w:vAlign w:val="bottom"/>
            <w:gridSpan w:val="2"/>
          </w:tcPr>
          <w:p>
            <w:pPr>
              <w:ind w:left="20"/>
              <w:spacing w:after="0"/>
              <w:rPr>
                <w:sz w:val="20"/>
                <w:szCs w:val="20"/>
                <w:color w:val="auto"/>
              </w:rPr>
            </w:pPr>
            <w:r>
              <w:rPr>
                <w:rFonts w:ascii="Arial" w:cs="Arial" w:eastAsia="Arial" w:hAnsi="Arial"/>
                <w:sz w:val="16"/>
                <w:szCs w:val="16"/>
                <w:color w:val="auto"/>
              </w:rPr>
              <w:t>2 Herald Square</w:t>
            </w:r>
          </w:p>
        </w:tc>
        <w:tc>
          <w:tcPr>
            <w:tcW w:w="5180" w:type="dxa"/>
            <w:vAlign w:val="bottom"/>
          </w:tcPr>
          <w:p>
            <w:pPr>
              <w:ind w:left="320"/>
              <w:spacing w:after="0"/>
              <w:rPr>
                <w:sz w:val="20"/>
                <w:szCs w:val="20"/>
                <w:color w:val="auto"/>
              </w:rPr>
            </w:pPr>
            <w:r>
              <w:rPr>
                <w:rFonts w:ascii="Arial" w:cs="Arial" w:eastAsia="Arial" w:hAnsi="Arial"/>
                <w:sz w:val="16"/>
                <w:szCs w:val="16"/>
                <w:color w:val="auto"/>
              </w:rPr>
              <w:t>Israeli Institutional Investor</w:t>
            </w:r>
          </w:p>
        </w:tc>
        <w:tc>
          <w:tcPr>
            <w:tcW w:w="1620" w:type="dxa"/>
            <w:vAlign w:val="bottom"/>
          </w:tcPr>
          <w:p>
            <w:pPr>
              <w:jc w:val="center"/>
              <w:ind w:left="439"/>
              <w:spacing w:after="0"/>
              <w:rPr>
                <w:sz w:val="20"/>
                <w:szCs w:val="20"/>
                <w:color w:val="auto"/>
              </w:rPr>
            </w:pPr>
            <w:r>
              <w:rPr>
                <w:rFonts w:ascii="Arial" w:cs="Arial" w:eastAsia="Arial" w:hAnsi="Arial"/>
                <w:sz w:val="16"/>
                <w:szCs w:val="16"/>
                <w:color w:val="auto"/>
                <w:w w:val="92"/>
              </w:rPr>
              <w:t>51.00%</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51.00%</w:t>
            </w:r>
          </w:p>
        </w:tc>
        <w:tc>
          <w:tcPr>
            <w:tcW w:w="1420" w:type="dxa"/>
            <w:vAlign w:val="bottom"/>
          </w:tcPr>
          <w:p>
            <w:pPr>
              <w:jc w:val="right"/>
              <w:spacing w:after="0"/>
              <w:rPr>
                <w:sz w:val="20"/>
                <w:szCs w:val="20"/>
                <w:color w:val="auto"/>
              </w:rPr>
            </w:pPr>
            <w:r>
              <w:rPr>
                <w:rFonts w:ascii="Arial" w:cs="Arial" w:eastAsia="Arial" w:hAnsi="Arial"/>
                <w:sz w:val="16"/>
                <w:szCs w:val="16"/>
                <w:color w:val="auto"/>
              </w:rPr>
              <w:t>369,000</w:t>
            </w:r>
          </w:p>
        </w:tc>
        <w:tc>
          <w:tcPr>
            <w:tcW w:w="0" w:type="dxa"/>
            <w:vAlign w:val="bottom"/>
          </w:tcPr>
          <w:p>
            <w:pPr>
              <w:spacing w:after="0"/>
              <w:rPr>
                <w:sz w:val="1"/>
                <w:szCs w:val="1"/>
                <w:color w:val="auto"/>
              </w:rPr>
            </w:pPr>
          </w:p>
        </w:tc>
      </w:tr>
      <w:tr>
        <w:trPr>
          <w:trHeight w:val="21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115 Spring Street</w:t>
            </w:r>
          </w:p>
        </w:tc>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Private Investor</w:t>
            </w:r>
          </w:p>
        </w:tc>
        <w:tc>
          <w:tcPr>
            <w:tcW w:w="16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51.00%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51.00%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0" w:type="dxa"/>
            <w:vAlign w:val="bottom"/>
          </w:tcPr>
          <w:p>
            <w:pPr>
              <w:spacing w:after="0"/>
              <w:rPr>
                <w:sz w:val="1"/>
                <w:szCs w:val="1"/>
                <w:color w:val="auto"/>
              </w:rPr>
            </w:pPr>
          </w:p>
        </w:tc>
      </w:tr>
      <w:tr>
        <w:trPr>
          <w:trHeight w:val="216"/>
        </w:trPr>
        <w:tc>
          <w:tcPr>
            <w:tcW w:w="19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15 Beekman </w:t>
            </w:r>
            <w:r>
              <w:rPr>
                <w:rFonts w:ascii="Arial" w:cs="Arial" w:eastAsia="Arial" w:hAnsi="Arial"/>
                <w:sz w:val="21"/>
                <w:szCs w:val="21"/>
                <w:color w:val="auto"/>
                <w:vertAlign w:val="superscript"/>
              </w:rPr>
              <w:t>(7)</w:t>
            </w:r>
          </w:p>
        </w:tc>
        <w:tc>
          <w:tcPr>
            <w:tcW w:w="5180" w:type="dxa"/>
            <w:vAlign w:val="bottom"/>
          </w:tcPr>
          <w:p>
            <w:pPr>
              <w:ind w:left="320"/>
              <w:spacing w:after="0"/>
              <w:rPr>
                <w:sz w:val="20"/>
                <w:szCs w:val="20"/>
                <w:color w:val="auto"/>
              </w:rPr>
            </w:pPr>
            <w:r>
              <w:rPr>
                <w:rFonts w:ascii="Arial" w:cs="Arial" w:eastAsia="Arial" w:hAnsi="Arial"/>
                <w:sz w:val="16"/>
                <w:szCs w:val="16"/>
                <w:color w:val="auto"/>
              </w:rPr>
              <w:t>A fund managed by Meritz Alternative Investment Management</w:t>
            </w:r>
          </w:p>
        </w:tc>
        <w:tc>
          <w:tcPr>
            <w:tcW w:w="1620" w:type="dxa"/>
            <w:vAlign w:val="bottom"/>
          </w:tcPr>
          <w:p>
            <w:pPr>
              <w:jc w:val="center"/>
              <w:ind w:left="439"/>
              <w:spacing w:after="0"/>
              <w:rPr>
                <w:sz w:val="20"/>
                <w:szCs w:val="20"/>
                <w:color w:val="auto"/>
              </w:rPr>
            </w:pPr>
            <w:r>
              <w:rPr>
                <w:rFonts w:ascii="Arial" w:cs="Arial" w:eastAsia="Arial" w:hAnsi="Arial"/>
                <w:sz w:val="16"/>
                <w:szCs w:val="16"/>
                <w:color w:val="auto"/>
                <w:w w:val="92"/>
              </w:rPr>
              <w:t>20.00%</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20.00%</w:t>
            </w:r>
          </w:p>
        </w:tc>
        <w:tc>
          <w:tcPr>
            <w:tcW w:w="1420" w:type="dxa"/>
            <w:vAlign w:val="bottom"/>
          </w:tcPr>
          <w:p>
            <w:pPr>
              <w:jc w:val="right"/>
              <w:spacing w:after="0"/>
              <w:rPr>
                <w:sz w:val="20"/>
                <w:szCs w:val="20"/>
                <w:color w:val="auto"/>
              </w:rPr>
            </w:pPr>
            <w:r>
              <w:rPr>
                <w:rFonts w:ascii="Arial" w:cs="Arial" w:eastAsia="Arial" w:hAnsi="Arial"/>
                <w:sz w:val="16"/>
                <w:szCs w:val="16"/>
                <w:color w:val="auto"/>
              </w:rPr>
              <w:t>221,884</w:t>
            </w: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85 Fifth Avenue</w:t>
            </w:r>
          </w:p>
        </w:tc>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Wells Fargo</w:t>
            </w:r>
          </w:p>
        </w:tc>
        <w:tc>
          <w:tcPr>
            <w:tcW w:w="16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2"/>
              </w:rPr>
              <w:t>36.30%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36.30%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12,946</w:t>
            </w:r>
          </w:p>
        </w:tc>
        <w:tc>
          <w:tcPr>
            <w:tcW w:w="0" w:type="dxa"/>
            <w:vAlign w:val="bottom"/>
          </w:tcPr>
          <w:p>
            <w:pPr>
              <w:spacing w:after="0"/>
              <w:rPr>
                <w:sz w:val="1"/>
                <w:szCs w:val="1"/>
                <w:color w:val="auto"/>
              </w:rPr>
            </w:pPr>
          </w:p>
        </w:tc>
      </w:tr>
      <w:tr>
        <w:trPr>
          <w:trHeight w:val="279"/>
        </w:trPr>
        <w:tc>
          <w:tcPr>
            <w:tcW w:w="1920" w:type="dxa"/>
            <w:vAlign w:val="bottom"/>
            <w:gridSpan w:val="2"/>
          </w:tcPr>
          <w:p>
            <w:pPr>
              <w:ind w:left="20"/>
              <w:spacing w:after="0"/>
              <w:rPr>
                <w:sz w:val="20"/>
                <w:szCs w:val="20"/>
                <w:color w:val="auto"/>
              </w:rPr>
            </w:pPr>
            <w:r>
              <w:rPr>
                <w:rFonts w:ascii="Arial" w:cs="Arial" w:eastAsia="Arial" w:hAnsi="Arial"/>
                <w:sz w:val="16"/>
                <w:szCs w:val="16"/>
                <w:color w:val="auto"/>
              </w:rPr>
              <w:t xml:space="preserve">One Madison Avenue </w:t>
            </w:r>
            <w:r>
              <w:rPr>
                <w:rFonts w:ascii="Arial" w:cs="Arial" w:eastAsia="Arial" w:hAnsi="Arial"/>
                <w:sz w:val="21"/>
                <w:szCs w:val="21"/>
                <w:color w:val="auto"/>
                <w:vertAlign w:val="superscript"/>
              </w:rPr>
              <w:t>(8)</w:t>
            </w:r>
          </w:p>
        </w:tc>
        <w:tc>
          <w:tcPr>
            <w:tcW w:w="5180" w:type="dxa"/>
            <w:vAlign w:val="bottom"/>
          </w:tcPr>
          <w:p>
            <w:pPr>
              <w:ind w:left="320"/>
              <w:spacing w:after="0"/>
              <w:rPr>
                <w:sz w:val="20"/>
                <w:szCs w:val="20"/>
                <w:color w:val="auto"/>
              </w:rPr>
            </w:pPr>
            <w:r>
              <w:rPr>
                <w:rFonts w:ascii="Arial" w:cs="Arial" w:eastAsia="Arial" w:hAnsi="Arial"/>
                <w:sz w:val="16"/>
                <w:szCs w:val="16"/>
                <w:color w:val="auto"/>
              </w:rPr>
              <w:t>National Pension Service of Korea/Hines Interest LP</w:t>
            </w:r>
          </w:p>
        </w:tc>
        <w:tc>
          <w:tcPr>
            <w:tcW w:w="1620" w:type="dxa"/>
            <w:vAlign w:val="bottom"/>
          </w:tcPr>
          <w:p>
            <w:pPr>
              <w:jc w:val="center"/>
              <w:ind w:left="439"/>
              <w:spacing w:after="0"/>
              <w:rPr>
                <w:sz w:val="20"/>
                <w:szCs w:val="20"/>
                <w:color w:val="auto"/>
              </w:rPr>
            </w:pPr>
            <w:r>
              <w:rPr>
                <w:rFonts w:ascii="Arial" w:cs="Arial" w:eastAsia="Arial" w:hAnsi="Arial"/>
                <w:sz w:val="16"/>
                <w:szCs w:val="16"/>
                <w:color w:val="auto"/>
                <w:w w:val="92"/>
              </w:rPr>
              <w:t>50.50%</w:t>
            </w: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50.50%</w:t>
            </w:r>
          </w:p>
        </w:tc>
        <w:tc>
          <w:tcPr>
            <w:tcW w:w="1420" w:type="dxa"/>
            <w:vAlign w:val="bottom"/>
          </w:tcPr>
          <w:p>
            <w:pPr>
              <w:jc w:val="right"/>
              <w:spacing w:after="0"/>
              <w:rPr>
                <w:sz w:val="20"/>
                <w:szCs w:val="20"/>
                <w:color w:val="auto"/>
              </w:rPr>
            </w:pPr>
            <w:r>
              <w:rPr>
                <w:rFonts w:ascii="Arial" w:cs="Arial" w:eastAsia="Arial" w:hAnsi="Arial"/>
                <w:sz w:val="16"/>
                <w:szCs w:val="16"/>
                <w:color w:val="auto"/>
              </w:rPr>
              <w:t>1,048,700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0" w:hanging="412"/>
        <w:spacing w:after="0" w:line="250" w:lineRule="auto"/>
        <w:tabs>
          <w:tab w:leader="none" w:pos="412" w:val="left"/>
        </w:tabs>
        <w:numPr>
          <w:ilvl w:val="0"/>
          <w:numId w:val="17"/>
        </w:numPr>
        <w:rPr>
          <w:rFonts w:ascii="Arial" w:cs="Arial" w:eastAsia="Arial" w:hAnsi="Arial"/>
          <w:sz w:val="14"/>
          <w:szCs w:val="14"/>
          <w:color w:val="auto"/>
        </w:rPr>
      </w:pPr>
      <w:r>
        <w:rPr>
          <w:rFonts w:ascii="Arial" w:cs="Arial" w:eastAsia="Arial" w:hAnsi="Arial"/>
          <w:sz w:val="14"/>
          <w:szCs w:val="14"/>
          <w:color w:val="auto"/>
        </w:rPr>
        <w:t>Ownership interest and economic interest represent the Company's interests in the joint venture as of June 30, 2021. Changes in ownership or economic interests within the current year are disclosed in the notes below.</w:t>
      </w:r>
    </w:p>
    <w:p>
      <w:pPr>
        <w:ind w:left="400" w:hanging="392"/>
        <w:spacing w:after="0"/>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joint venture also owns a long-term leasehold interest in the retail space and certain other spaces at 1560 Broadway, which is adjacent to 1552 Broadway.</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hold a 32.28% interest in three retail units and one residential unit at the property and a 16.14% interest in three residential units at the property.</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joint venture owns a long-term leasehold interest in the retail space at 650 Fifth Avenue.</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1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October 2016, we sold a 49% interest in this property. Our interest in the property was sold within a consolidated joint venture owned 90% by the Company and 10% by Stonehenge. The transaction resulted in the deconsolidation of the venture's remaining 51% interest in the property. Our joint venture with Stonehenge remains consolidated resulting in the combined 51% remaining interest being shown within investments in unconsolidated joint ventures on our balance sheet. In April 2021, we entered into contract to sell our interest in the property. In connection with this contract, we recorded a charge of $5.7 million, which is included in depreciable real estate reserves and impairment in the consolidated statements of operations. This transaction is expected to close in the third quarter of 2021 subject to customary closing conditions.</w:t>
      </w:r>
    </w:p>
    <w:p>
      <w:pPr>
        <w:spacing w:after="0" w:line="1" w:lineRule="exact"/>
        <w:rPr>
          <w:rFonts w:ascii="Arial" w:cs="Arial" w:eastAsia="Arial" w:hAnsi="Arial"/>
          <w:sz w:val="14"/>
          <w:szCs w:val="14"/>
          <w:color w:val="auto"/>
        </w:rPr>
      </w:pPr>
    </w:p>
    <w:p>
      <w:pPr>
        <w:ind w:left="420" w:hanging="412"/>
        <w:spacing w:after="0" w:line="241" w:lineRule="auto"/>
        <w:tabs>
          <w:tab w:leader="none" w:pos="41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May 2021, the Company and RXR Realty jointly acquired the 1.2% interest in the property previously held by a private investor. This resulted in an increase in the Company's ownership interest of 0.6%.</w:t>
      </w:r>
    </w:p>
    <w:p>
      <w:pPr>
        <w:ind w:left="400" w:hanging="392"/>
        <w:spacing w:after="0"/>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2020, the Company formed a joint venture, which then entered into a long-term sublease with the Company.</w:t>
      </w:r>
    </w:p>
    <w:p>
      <w:pPr>
        <w:spacing w:after="0" w:line="1" w:lineRule="exact"/>
        <w:rPr>
          <w:rFonts w:ascii="Arial" w:cs="Arial" w:eastAsia="Arial" w:hAnsi="Arial"/>
          <w:sz w:val="14"/>
          <w:szCs w:val="14"/>
          <w:color w:val="auto"/>
        </w:rPr>
      </w:pPr>
    </w:p>
    <w:p>
      <w:pPr>
        <w:jc w:val="both"/>
        <w:ind w:left="420" w:hanging="412"/>
        <w:spacing w:after="0" w:line="244" w:lineRule="auto"/>
        <w:tabs>
          <w:tab w:leader="none" w:pos="41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2020, the Company admitted partners to the One Madison Avenue development project, which resulted in the Company no longer retaining a controlling interest in the entity, as defined in ASC 810, and the deconsolidation of our remaining 50.5% interest. We recorded our investment at fair value, which resulted in the recognition of a fair value adjustment of $187.5 million in 2020 and a fair value adjustment of $2.7 million during the six months ended June 30, 2021. The fair value of our investment was determined by the terms of the joint venture agreement governing the capitalization of the project. The partners have committed aggregate equity to the project totaling no less than $492.2 million and their ownership interest in the joint venture is based on their capital contributions, up to an aggregate maximum of 49.5%. At June 30, 2021, the total of the two partners' ownership interests based on equity contributed was 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Joint Venture Interests or Properties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investments in unconsolidated joint ventures disposed of during the six months ended June 30,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200" w:type="dxa"/>
            <w:vAlign w:val="bottom"/>
            <w:vMerge w:val="restart"/>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Ownership Interest</w:t>
            </w: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Disposition Date</w:t>
            </w:r>
          </w:p>
        </w:tc>
        <w:tc>
          <w:tcPr>
            <w:tcW w:w="2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 Asset Valuation (in</w:t>
            </w:r>
          </w:p>
        </w:tc>
        <w:tc>
          <w:tcPr>
            <w:tcW w:w="160" w:type="dxa"/>
            <w:vAlign w:val="bottom"/>
          </w:tcPr>
          <w:p>
            <w:pPr>
              <w:spacing w:after="0"/>
              <w:rPr>
                <w:sz w:val="16"/>
                <w:szCs w:val="16"/>
                <w:color w:val="auto"/>
              </w:rPr>
            </w:pPr>
          </w:p>
        </w:tc>
        <w:tc>
          <w:tcPr>
            <w:tcW w:w="186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(Loss) Gain on Sale (in</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vMerge w:val="continue"/>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Disposed</w:t>
            </w:r>
          </w:p>
        </w:tc>
        <w:tc>
          <w:tcPr>
            <w:tcW w:w="2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millions)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59"/>
              <w:spacing w:after="0" w:line="216" w:lineRule="exact"/>
              <w:rPr>
                <w:sz w:val="20"/>
                <w:szCs w:val="20"/>
                <w:color w:val="auto"/>
              </w:rPr>
            </w:pPr>
            <w:r>
              <w:rPr>
                <w:rFonts w:ascii="Arial" w:cs="Arial" w:eastAsia="Arial" w:hAnsi="Arial"/>
                <w:sz w:val="16"/>
                <w:szCs w:val="16"/>
                <w:b w:val="1"/>
                <w:bCs w:val="1"/>
                <w:color w:val="auto"/>
                <w:w w:val="84"/>
              </w:rPr>
              <w:t xml:space="preserve">millions) </w:t>
            </w:r>
            <w:r>
              <w:rPr>
                <w:rFonts w:ascii="Arial" w:cs="Arial" w:eastAsia="Arial" w:hAnsi="Arial"/>
                <w:sz w:val="21"/>
                <w:szCs w:val="21"/>
                <w:b w:val="1"/>
                <w:bCs w:val="1"/>
                <w:color w:val="auto"/>
                <w:w w:val="84"/>
                <w:vertAlign w:val="superscript"/>
              </w:rPr>
              <w:t>(1) (2)</w:t>
            </w: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885 Third Avenue </w:t>
            </w:r>
            <w:r>
              <w:rPr>
                <w:rFonts w:ascii="Arial" w:cs="Arial" w:eastAsia="Arial" w:hAnsi="Arial"/>
                <w:sz w:val="21"/>
                <w:szCs w:val="21"/>
                <w:color w:val="auto"/>
                <w:vertAlign w:val="superscript"/>
              </w:rPr>
              <w:t>(3)</w:t>
            </w:r>
          </w:p>
        </w:tc>
        <w:tc>
          <w:tcPr>
            <w:tcW w:w="19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N/A</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8"/>
              </w:rPr>
              <w:t>January 2021</w:t>
            </w: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600"/>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ind w:left="145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55 West 46th Street - Tower 46</w:t>
            </w: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25.0%</w:t>
            </w:r>
          </w:p>
        </w:tc>
        <w:tc>
          <w:tcPr>
            <w:tcW w:w="2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March 2021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275.0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605 West 42nd Street - Sky</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20.0%</w:t>
            </w:r>
          </w:p>
        </w:tc>
        <w:tc>
          <w:tcPr>
            <w:tcW w:w="2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8"/>
              </w:rPr>
              <w:t>June 2021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Company's share of the gain or loss.</w:t>
      </w:r>
    </w:p>
    <w:p>
      <w:pPr>
        <w:spacing w:after="0" w:line="13" w:lineRule="exact"/>
        <w:rPr>
          <w:rFonts w:ascii="Arial" w:cs="Arial" w:eastAsia="Arial" w:hAnsi="Arial"/>
          <w:sz w:val="14"/>
          <w:szCs w:val="14"/>
          <w:color w:val="auto"/>
        </w:rPr>
      </w:pPr>
    </w:p>
    <w:p>
      <w:pPr>
        <w:ind w:left="420" w:hanging="412"/>
        <w:spacing w:after="0" w:line="241" w:lineRule="auto"/>
        <w:tabs>
          <w:tab w:leader="none" w:pos="412"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(loss) gain on sale is net of $1.4 million of employee compensation accrued in connection with the realization of the investment gains during the six months ended June 30, 2021. Additionally, the amounts do not include adjustments for expenses recorded in subsequent periods.</w:t>
      </w:r>
    </w:p>
    <w:p>
      <w:pPr>
        <w:ind w:left="420" w:right="20" w:hanging="412"/>
        <w:spacing w:after="0" w:line="255" w:lineRule="auto"/>
        <w:tabs>
          <w:tab w:leader="none" w:pos="412"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January 2021, pursuant to the partnership documents of our 885 Third Avenue investment, certain participating rights of the common member expired. As a result, it was determined that we are the primary beneficiary of the VIE and the investment was consolidated in our financial statements. See Note 3, "Property Acquisitions."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Mortgages and Other Loans Payable</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generally finance our joint ventures with non-recourse debt. In certain cases we may provide guarantees or master leases for tenant space, which terminate upon the satisfaction of specified circumstances or repayment of the underlying loans. The mortgage notes and other loans payable collateralized by the respective joint venture properties and assignment of leases at June 30, 2021 and December 31, 2020, respectively, are as follows (dollars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Economic</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Initial Maturity</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Final Maturity</w:t>
            </w:r>
          </w:p>
        </w:tc>
        <w:tc>
          <w:tcPr>
            <w:tcW w:w="1160" w:type="dxa"/>
            <w:vAlign w:val="bottom"/>
          </w:tcPr>
          <w:p>
            <w:pPr>
              <w:ind w:left="580"/>
              <w:spacing w:after="0"/>
              <w:rPr>
                <w:sz w:val="20"/>
                <w:szCs w:val="20"/>
                <w:color w:val="auto"/>
              </w:rPr>
            </w:pPr>
            <w:r>
              <w:rPr>
                <w:rFonts w:ascii="Arial" w:cs="Arial" w:eastAsia="Arial" w:hAnsi="Arial"/>
                <w:sz w:val="16"/>
                <w:szCs w:val="16"/>
                <w:b w:val="1"/>
                <w:bCs w:val="1"/>
                <w:color w:val="auto"/>
                <w:w w:val="96"/>
              </w:rPr>
              <w:t>Interest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6"/>
        </w:trPr>
        <w:tc>
          <w:tcPr>
            <w:tcW w:w="2620" w:type="dxa"/>
            <w:vAlign w:val="bottom"/>
            <w:gridSpan w:val="3"/>
            <w:vMerge w:val="continue"/>
          </w:tcPr>
          <w:p>
            <w:pPr>
              <w:spacing w:after="0"/>
              <w:rPr>
                <w:sz w:val="18"/>
                <w:szCs w:val="18"/>
                <w:color w:val="auto"/>
              </w:rPr>
            </w:pPr>
          </w:p>
        </w:tc>
        <w:tc>
          <w:tcPr>
            <w:tcW w:w="1200" w:type="dxa"/>
            <w:vAlign w:val="bottom"/>
            <w:gridSpan w:val="2"/>
          </w:tcPr>
          <w:p>
            <w:pPr>
              <w:ind w:left="200"/>
              <w:spacing w:after="0" w:line="216" w:lineRule="exact"/>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21"/>
                <w:szCs w:val="21"/>
                <w:b w:val="1"/>
                <w:bCs w:val="1"/>
                <w:color w:val="auto"/>
                <w:vertAlign w:val="superscript"/>
              </w:rPr>
              <w:t>(1)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152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88"/>
              </w:rPr>
              <w:t xml:space="preserve">Date </w:t>
            </w:r>
            <w:r>
              <w:rPr>
                <w:rFonts w:ascii="Arial" w:cs="Arial" w:eastAsia="Arial" w:hAnsi="Arial"/>
                <w:sz w:val="21"/>
                <w:szCs w:val="21"/>
                <w:b w:val="1"/>
                <w:bCs w:val="1"/>
                <w:color w:val="auto"/>
                <w:w w:val="88"/>
                <w:vertAlign w:val="superscript"/>
              </w:rPr>
              <w:t>(2)</w:t>
            </w:r>
          </w:p>
        </w:tc>
        <w:tc>
          <w:tcPr>
            <w:tcW w:w="1160" w:type="dxa"/>
            <w:vAlign w:val="bottom"/>
          </w:tcPr>
          <w:p>
            <w:pPr>
              <w:ind w:left="600"/>
              <w:spacing w:after="0" w:line="216" w:lineRule="exact"/>
              <w:rPr>
                <w:sz w:val="20"/>
                <w:szCs w:val="20"/>
                <w:color w:val="auto"/>
              </w:rPr>
            </w:pPr>
            <w:r>
              <w:rPr>
                <w:rFonts w:ascii="Arial" w:cs="Arial" w:eastAsia="Arial" w:hAnsi="Arial"/>
                <w:sz w:val="16"/>
                <w:szCs w:val="16"/>
                <w:b w:val="1"/>
                <w:bCs w:val="1"/>
                <w:color w:val="auto"/>
                <w:w w:val="95"/>
              </w:rPr>
              <w:t xml:space="preserve">Rate </w:t>
            </w:r>
            <w:r>
              <w:rPr>
                <w:rFonts w:ascii="Arial" w:cs="Arial" w:eastAsia="Arial" w:hAnsi="Arial"/>
                <w:sz w:val="21"/>
                <w:szCs w:val="21"/>
                <w:b w:val="1"/>
                <w:bCs w:val="1"/>
                <w:color w:val="auto"/>
                <w:w w:val="95"/>
                <w:vertAlign w:val="superscript"/>
              </w:rPr>
              <w:t>(3)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Fixed Rate Debt:</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717</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Fifth Avenue (mortgage)</w:t>
            </w:r>
          </w:p>
        </w:tc>
        <w:tc>
          <w:tcPr>
            <w:tcW w:w="1100" w:type="dxa"/>
            <w:vAlign w:val="bottom"/>
          </w:tcPr>
          <w:p>
            <w:pPr>
              <w:jc w:val="right"/>
              <w:spacing w:after="0"/>
              <w:rPr>
                <w:sz w:val="20"/>
                <w:szCs w:val="20"/>
                <w:color w:val="auto"/>
              </w:rPr>
            </w:pPr>
            <w:r>
              <w:rPr>
                <w:rFonts w:ascii="Arial" w:cs="Arial" w:eastAsia="Arial" w:hAnsi="Arial"/>
                <w:sz w:val="16"/>
                <w:szCs w:val="16"/>
                <w:color w:val="auto"/>
              </w:rPr>
              <w:t>10.92 %</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0"/>
              </w:rPr>
              <w:t>July 2022</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2022</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4.45 %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300,000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717</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Fifth Avenue (mezzanine)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July 2022</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July 2022</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355,328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355,328</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650</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Fifth Avenue (mortgage)</w:t>
            </w:r>
          </w:p>
        </w:tc>
        <w:tc>
          <w:tcPr>
            <w:tcW w:w="1100" w:type="dxa"/>
            <w:vAlign w:val="bottom"/>
          </w:tcPr>
          <w:p>
            <w:pPr>
              <w:jc w:val="right"/>
              <w:spacing w:after="0"/>
              <w:rPr>
                <w:sz w:val="20"/>
                <w:szCs w:val="20"/>
                <w:color w:val="auto"/>
              </w:rPr>
            </w:pPr>
            <w:r>
              <w:rPr>
                <w:rFonts w:ascii="Arial" w:cs="Arial" w:eastAsia="Arial" w:hAnsi="Arial"/>
                <w:sz w:val="16"/>
                <w:szCs w:val="16"/>
                <w:color w:val="auto"/>
              </w:rPr>
              <w:t>50.00 %</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October 2022</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2022</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210,000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210,000</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650</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Fifth Avenue (mezzanine)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October 2022</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2022</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0" w:type="dxa"/>
            <w:vAlign w:val="bottom"/>
          </w:tcPr>
          <w:p>
            <w:pPr>
              <w:spacing w:after="0"/>
              <w:rPr>
                <w:sz w:val="1"/>
                <w:szCs w:val="1"/>
                <w:color w:val="auto"/>
              </w:rPr>
            </w:pPr>
          </w:p>
        </w:tc>
      </w:tr>
      <w:tr>
        <w:trPr>
          <w:trHeight w:val="213"/>
        </w:trPr>
        <w:tc>
          <w:tcPr>
            <w:tcW w:w="2620" w:type="dxa"/>
            <w:vAlign w:val="bottom"/>
            <w:gridSpan w:val="3"/>
          </w:tcPr>
          <w:p>
            <w:pPr>
              <w:ind w:left="20"/>
              <w:spacing w:after="0"/>
              <w:rPr>
                <w:sz w:val="20"/>
                <w:szCs w:val="20"/>
                <w:color w:val="auto"/>
              </w:rPr>
            </w:pPr>
            <w:r>
              <w:rPr>
                <w:rFonts w:ascii="Arial" w:cs="Arial" w:eastAsia="Arial" w:hAnsi="Arial"/>
                <w:sz w:val="16"/>
                <w:szCs w:val="16"/>
                <w:color w:val="auto"/>
              </w:rPr>
              <w:t>21 East 66th Street</w:t>
            </w:r>
          </w:p>
        </w:tc>
        <w:tc>
          <w:tcPr>
            <w:tcW w:w="1100" w:type="dxa"/>
            <w:vAlign w:val="bottom"/>
          </w:tcPr>
          <w:p>
            <w:pPr>
              <w:jc w:val="right"/>
              <w:spacing w:after="0"/>
              <w:rPr>
                <w:sz w:val="20"/>
                <w:szCs w:val="20"/>
                <w:color w:val="auto"/>
              </w:rPr>
            </w:pPr>
            <w:r>
              <w:rPr>
                <w:rFonts w:ascii="Arial" w:cs="Arial" w:eastAsia="Arial" w:hAnsi="Arial"/>
                <w:sz w:val="16"/>
                <w:szCs w:val="16"/>
                <w:color w:val="auto"/>
              </w:rPr>
              <w:t>32.28 %</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7"/>
              </w:rPr>
              <w:t>April 2023</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April 2028</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12,000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919</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Third Avenue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2023</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June 2023</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13"/>
        </w:trPr>
        <w:tc>
          <w:tcPr>
            <w:tcW w:w="2620" w:type="dxa"/>
            <w:vAlign w:val="bottom"/>
            <w:gridSpan w:val="3"/>
          </w:tcPr>
          <w:p>
            <w:pPr>
              <w:ind w:left="20"/>
              <w:spacing w:after="0"/>
              <w:rPr>
                <w:sz w:val="20"/>
                <w:szCs w:val="20"/>
                <w:color w:val="auto"/>
              </w:rPr>
            </w:pPr>
            <w:r>
              <w:rPr>
                <w:rFonts w:ascii="Arial" w:cs="Arial" w:eastAsia="Arial" w:hAnsi="Arial"/>
                <w:sz w:val="16"/>
                <w:szCs w:val="16"/>
                <w:color w:val="auto"/>
              </w:rPr>
              <w:t>1515 Broadway</w:t>
            </w:r>
          </w:p>
        </w:tc>
        <w:tc>
          <w:tcPr>
            <w:tcW w:w="1100" w:type="dxa"/>
            <w:vAlign w:val="bottom"/>
          </w:tcPr>
          <w:p>
            <w:pPr>
              <w:jc w:val="right"/>
              <w:spacing w:after="0"/>
              <w:rPr>
                <w:sz w:val="20"/>
                <w:szCs w:val="20"/>
                <w:color w:val="auto"/>
              </w:rPr>
            </w:pPr>
            <w:r>
              <w:rPr>
                <w:rFonts w:ascii="Arial" w:cs="Arial" w:eastAsia="Arial" w:hAnsi="Arial"/>
                <w:sz w:val="16"/>
                <w:szCs w:val="16"/>
                <w:color w:val="auto"/>
              </w:rPr>
              <w:t>56.87 %</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March 2025</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2025</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811,275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820,607</w:t>
            </w:r>
          </w:p>
        </w:tc>
        <w:tc>
          <w:tcPr>
            <w:tcW w:w="0" w:type="dxa"/>
            <w:vAlign w:val="bottom"/>
          </w:tcPr>
          <w:p>
            <w:pPr>
              <w:spacing w:after="0"/>
              <w:rPr>
                <w:sz w:val="1"/>
                <w:szCs w:val="1"/>
                <w:color w:val="auto"/>
              </w:rPr>
            </w:pPr>
          </w:p>
        </w:tc>
      </w:tr>
      <w:tr>
        <w:trPr>
          <w:trHeight w:val="219"/>
        </w:trPr>
        <w:tc>
          <w:tcPr>
            <w:tcW w:w="2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11 Madison Avenue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September 2025</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2025</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1,400,000</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800</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Third Avenue</w:t>
            </w:r>
          </w:p>
        </w:tc>
        <w:tc>
          <w:tcPr>
            <w:tcW w:w="1100" w:type="dxa"/>
            <w:vAlign w:val="bottom"/>
          </w:tcPr>
          <w:p>
            <w:pPr>
              <w:jc w:val="right"/>
              <w:spacing w:after="0"/>
              <w:rPr>
                <w:sz w:val="20"/>
                <w:szCs w:val="20"/>
                <w:color w:val="auto"/>
              </w:rPr>
            </w:pPr>
            <w:r>
              <w:rPr>
                <w:rFonts w:ascii="Arial" w:cs="Arial" w:eastAsia="Arial" w:hAnsi="Arial"/>
                <w:sz w:val="16"/>
                <w:szCs w:val="16"/>
                <w:color w:val="auto"/>
              </w:rPr>
              <w:t>60.52 %</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0"/>
              </w:rPr>
              <w:t>February 2026</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February 2026</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177,000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177,000</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400</w:t>
            </w:r>
          </w:p>
        </w:tc>
        <w:tc>
          <w:tcPr>
            <w:tcW w:w="234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East 57th Street </w:t>
            </w:r>
            <w:r>
              <w:rPr>
                <w:rFonts w:ascii="Arial" w:cs="Arial" w:eastAsia="Arial" w:hAnsi="Arial"/>
                <w:sz w:val="21"/>
                <w:szCs w:val="21"/>
                <w:color w:val="auto"/>
                <w:vertAlign w:val="superscript"/>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November 2026</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November 2026</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96,666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97,024</w:t>
            </w:r>
          </w:p>
        </w:tc>
        <w:tc>
          <w:tcPr>
            <w:tcW w:w="0" w:type="dxa"/>
            <w:vAlign w:val="bottom"/>
          </w:tcPr>
          <w:p>
            <w:pPr>
              <w:spacing w:after="0"/>
              <w:rPr>
                <w:sz w:val="1"/>
                <w:szCs w:val="1"/>
                <w:color w:val="auto"/>
              </w:rPr>
            </w:pPr>
          </w:p>
        </w:tc>
      </w:tr>
      <w:tr>
        <w:trPr>
          <w:trHeight w:val="213"/>
        </w:trPr>
        <w:tc>
          <w:tcPr>
            <w:tcW w:w="2620" w:type="dxa"/>
            <w:vAlign w:val="bottom"/>
            <w:gridSpan w:val="3"/>
          </w:tcPr>
          <w:p>
            <w:pPr>
              <w:ind w:left="20"/>
              <w:spacing w:after="0"/>
              <w:rPr>
                <w:sz w:val="20"/>
                <w:szCs w:val="20"/>
                <w:color w:val="auto"/>
              </w:rPr>
            </w:pPr>
            <w:r>
              <w:rPr>
                <w:rFonts w:ascii="Arial" w:cs="Arial" w:eastAsia="Arial" w:hAnsi="Arial"/>
                <w:sz w:val="16"/>
                <w:szCs w:val="16"/>
                <w:color w:val="auto"/>
              </w:rPr>
              <w:t>Worldwide Plaza</w:t>
            </w:r>
          </w:p>
        </w:tc>
        <w:tc>
          <w:tcPr>
            <w:tcW w:w="1100" w:type="dxa"/>
            <w:vAlign w:val="bottom"/>
          </w:tcPr>
          <w:p>
            <w:pPr>
              <w:jc w:val="right"/>
              <w:spacing w:after="0"/>
              <w:rPr>
                <w:sz w:val="20"/>
                <w:szCs w:val="20"/>
                <w:color w:val="auto"/>
              </w:rPr>
            </w:pPr>
            <w:r>
              <w:rPr>
                <w:rFonts w:ascii="Arial" w:cs="Arial" w:eastAsia="Arial" w:hAnsi="Arial"/>
                <w:sz w:val="16"/>
                <w:szCs w:val="16"/>
                <w:color w:val="auto"/>
              </w:rPr>
              <w:t>24.95 %</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November 2027</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November 2027</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1,200,000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r>
        <w:trPr>
          <w:trHeight w:val="219"/>
        </w:trPr>
        <w:tc>
          <w:tcPr>
            <w:tcW w:w="2620" w:type="dxa"/>
            <w:vAlign w:val="bottom"/>
            <w:gridSpan w:val="3"/>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One Vanderbilt Avenue </w:t>
            </w:r>
            <w:r>
              <w:rPr>
                <w:rFonts w:ascii="Arial" w:cs="Arial" w:eastAsia="Arial" w:hAnsi="Arial"/>
                <w:sz w:val="21"/>
                <w:szCs w:val="21"/>
                <w:color w:val="auto"/>
                <w:vertAlign w:val="superscript"/>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July 2031</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July 2031</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 xml:space="preserve">Stonehenge Portfolio </w:t>
            </w:r>
            <w:r>
              <w:rPr>
                <w:rFonts w:ascii="Arial" w:cs="Arial" w:eastAsia="Arial" w:hAnsi="Arial"/>
                <w:sz w:val="21"/>
                <w:szCs w:val="21"/>
                <w:color w:val="auto"/>
                <w:vertAlign w:val="superscript"/>
              </w:rPr>
              <w:t>(6)</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Various</w:t>
            </w: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Various</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195,899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195,899</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885</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Third Avenue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272,000</w:t>
            </w:r>
          </w:p>
        </w:tc>
        <w:tc>
          <w:tcPr>
            <w:tcW w:w="0" w:type="dxa"/>
            <w:vAlign w:val="bottom"/>
          </w:tcPr>
          <w:p>
            <w:pPr>
              <w:spacing w:after="0"/>
              <w:rPr>
                <w:sz w:val="1"/>
                <w:szCs w:val="1"/>
                <w:color w:val="auto"/>
              </w:rPr>
            </w:pPr>
          </w:p>
        </w:tc>
      </w:tr>
      <w:tr>
        <w:trPr>
          <w:trHeight w:val="207"/>
        </w:trPr>
        <w:tc>
          <w:tcPr>
            <w:tcW w:w="2620" w:type="dxa"/>
            <w:vAlign w:val="bottom"/>
            <w:gridSpan w:val="3"/>
          </w:tcPr>
          <w:p>
            <w:pPr>
              <w:ind w:left="140"/>
              <w:spacing w:after="0"/>
              <w:rPr>
                <w:sz w:val="20"/>
                <w:szCs w:val="20"/>
                <w:color w:val="auto"/>
              </w:rPr>
            </w:pPr>
            <w:r>
              <w:rPr>
                <w:rFonts w:ascii="Arial" w:cs="Arial" w:eastAsia="Arial" w:hAnsi="Arial"/>
                <w:sz w:val="16"/>
                <w:szCs w:val="16"/>
                <w:color w:val="auto"/>
              </w:rPr>
              <w:t>Total fixed rate debt</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8,323,168</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5,604,858</w:t>
            </w:r>
          </w:p>
        </w:tc>
        <w:tc>
          <w:tcPr>
            <w:tcW w:w="0" w:type="dxa"/>
            <w:vAlign w:val="bottom"/>
          </w:tcPr>
          <w:p>
            <w:pPr>
              <w:spacing w:after="0"/>
              <w:rPr>
                <w:sz w:val="1"/>
                <w:szCs w:val="1"/>
                <w:color w:val="auto"/>
              </w:rPr>
            </w:pPr>
          </w:p>
        </w:tc>
      </w:tr>
      <w:tr>
        <w:trPr>
          <w:trHeight w:val="219"/>
        </w:trPr>
        <w:tc>
          <w:tcPr>
            <w:tcW w:w="26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Floating Rate Debt:</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280</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Park Avenue</w:t>
            </w:r>
          </w:p>
        </w:tc>
        <w:tc>
          <w:tcPr>
            <w:tcW w:w="1100" w:type="dxa"/>
            <w:vAlign w:val="bottom"/>
          </w:tcPr>
          <w:p>
            <w:pPr>
              <w:jc w:val="right"/>
              <w:spacing w:after="0"/>
              <w:rPr>
                <w:sz w:val="20"/>
                <w:szCs w:val="20"/>
                <w:color w:val="auto"/>
              </w:rPr>
            </w:pPr>
            <w:r>
              <w:rPr>
                <w:rFonts w:ascii="Arial" w:cs="Arial" w:eastAsia="Arial" w:hAnsi="Arial"/>
                <w:sz w:val="16"/>
                <w:szCs w:val="16"/>
                <w:color w:val="auto"/>
              </w:rPr>
              <w:t>50.00 %</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September 2021</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2024</w:t>
            </w:r>
          </w:p>
        </w:tc>
        <w:tc>
          <w:tcPr>
            <w:tcW w:w="1160" w:type="dxa"/>
            <w:vAlign w:val="bottom"/>
          </w:tcPr>
          <w:p>
            <w:pPr>
              <w:ind w:left="700"/>
              <w:spacing w:after="0"/>
              <w:rPr>
                <w:sz w:val="20"/>
                <w:szCs w:val="20"/>
                <w:color w:val="auto"/>
              </w:rPr>
            </w:pPr>
            <w:r>
              <w:rPr>
                <w:rFonts w:ascii="Arial" w:cs="Arial" w:eastAsia="Arial" w:hAnsi="Arial"/>
                <w:sz w:val="16"/>
                <w:szCs w:val="16"/>
                <w:color w:val="auto"/>
              </w:rPr>
              <w:t>L+</w:t>
            </w:r>
          </w:p>
        </w:tc>
        <w:tc>
          <w:tcPr>
            <w:tcW w:w="540" w:type="dxa"/>
            <w:vAlign w:val="bottom"/>
          </w:tcPr>
          <w:p>
            <w:pPr>
              <w:jc w:val="right"/>
              <w:spacing w:after="0"/>
              <w:rPr>
                <w:sz w:val="20"/>
                <w:szCs w:val="20"/>
                <w:color w:val="auto"/>
              </w:rPr>
            </w:pPr>
            <w:r>
              <w:rPr>
                <w:rFonts w:ascii="Arial" w:cs="Arial" w:eastAsia="Arial" w:hAnsi="Arial"/>
                <w:sz w:val="16"/>
                <w:szCs w:val="16"/>
                <w:color w:val="auto"/>
              </w:rPr>
              <w:t>1.73 %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1,200,000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r>
        <w:trPr>
          <w:trHeight w:val="219"/>
        </w:trPr>
        <w:tc>
          <w:tcPr>
            <w:tcW w:w="2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1552 Broadway</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October 2021</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2022</w:t>
            </w:r>
          </w:p>
        </w:tc>
        <w:tc>
          <w:tcPr>
            <w:tcW w:w="11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L+</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195,000</w:t>
            </w:r>
          </w:p>
        </w:tc>
        <w:tc>
          <w:tcPr>
            <w:tcW w:w="0" w:type="dxa"/>
            <w:vAlign w:val="bottom"/>
          </w:tcPr>
          <w:p>
            <w:pPr>
              <w:spacing w:after="0"/>
              <w:rPr>
                <w:sz w:val="1"/>
                <w:szCs w:val="1"/>
                <w:color w:val="auto"/>
              </w:rPr>
            </w:pPr>
          </w:p>
        </w:tc>
      </w:tr>
      <w:tr>
        <w:trPr>
          <w:trHeight w:val="213"/>
        </w:trPr>
        <w:tc>
          <w:tcPr>
            <w:tcW w:w="2620" w:type="dxa"/>
            <w:vAlign w:val="bottom"/>
            <w:gridSpan w:val="3"/>
          </w:tcPr>
          <w:p>
            <w:pPr>
              <w:ind w:left="20"/>
              <w:spacing w:after="0"/>
              <w:rPr>
                <w:sz w:val="20"/>
                <w:szCs w:val="20"/>
                <w:color w:val="auto"/>
              </w:rPr>
            </w:pPr>
            <w:r>
              <w:rPr>
                <w:rFonts w:ascii="Arial" w:cs="Arial" w:eastAsia="Arial" w:hAnsi="Arial"/>
                <w:sz w:val="16"/>
                <w:szCs w:val="16"/>
                <w:color w:val="auto"/>
              </w:rPr>
              <w:t>2 Herald Square</w:t>
            </w:r>
          </w:p>
        </w:tc>
        <w:tc>
          <w:tcPr>
            <w:tcW w:w="1100" w:type="dxa"/>
            <w:vAlign w:val="bottom"/>
          </w:tcPr>
          <w:p>
            <w:pPr>
              <w:jc w:val="right"/>
              <w:spacing w:after="0"/>
              <w:rPr>
                <w:sz w:val="20"/>
                <w:szCs w:val="20"/>
                <w:color w:val="auto"/>
              </w:rPr>
            </w:pPr>
            <w:r>
              <w:rPr>
                <w:rFonts w:ascii="Arial" w:cs="Arial" w:eastAsia="Arial" w:hAnsi="Arial"/>
                <w:sz w:val="16"/>
                <w:szCs w:val="16"/>
                <w:color w:val="auto"/>
              </w:rPr>
              <w:t>51.00 %</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November 2021</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November 2023</w:t>
            </w:r>
          </w:p>
        </w:tc>
        <w:tc>
          <w:tcPr>
            <w:tcW w:w="1160" w:type="dxa"/>
            <w:vAlign w:val="bottom"/>
          </w:tcPr>
          <w:p>
            <w:pPr>
              <w:ind w:left="700"/>
              <w:spacing w:after="0"/>
              <w:rPr>
                <w:sz w:val="20"/>
                <w:szCs w:val="20"/>
                <w:color w:val="auto"/>
              </w:rPr>
            </w:pPr>
            <w:r>
              <w:rPr>
                <w:rFonts w:ascii="Arial" w:cs="Arial" w:eastAsia="Arial" w:hAnsi="Arial"/>
                <w:sz w:val="16"/>
                <w:szCs w:val="16"/>
                <w:color w:val="auto"/>
              </w:rPr>
              <w:t>L+</w:t>
            </w:r>
          </w:p>
        </w:tc>
        <w:tc>
          <w:tcPr>
            <w:tcW w:w="540" w:type="dxa"/>
            <w:vAlign w:val="bottom"/>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214,500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214,500</w:t>
            </w:r>
          </w:p>
        </w:tc>
        <w:tc>
          <w:tcPr>
            <w:tcW w:w="0" w:type="dxa"/>
            <w:vAlign w:val="bottom"/>
          </w:tcPr>
          <w:p>
            <w:pPr>
              <w:spacing w:after="0"/>
              <w:rPr>
                <w:sz w:val="1"/>
                <w:szCs w:val="1"/>
                <w:color w:val="auto"/>
              </w:rPr>
            </w:pPr>
          </w:p>
        </w:tc>
      </w:tr>
      <w:tr>
        <w:trPr>
          <w:trHeight w:val="219"/>
        </w:trPr>
        <w:tc>
          <w:tcPr>
            <w:tcW w:w="2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11 West 34th Street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2022</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2023</w:t>
            </w:r>
          </w:p>
        </w:tc>
        <w:tc>
          <w:tcPr>
            <w:tcW w:w="11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L+</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121</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Greene Street</w:t>
            </w:r>
          </w:p>
        </w:tc>
        <w:tc>
          <w:tcPr>
            <w:tcW w:w="1100" w:type="dxa"/>
            <w:vAlign w:val="bottom"/>
          </w:tcPr>
          <w:p>
            <w:pPr>
              <w:jc w:val="right"/>
              <w:spacing w:after="0"/>
              <w:rPr>
                <w:sz w:val="20"/>
                <w:szCs w:val="20"/>
                <w:color w:val="auto"/>
              </w:rPr>
            </w:pPr>
            <w:r>
              <w:rPr>
                <w:rFonts w:ascii="Arial" w:cs="Arial" w:eastAsia="Arial" w:hAnsi="Arial"/>
                <w:sz w:val="16"/>
                <w:szCs w:val="16"/>
                <w:color w:val="auto"/>
              </w:rPr>
              <w:t>50.00 %</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November 2022</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November 2022</w:t>
            </w:r>
          </w:p>
        </w:tc>
        <w:tc>
          <w:tcPr>
            <w:tcW w:w="1160" w:type="dxa"/>
            <w:vAlign w:val="bottom"/>
          </w:tcPr>
          <w:p>
            <w:pPr>
              <w:ind w:left="700"/>
              <w:spacing w:after="0"/>
              <w:rPr>
                <w:sz w:val="20"/>
                <w:szCs w:val="20"/>
                <w:color w:val="auto"/>
              </w:rPr>
            </w:pPr>
            <w:r>
              <w:rPr>
                <w:rFonts w:ascii="Arial" w:cs="Arial" w:eastAsia="Arial" w:hAnsi="Arial"/>
                <w:sz w:val="16"/>
                <w:szCs w:val="16"/>
                <w:color w:val="auto"/>
              </w:rPr>
              <w:t>L+</w:t>
            </w:r>
          </w:p>
        </w:tc>
        <w:tc>
          <w:tcPr>
            <w:tcW w:w="540" w:type="dxa"/>
            <w:vAlign w:val="bottom"/>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13,577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9"/>
        </w:trPr>
        <w:tc>
          <w:tcPr>
            <w:tcW w:w="2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115 Spring Street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September 2023</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2023</w:t>
            </w:r>
          </w:p>
        </w:tc>
        <w:tc>
          <w:tcPr>
            <w:tcW w:w="11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L+</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65,550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65,550</w:t>
            </w:r>
          </w:p>
        </w:tc>
        <w:tc>
          <w:tcPr>
            <w:tcW w:w="0" w:type="dxa"/>
            <w:vAlign w:val="bottom"/>
          </w:tcPr>
          <w:p>
            <w:pPr>
              <w:spacing w:after="0"/>
              <w:rPr>
                <w:sz w:val="1"/>
                <w:szCs w:val="1"/>
                <w:color w:val="auto"/>
              </w:rPr>
            </w:pPr>
          </w:p>
        </w:tc>
      </w:tr>
      <w:tr>
        <w:trPr>
          <w:trHeight w:val="213"/>
        </w:trPr>
        <w:tc>
          <w:tcPr>
            <w:tcW w:w="2620" w:type="dxa"/>
            <w:vAlign w:val="bottom"/>
            <w:gridSpan w:val="3"/>
          </w:tcPr>
          <w:p>
            <w:pPr>
              <w:ind w:left="20"/>
              <w:spacing w:after="0"/>
              <w:rPr>
                <w:sz w:val="20"/>
                <w:szCs w:val="20"/>
                <w:color w:val="auto"/>
              </w:rPr>
            </w:pPr>
            <w:r>
              <w:rPr>
                <w:rFonts w:ascii="Arial" w:cs="Arial" w:eastAsia="Arial" w:hAnsi="Arial"/>
                <w:sz w:val="16"/>
                <w:szCs w:val="16"/>
                <w:color w:val="auto"/>
              </w:rPr>
              <w:t>100 Park Avenue</w:t>
            </w:r>
          </w:p>
        </w:tc>
        <w:tc>
          <w:tcPr>
            <w:tcW w:w="1100" w:type="dxa"/>
            <w:vAlign w:val="bottom"/>
          </w:tcPr>
          <w:p>
            <w:pPr>
              <w:jc w:val="right"/>
              <w:spacing w:after="0"/>
              <w:rPr>
                <w:sz w:val="20"/>
                <w:szCs w:val="20"/>
                <w:color w:val="auto"/>
              </w:rPr>
            </w:pPr>
            <w:r>
              <w:rPr>
                <w:rFonts w:ascii="Arial" w:cs="Arial" w:eastAsia="Arial" w:hAnsi="Arial"/>
                <w:sz w:val="16"/>
                <w:szCs w:val="16"/>
                <w:color w:val="auto"/>
              </w:rPr>
              <w:t>49.90 %</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December 2023</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2025</w:t>
            </w:r>
          </w:p>
        </w:tc>
        <w:tc>
          <w:tcPr>
            <w:tcW w:w="1160" w:type="dxa"/>
            <w:vAlign w:val="bottom"/>
          </w:tcPr>
          <w:p>
            <w:pPr>
              <w:ind w:left="700"/>
              <w:spacing w:after="0"/>
              <w:rPr>
                <w:sz w:val="20"/>
                <w:szCs w:val="20"/>
                <w:color w:val="auto"/>
              </w:rPr>
            </w:pPr>
            <w:r>
              <w:rPr>
                <w:rFonts w:ascii="Arial" w:cs="Arial" w:eastAsia="Arial" w:hAnsi="Arial"/>
                <w:sz w:val="16"/>
                <w:szCs w:val="16"/>
                <w:color w:val="auto"/>
              </w:rPr>
              <w:t>L+</w:t>
            </w:r>
          </w:p>
        </w:tc>
        <w:tc>
          <w:tcPr>
            <w:tcW w:w="540" w:type="dxa"/>
            <w:vAlign w:val="bottom"/>
          </w:tcPr>
          <w:p>
            <w:pPr>
              <w:jc w:val="right"/>
              <w:spacing w:after="0"/>
              <w:rPr>
                <w:sz w:val="20"/>
                <w:szCs w:val="20"/>
                <w:color w:val="auto"/>
              </w:rPr>
            </w:pPr>
            <w:r>
              <w:rPr>
                <w:rFonts w:ascii="Arial" w:cs="Arial" w:eastAsia="Arial" w:hAnsi="Arial"/>
                <w:sz w:val="16"/>
                <w:szCs w:val="16"/>
                <w:color w:val="auto"/>
              </w:rPr>
              <w:t>2.25 %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360,000</w:t>
            </w:r>
          </w:p>
        </w:tc>
        <w:tc>
          <w:tcPr>
            <w:tcW w:w="0" w:type="dxa"/>
            <w:vAlign w:val="bottom"/>
          </w:tcPr>
          <w:p>
            <w:pPr>
              <w:spacing w:after="0"/>
              <w:rPr>
                <w:sz w:val="1"/>
                <w:szCs w:val="1"/>
                <w:color w:val="auto"/>
              </w:rPr>
            </w:pPr>
          </w:p>
        </w:tc>
      </w:tr>
      <w:tr>
        <w:trPr>
          <w:trHeight w:val="219"/>
        </w:trPr>
        <w:tc>
          <w:tcPr>
            <w:tcW w:w="2620" w:type="dxa"/>
            <w:vAlign w:val="bottom"/>
            <w:gridSpan w:val="3"/>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15 Beekman </w:t>
            </w:r>
            <w:r>
              <w:rPr>
                <w:rFonts w:ascii="Arial" w:cs="Arial" w:eastAsia="Arial" w:hAnsi="Arial"/>
                <w:sz w:val="21"/>
                <w:szCs w:val="21"/>
                <w:color w:val="auto"/>
                <w:vertAlign w:val="superscript"/>
              </w:rPr>
              <w:t>(7)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2024</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July 2025</w:t>
            </w:r>
          </w:p>
        </w:tc>
        <w:tc>
          <w:tcPr>
            <w:tcW w:w="11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L+</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11,212</w:t>
            </w:r>
          </w:p>
        </w:tc>
        <w:tc>
          <w:tcPr>
            <w:tcW w:w="0" w:type="dxa"/>
            <w:vAlign w:val="bottom"/>
          </w:tcPr>
          <w:p>
            <w:pPr>
              <w:spacing w:after="0"/>
              <w:rPr>
                <w:sz w:val="1"/>
                <w:szCs w:val="1"/>
                <w:color w:val="auto"/>
              </w:rPr>
            </w:pPr>
          </w:p>
        </w:tc>
      </w:tr>
      <w:tr>
        <w:trPr>
          <w:trHeight w:val="213"/>
        </w:trPr>
        <w:tc>
          <w:tcPr>
            <w:tcW w:w="2620" w:type="dxa"/>
            <w:vAlign w:val="bottom"/>
            <w:gridSpan w:val="3"/>
          </w:tcPr>
          <w:p>
            <w:pPr>
              <w:ind w:left="20"/>
              <w:spacing w:after="0"/>
              <w:rPr>
                <w:sz w:val="20"/>
                <w:szCs w:val="20"/>
                <w:color w:val="auto"/>
              </w:rPr>
            </w:pPr>
            <w:r>
              <w:rPr>
                <w:rFonts w:ascii="Arial" w:cs="Arial" w:eastAsia="Arial" w:hAnsi="Arial"/>
                <w:sz w:val="16"/>
                <w:szCs w:val="16"/>
                <w:color w:val="auto"/>
              </w:rPr>
              <w:t>10 East 53rd Street</w:t>
            </w:r>
          </w:p>
        </w:tc>
        <w:tc>
          <w:tcPr>
            <w:tcW w:w="1100" w:type="dxa"/>
            <w:vAlign w:val="bottom"/>
          </w:tcPr>
          <w:p>
            <w:pPr>
              <w:jc w:val="right"/>
              <w:spacing w:after="0"/>
              <w:rPr>
                <w:sz w:val="20"/>
                <w:szCs w:val="20"/>
                <w:color w:val="auto"/>
              </w:rPr>
            </w:pPr>
            <w:r>
              <w:rPr>
                <w:rFonts w:ascii="Arial" w:cs="Arial" w:eastAsia="Arial" w:hAnsi="Arial"/>
                <w:sz w:val="16"/>
                <w:szCs w:val="16"/>
                <w:color w:val="auto"/>
              </w:rPr>
              <w:t>55.00 %</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0"/>
              </w:rPr>
              <w:t>February 2025</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February 2025</w:t>
            </w:r>
          </w:p>
        </w:tc>
        <w:tc>
          <w:tcPr>
            <w:tcW w:w="1160" w:type="dxa"/>
            <w:vAlign w:val="bottom"/>
          </w:tcPr>
          <w:p>
            <w:pPr>
              <w:ind w:left="700"/>
              <w:spacing w:after="0"/>
              <w:rPr>
                <w:sz w:val="20"/>
                <w:szCs w:val="20"/>
                <w:color w:val="auto"/>
              </w:rPr>
            </w:pPr>
            <w:r>
              <w:rPr>
                <w:rFonts w:ascii="Arial" w:cs="Arial" w:eastAsia="Arial" w:hAnsi="Arial"/>
                <w:sz w:val="16"/>
                <w:szCs w:val="16"/>
                <w:color w:val="auto"/>
              </w:rPr>
              <w:t>L+</w:t>
            </w:r>
          </w:p>
        </w:tc>
        <w:tc>
          <w:tcPr>
            <w:tcW w:w="540" w:type="dxa"/>
            <w:vAlign w:val="bottom"/>
          </w:tcPr>
          <w:p>
            <w:pPr>
              <w:jc w:val="right"/>
              <w:spacing w:after="0"/>
              <w:rPr>
                <w:sz w:val="20"/>
                <w:szCs w:val="20"/>
                <w:color w:val="auto"/>
              </w:rPr>
            </w:pPr>
            <w:r>
              <w:rPr>
                <w:rFonts w:ascii="Arial" w:cs="Arial" w:eastAsia="Arial" w:hAnsi="Arial"/>
                <w:sz w:val="16"/>
                <w:szCs w:val="16"/>
                <w:color w:val="auto"/>
              </w:rPr>
              <w:t>1.35 %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220,000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220,000</w:t>
            </w:r>
          </w:p>
        </w:tc>
        <w:tc>
          <w:tcPr>
            <w:tcW w:w="0" w:type="dxa"/>
            <w:vAlign w:val="bottom"/>
          </w:tcPr>
          <w:p>
            <w:pPr>
              <w:spacing w:after="0"/>
              <w:rPr>
                <w:sz w:val="1"/>
                <w:szCs w:val="1"/>
                <w:color w:val="auto"/>
              </w:rPr>
            </w:pPr>
          </w:p>
        </w:tc>
      </w:tr>
      <w:tr>
        <w:trPr>
          <w:trHeight w:val="219"/>
        </w:trPr>
        <w:tc>
          <w:tcPr>
            <w:tcW w:w="2620" w:type="dxa"/>
            <w:vAlign w:val="bottom"/>
            <w:gridSpan w:val="3"/>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One Madison Avenue </w:t>
            </w:r>
            <w:r>
              <w:rPr>
                <w:rFonts w:ascii="Arial" w:cs="Arial" w:eastAsia="Arial" w:hAnsi="Arial"/>
                <w:sz w:val="21"/>
                <w:szCs w:val="21"/>
                <w:color w:val="auto"/>
                <w:vertAlign w:val="superscript"/>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November 2025</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November 2026</w:t>
            </w:r>
          </w:p>
        </w:tc>
        <w:tc>
          <w:tcPr>
            <w:tcW w:w="11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L+</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81,971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120" w:type="dxa"/>
            <w:vAlign w:val="bottom"/>
            <w:vMerge w:val="restart"/>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Economic</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Initial Maturity</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Final Maturity</w:t>
            </w:r>
          </w:p>
        </w:tc>
        <w:tc>
          <w:tcPr>
            <w:tcW w:w="1160" w:type="dxa"/>
            <w:vAlign w:val="bottom"/>
          </w:tcPr>
          <w:p>
            <w:pPr>
              <w:jc w:val="center"/>
              <w:ind w:left="459"/>
              <w:spacing w:after="0"/>
              <w:rPr>
                <w:sz w:val="20"/>
                <w:szCs w:val="20"/>
                <w:color w:val="auto"/>
              </w:rPr>
            </w:pPr>
            <w:r>
              <w:rPr>
                <w:rFonts w:ascii="Arial" w:cs="Arial" w:eastAsia="Arial" w:hAnsi="Arial"/>
                <w:sz w:val="16"/>
                <w:szCs w:val="16"/>
                <w:b w:val="1"/>
                <w:bCs w:val="1"/>
                <w:color w:val="auto"/>
                <w:w w:val="93"/>
              </w:rPr>
              <w:t>Interest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0"/>
              </w:rPr>
              <w:t>June 30, 2021</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21"/>
                <w:szCs w:val="21"/>
                <w:b w:val="1"/>
                <w:bCs w:val="1"/>
                <w:color w:val="auto"/>
                <w:vertAlign w:val="superscript"/>
              </w:rPr>
              <w:t>(1)</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3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Date </w:t>
            </w:r>
            <w:r>
              <w:rPr>
                <w:rFonts w:ascii="Arial" w:cs="Arial" w:eastAsia="Arial" w:hAnsi="Arial"/>
                <w:sz w:val="21"/>
                <w:szCs w:val="21"/>
                <w:b w:val="1"/>
                <w:bCs w:val="1"/>
                <w:color w:val="auto"/>
                <w:w w:val="88"/>
                <w:vertAlign w:val="superscript"/>
              </w:rPr>
              <w:t>(2)</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ind w:left="439"/>
              <w:spacing w:after="0" w:line="216" w:lineRule="exact"/>
              <w:rPr>
                <w:sz w:val="20"/>
                <w:szCs w:val="20"/>
                <w:color w:val="auto"/>
              </w:rPr>
            </w:pPr>
            <w:r>
              <w:rPr>
                <w:rFonts w:ascii="Arial" w:cs="Arial" w:eastAsia="Arial" w:hAnsi="Arial"/>
                <w:sz w:val="16"/>
                <w:szCs w:val="16"/>
                <w:b w:val="1"/>
                <w:bCs w:val="1"/>
                <w:color w:val="auto"/>
                <w:w w:val="85"/>
              </w:rPr>
              <w:t xml:space="preserve">Rate </w:t>
            </w:r>
            <w:r>
              <w:rPr>
                <w:rFonts w:ascii="Arial" w:cs="Arial" w:eastAsia="Arial" w:hAnsi="Arial"/>
                <w:sz w:val="21"/>
                <w:szCs w:val="21"/>
                <w:b w:val="1"/>
                <w:bCs w:val="1"/>
                <w:color w:val="auto"/>
                <w:w w:val="85"/>
                <w:vertAlign w:val="superscript"/>
              </w:rPr>
              <w:t>(3)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7"/>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21 East 66th Street</w:t>
            </w:r>
          </w:p>
        </w:tc>
        <w:tc>
          <w:tcPr>
            <w:tcW w:w="1100" w:type="dxa"/>
            <w:vAlign w:val="bottom"/>
          </w:tcPr>
          <w:p>
            <w:pPr>
              <w:jc w:val="right"/>
              <w:spacing w:after="0"/>
              <w:rPr>
                <w:sz w:val="20"/>
                <w:szCs w:val="20"/>
                <w:color w:val="auto"/>
              </w:rPr>
            </w:pPr>
            <w:r>
              <w:rPr>
                <w:rFonts w:ascii="Arial" w:cs="Arial" w:eastAsia="Arial" w:hAnsi="Arial"/>
                <w:sz w:val="16"/>
                <w:szCs w:val="16"/>
                <w:color w:val="auto"/>
              </w:rPr>
              <w:t>32.28 %</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8"/>
              </w:rPr>
              <w:t>June 2033</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2033</w:t>
            </w:r>
          </w:p>
        </w:tc>
        <w:tc>
          <w:tcPr>
            <w:tcW w:w="1160" w:type="dxa"/>
            <w:vAlign w:val="bottom"/>
          </w:tcPr>
          <w:p>
            <w:pPr>
              <w:ind w:left="700"/>
              <w:spacing w:after="0"/>
              <w:rPr>
                <w:sz w:val="20"/>
                <w:szCs w:val="20"/>
                <w:color w:val="auto"/>
              </w:rPr>
            </w:pPr>
            <w:r>
              <w:rPr>
                <w:rFonts w:ascii="Arial" w:cs="Arial" w:eastAsia="Arial" w:hAnsi="Arial"/>
                <w:sz w:val="16"/>
                <w:szCs w:val="16"/>
                <w:color w:val="auto"/>
              </w:rPr>
              <w:t>T+</w:t>
            </w:r>
          </w:p>
        </w:tc>
        <w:tc>
          <w:tcPr>
            <w:tcW w:w="540" w:type="dxa"/>
            <w:vAlign w:val="bottom"/>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One Vanderbilt Avenue </w:t>
            </w:r>
            <w:r>
              <w:rPr>
                <w:rFonts w:ascii="Arial" w:cs="Arial" w:eastAsia="Arial" w:hAnsi="Arial"/>
                <w:sz w:val="21"/>
                <w:szCs w:val="21"/>
                <w:color w:val="auto"/>
                <w:vertAlign w:val="superscript"/>
              </w:rPr>
              <w:t>(5)</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1,210,329</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605 West 42nd Street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550,000</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55 West 46th Street</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192,524</w:t>
            </w:r>
          </w:p>
        </w:tc>
        <w:tc>
          <w:tcPr>
            <w:tcW w:w="0" w:type="dxa"/>
            <w:vAlign w:val="bottom"/>
          </w:tcPr>
          <w:p>
            <w:pPr>
              <w:spacing w:after="0"/>
              <w:rPr>
                <w:sz w:val="1"/>
                <w:szCs w:val="1"/>
                <w:color w:val="auto"/>
              </w:rPr>
            </w:pPr>
          </w:p>
        </w:tc>
      </w:tr>
      <w:tr>
        <w:trPr>
          <w:trHeight w:val="207"/>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Total floating rate debt</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2,401,254</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4,257,792</w:t>
            </w:r>
          </w:p>
        </w:tc>
        <w:tc>
          <w:tcPr>
            <w:tcW w:w="0" w:type="dxa"/>
            <w:vAlign w:val="bottom"/>
          </w:tcPr>
          <w:p>
            <w:pPr>
              <w:spacing w:after="0"/>
              <w:rPr>
                <w:sz w:val="1"/>
                <w:szCs w:val="1"/>
                <w:color w:val="auto"/>
              </w:rPr>
            </w:pPr>
          </w:p>
        </w:tc>
      </w:tr>
      <w:tr>
        <w:trPr>
          <w:trHeight w:val="219"/>
        </w:trPr>
        <w:tc>
          <w:tcPr>
            <w:tcW w:w="38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w w:val="98"/>
              </w:rPr>
              <w:t>Total joint venture mortgages and other loans payable</w:t>
            </w:r>
          </w:p>
        </w:tc>
        <w:tc>
          <w:tcPr>
            <w:tcW w:w="1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10,724,422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9,862,650</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financing costs, net</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(113,446)</w:t>
            </w: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w w:val="91"/>
              </w:rPr>
              <w:t>Total joint venture mortgages and other loans payable, net</w:t>
            </w:r>
          </w:p>
        </w:tc>
        <w:tc>
          <w:tcPr>
            <w:tcW w:w="14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10,581,104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9,749,204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420" w:hanging="412"/>
        <w:spacing w:after="0" w:line="250" w:lineRule="auto"/>
        <w:tabs>
          <w:tab w:leader="none" w:pos="412" w:val="left"/>
        </w:tabs>
        <w:numPr>
          <w:ilvl w:val="0"/>
          <w:numId w:val="19"/>
        </w:numPr>
        <w:rPr>
          <w:rFonts w:ascii="Arial" w:cs="Arial" w:eastAsia="Arial" w:hAnsi="Arial"/>
          <w:sz w:val="14"/>
          <w:szCs w:val="14"/>
          <w:color w:val="auto"/>
        </w:rPr>
      </w:pPr>
      <w:r>
        <w:rPr>
          <w:rFonts w:ascii="Arial" w:cs="Arial" w:eastAsia="Arial" w:hAnsi="Arial"/>
          <w:sz w:val="14"/>
          <w:szCs w:val="14"/>
          <w:color w:val="auto"/>
        </w:rPr>
        <w:t>Economic interest represents the Company's interests in the joint venture as of June 30, 2021. Changes in ownership or economic interests, if any, within the current year are disclosed in the notes to the investment in unconsolidated joint ventures table above.</w:t>
      </w:r>
    </w:p>
    <w:p>
      <w:pPr>
        <w:ind w:left="400" w:hanging="392"/>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exercise of all available options. The ability to exercise extension options may be subject to certain tests based on the operating performance of the property.</w:t>
      </w:r>
    </w:p>
    <w:p>
      <w:pPr>
        <w:spacing w:after="0" w:line="1" w:lineRule="exact"/>
        <w:rPr>
          <w:rFonts w:ascii="Arial" w:cs="Arial" w:eastAsia="Arial" w:hAnsi="Arial"/>
          <w:sz w:val="14"/>
          <w:szCs w:val="14"/>
          <w:color w:val="auto"/>
        </w:rPr>
      </w:pPr>
    </w:p>
    <w:p>
      <w:pPr>
        <w:ind w:left="420" w:hanging="412"/>
        <w:spacing w:after="0" w:line="241" w:lineRule="auto"/>
        <w:tabs>
          <w:tab w:leader="none" w:pos="412"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Interest rates as of June 30, 2021, taking into account interest rate hedges in effect during the period. Floating rate debt is presented with the stated spread over the 30-day LIBOR ("L") or 1-year Treasury ("T").</w:t>
      </w:r>
    </w:p>
    <w:p>
      <w:pPr>
        <w:ind w:left="400" w:hanging="392"/>
        <w:spacing w:after="0"/>
        <w:tabs>
          <w:tab w:leader="none" w:pos="4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 April 2021, we entered into a contract to sell our interest in the property. This transaction is expected to close in the third quarter of 2021 subject to customary closing conditions.</w:t>
      </w:r>
    </w:p>
    <w:p>
      <w:pPr>
        <w:spacing w:after="0" w:line="12" w:lineRule="exact"/>
        <w:rPr>
          <w:rFonts w:ascii="Arial" w:cs="Arial" w:eastAsia="Arial" w:hAnsi="Arial"/>
          <w:sz w:val="13"/>
          <w:szCs w:val="13"/>
          <w:color w:val="auto"/>
        </w:rPr>
      </w:pPr>
    </w:p>
    <w:p>
      <w:pPr>
        <w:ind w:left="400" w:hanging="392"/>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June 2021, the Company refinanced the floating rate construction facility with a fixed rate mortgage loan.</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Comprised of three mortgages totaling $132.4 million that mature in April 2028 and two mortgages totaling $63.5 million that mature in July 2029.</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loan is a $125.0 million construction facility. Advances under the loan are subject to costs incurred.</w:t>
      </w:r>
    </w:p>
    <w:p>
      <w:pPr>
        <w:spacing w:after="0" w:line="1" w:lineRule="exact"/>
        <w:rPr>
          <w:rFonts w:ascii="Arial" w:cs="Arial" w:eastAsia="Arial" w:hAnsi="Arial"/>
          <w:sz w:val="14"/>
          <w:szCs w:val="14"/>
          <w:color w:val="auto"/>
        </w:rPr>
      </w:pPr>
    </w:p>
    <w:p>
      <w:pPr>
        <w:ind w:left="420" w:hanging="412"/>
        <w:spacing w:after="0" w:line="293" w:lineRule="auto"/>
        <w:tabs>
          <w:tab w:leader="none" w:pos="412"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loan is a $1.25 billion construction facility with an initial term of five years with one, one year extension option. Advances under the loan are subject to costs incurred. In conjunction with the loan, we provided partial guarantees for interest and principal payments, the amounts of which are based on certain construction milestones and operating metrics.</w:t>
      </w:r>
    </w:p>
    <w:p>
      <w:pPr>
        <w:spacing w:after="0" w:line="1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entitled to receive fees for providing management, leasing, construction supervision and asset management services to certain of our joint ventures. We earned $4.2 million and $6.8 million from these services, net of our ownership share of the joint ventures, for the three and six months ended June 30, 2021, respectively. We earned $1.7 million and $3.9 million from these services, net of our ownership share of the joint ventures, for the three and six months ended June 30, 2020, respectively. In addition, we have the ability to earn incentive fees based on the ultimate financial performance of certain of the joint venture properties.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combined balance sheets for the unconsolidated joint ventures, at June 30, 2021 and December 31, 2020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r>
      <w:tr>
        <w:trPr>
          <w:trHeight w:val="199"/>
        </w:trPr>
        <w:tc>
          <w:tcPr>
            <w:tcW w:w="7440" w:type="dxa"/>
            <w:vAlign w:val="bottom"/>
            <w:tcBorders>
              <w:top w:val="single" w:sz="8" w:color="CCEEFF"/>
            </w:tcBorders>
            <w:shd w:val="clear" w:color="auto" w:fill="CCEEFF"/>
          </w:tcPr>
          <w:p>
            <w:pPr>
              <w:ind w:left="20"/>
              <w:spacing w:after="0" w:line="199" w:lineRule="exact"/>
              <w:rPr>
                <w:sz w:val="20"/>
                <w:szCs w:val="20"/>
                <w:color w:val="auto"/>
              </w:rPr>
            </w:pPr>
            <w:r>
              <w:rPr>
                <w:rFonts w:ascii="Arial" w:cs="Arial" w:eastAsia="Arial" w:hAnsi="Arial"/>
                <w:sz w:val="16"/>
                <w:szCs w:val="16"/>
                <w:b w:val="1"/>
                <w:bCs w:val="1"/>
                <w:i w:val="1"/>
                <w:iCs w:val="1"/>
                <w:color w:val="auto"/>
              </w:rPr>
              <w:t xml:space="preserve">Assets </w:t>
            </w:r>
            <w:r>
              <w:rPr>
                <w:rFonts w:ascii="Arial" w:cs="Arial" w:eastAsia="Arial" w:hAnsi="Arial"/>
                <w:sz w:val="21"/>
                <w:szCs w:val="21"/>
                <w:b w:val="1"/>
                <w:bCs w:val="1"/>
                <w:i w:val="1"/>
                <w:iCs w:val="1"/>
                <w:color w:val="auto"/>
                <w:vertAlign w:val="superscript"/>
              </w:rPr>
              <w:t>(1)</w:t>
            </w:r>
          </w:p>
        </w:tc>
        <w:tc>
          <w:tcPr>
            <w:tcW w:w="2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Commercial real estate property, net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14,588,601</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16,143,880</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restricted cash</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1,279,021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357,076</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Tenant and other receivables, related party receivables, and deferred rents receivable</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425,129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403,883</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1,869,772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2,001,612</w:t>
            </w:r>
          </w:p>
        </w:tc>
      </w:tr>
      <w:tr>
        <w:trPr>
          <w:trHeight w:val="212"/>
        </w:trPr>
        <w:tc>
          <w:tcPr>
            <w:tcW w:w="744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18,162,523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18,906,451</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b w:val="1"/>
                <w:bCs w:val="1"/>
                <w:i w:val="1"/>
                <w:iCs w:val="1"/>
                <w:color w:val="auto"/>
              </w:rPr>
              <w:t xml:space="preserve">Liabilities and equity </w:t>
            </w:r>
            <w:r>
              <w:rPr>
                <w:rFonts w:ascii="Arial" w:cs="Arial" w:eastAsia="Arial" w:hAnsi="Arial"/>
                <w:sz w:val="21"/>
                <w:szCs w:val="21"/>
                <w:b w:val="1"/>
                <w:bCs w:val="1"/>
                <w:i w:val="1"/>
                <w:iCs w:val="1"/>
                <w:color w:val="auto"/>
                <w:vertAlign w:val="superscript"/>
              </w:rPr>
              <w:t>(1)</w:t>
            </w:r>
          </w:p>
        </w:tc>
        <w:tc>
          <w:tcPr>
            <w:tcW w:w="2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Mortgages and other loans payable, net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10,581,104</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9,749,204</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1,250,116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1,341,571</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983,985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1,002,563</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464,107</w:t>
            </w: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4,997,256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6,349,006</w:t>
            </w:r>
          </w:p>
        </w:tc>
      </w:tr>
      <w:tr>
        <w:trPr>
          <w:trHeight w:val="237"/>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18,162,523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18,906,451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40" w:type="dxa"/>
            <w:vAlign w:val="bottom"/>
          </w:tcPr>
          <w:p>
            <w:pPr>
              <w:ind w:left="20"/>
              <w:spacing w:after="0"/>
              <w:rPr>
                <w:sz w:val="20"/>
                <w:szCs w:val="20"/>
                <w:color w:val="auto"/>
              </w:rPr>
            </w:pPr>
            <w:r>
              <w:rPr>
                <w:rFonts w:ascii="Arial" w:cs="Arial" w:eastAsia="Arial" w:hAnsi="Arial"/>
                <w:sz w:val="16"/>
                <w:szCs w:val="16"/>
                <w:color w:val="auto"/>
              </w:rPr>
              <w:t>Company's investments in unconsolidated joint ventures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3,209,151</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3,823,322</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hanging="412"/>
        <w:spacing w:after="0" w:line="312" w:lineRule="auto"/>
        <w:tabs>
          <w:tab w:leader="none" w:pos="412" w:val="left"/>
        </w:tabs>
        <w:numPr>
          <w:ilvl w:val="0"/>
          <w:numId w:val="20"/>
        </w:numPr>
        <w:rPr>
          <w:rFonts w:ascii="Arial" w:cs="Arial" w:eastAsia="Arial" w:hAnsi="Arial"/>
          <w:sz w:val="13"/>
          <w:szCs w:val="13"/>
          <w:color w:val="auto"/>
        </w:rPr>
      </w:pPr>
      <w:r>
        <w:rPr>
          <w:rFonts w:ascii="Arial" w:cs="Arial" w:eastAsia="Arial" w:hAnsi="Arial"/>
          <w:sz w:val="13"/>
          <w:szCs w:val="13"/>
          <w:color w:val="auto"/>
        </w:rPr>
        <w:t>At June 30, 2021, $186.5 million of net unamortized basis differences between the amount at which our investments are carried and our share of equity in net assets of the underlying property will be amortized through equity in net income (loss) from unconsolidated joint ventures over the remaining life of the underlying items having given rise to the differences.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combined statements of operations for the unconsolidated joint ventures, from acquisition date through the three and six months ended June 30, 2021 and 2020, are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6"/>
              </w:rPr>
              <w:t>Six Months Ended June 30,</w:t>
            </w:r>
          </w:p>
        </w:tc>
      </w:tr>
      <w:tr>
        <w:trPr>
          <w:trHeight w:val="210"/>
        </w:trPr>
        <w:tc>
          <w:tcPr>
            <w:tcW w:w="57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212"/>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289,188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590,729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554,038</w:t>
            </w:r>
          </w:p>
        </w:tc>
      </w:tr>
      <w:tr>
        <w:trPr>
          <w:trHeight w:val="207"/>
        </w:trPr>
        <w:tc>
          <w:tcPr>
            <w:tcW w:w="57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42,410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35,338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88,643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86,928</w:t>
            </w: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108,607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105,107</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Operating lease rent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5,643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11,287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12,562</w:t>
            </w: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 of interest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165,962</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7,204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13,588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9,622</w:t>
            </w: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116,956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231,835</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197,438</w:t>
            </w:r>
          </w:p>
        </w:tc>
      </w:tr>
      <w:tr>
        <w:trPr>
          <w:trHeight w:val="207"/>
        </w:trPr>
        <w:tc>
          <w:tcPr>
            <w:tcW w:w="5780" w:type="dxa"/>
            <w:vAlign w:val="bottom"/>
          </w:tcPr>
          <w:p>
            <w:pPr>
              <w:ind w:left="140"/>
              <w:spacing w:after="0"/>
              <w:rPr>
                <w:sz w:val="20"/>
                <w:szCs w:val="20"/>
                <w:color w:val="auto"/>
              </w:rPr>
            </w:pPr>
            <w:r>
              <w:rPr>
                <w:rFonts w:ascii="Arial" w:cs="Arial" w:eastAsia="Arial" w:hAnsi="Arial"/>
                <w:sz w:val="16"/>
                <w:szCs w:val="16"/>
                <w:color w:val="auto"/>
              </w:rPr>
              <w:t>Total expenses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305,357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276,574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611,838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577,619</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extinguishment of debt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780" w:type="dxa"/>
            <w:vAlign w:val="bottom"/>
          </w:tcPr>
          <w:p>
            <w:pPr>
              <w:ind w:left="20"/>
              <w:spacing w:after="0"/>
              <w:rPr>
                <w:sz w:val="20"/>
                <w:szCs w:val="20"/>
                <w:color w:val="auto"/>
              </w:rPr>
            </w:pPr>
            <w:r>
              <w:rPr>
                <w:rFonts w:ascii="Arial" w:cs="Arial" w:eastAsia="Arial" w:hAnsi="Arial"/>
                <w:sz w:val="16"/>
                <w:szCs w:val="16"/>
                <w:color w:val="auto"/>
              </w:rPr>
              <w:t>Net loss before gain on sale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(17,495)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(5,056)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(22,435)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(23,581)</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Company's equity in net loss from unconsolidated joint ventures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Costs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costs at June 30, 2021 and December 31, 2020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18"/>
                <w:szCs w:val="18"/>
                <w:color w:val="auto"/>
              </w:rPr>
            </w:pPr>
          </w:p>
        </w:tc>
        <w:tc>
          <w:tcPr>
            <w:tcW w:w="1760" w:type="dxa"/>
            <w:vAlign w:val="bottom"/>
          </w:tcPr>
          <w:p>
            <w:pPr>
              <w:ind w:left="12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leasing costs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tcBorders>
            <w:shd w:val="clear" w:color="auto" w:fill="CCEEFF"/>
          </w:tcPr>
          <w:p>
            <w:pPr>
              <w:jc w:val="center"/>
              <w:ind w:left="939"/>
              <w:spacing w:after="0"/>
              <w:rPr>
                <w:sz w:val="20"/>
                <w:szCs w:val="20"/>
                <w:color w:val="auto"/>
              </w:rPr>
            </w:pPr>
            <w:r>
              <w:rPr>
                <w:rFonts w:ascii="Arial" w:cs="Arial" w:eastAsia="Arial" w:hAnsi="Arial"/>
                <w:sz w:val="16"/>
                <w:szCs w:val="16"/>
                <w:b w:val="1"/>
                <w:bCs w:val="1"/>
                <w:color w:val="auto"/>
                <w:w w:val="89"/>
              </w:rPr>
              <w:t>442,771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w w:val="93"/>
              </w:rPr>
              <w:t>447,002</w:t>
            </w:r>
          </w:p>
        </w:tc>
      </w:tr>
      <w:tr>
        <w:trPr>
          <w:trHeight w:val="213"/>
        </w:trPr>
        <w:tc>
          <w:tcPr>
            <w:tcW w:w="7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accumulated amortization</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b w:val="1"/>
                <w:bCs w:val="1"/>
                <w:color w:val="auto"/>
                <w:w w:val="93"/>
              </w:rPr>
              <w:t>(280,809)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999"/>
              <w:spacing w:after="0"/>
              <w:rPr>
                <w:sz w:val="20"/>
                <w:szCs w:val="20"/>
                <w:color w:val="auto"/>
              </w:rPr>
            </w:pPr>
            <w:r>
              <w:rPr>
                <w:rFonts w:ascii="Arial" w:cs="Arial" w:eastAsia="Arial" w:hAnsi="Arial"/>
                <w:sz w:val="16"/>
                <w:szCs w:val="16"/>
                <w:color w:val="auto"/>
                <w:w w:val="93"/>
              </w:rPr>
              <w:t>(269,834)</w:t>
            </w:r>
          </w:p>
        </w:tc>
      </w:tr>
      <w:tr>
        <w:trPr>
          <w:trHeight w:val="23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costs,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center"/>
              <w:ind w:left="939"/>
              <w:spacing w:after="0"/>
              <w:rPr>
                <w:sz w:val="20"/>
                <w:szCs w:val="20"/>
                <w:color w:val="auto"/>
              </w:rPr>
            </w:pPr>
            <w:r>
              <w:rPr>
                <w:rFonts w:ascii="Arial" w:cs="Arial" w:eastAsia="Arial" w:hAnsi="Arial"/>
                <w:sz w:val="16"/>
                <w:szCs w:val="16"/>
                <w:b w:val="1"/>
                <w:bCs w:val="1"/>
                <w:color w:val="auto"/>
                <w:w w:val="89"/>
              </w:rPr>
              <w:t>161,962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w w:val="93"/>
              </w:rPr>
              <w:t>177,168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Mortgages and Other Loans Payable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mortgages and other loans payable collateralized by the respective properties and assignment of leases or debt investments at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respectively, were as follows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1520" w:type="dxa"/>
            <w:vAlign w:val="bottom"/>
          </w:tcPr>
          <w:p>
            <w:pPr>
              <w:jc w:val="right"/>
              <w:ind w:right="139"/>
              <w:spacing w:after="0"/>
              <w:rPr>
                <w:sz w:val="20"/>
                <w:szCs w:val="20"/>
                <w:color w:val="auto"/>
              </w:rPr>
            </w:pPr>
            <w:r>
              <w:rPr>
                <w:rFonts w:ascii="Arial" w:cs="Arial" w:eastAsia="Arial" w:hAnsi="Arial"/>
                <w:sz w:val="16"/>
                <w:szCs w:val="16"/>
                <w:b w:val="1"/>
                <w:bCs w:val="1"/>
                <w:color w:val="auto"/>
              </w:rPr>
              <w:t>Initial Maturity</w:t>
            </w: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Final Maturity Date</w:t>
            </w:r>
          </w:p>
        </w:tc>
        <w:tc>
          <w:tcPr>
            <w:tcW w:w="11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Interest</w:t>
            </w:r>
          </w:p>
        </w:tc>
        <w:tc>
          <w:tcPr>
            <w:tcW w:w="160" w:type="dxa"/>
            <w:vAlign w:val="bottom"/>
          </w:tcPr>
          <w:p>
            <w:pPr>
              <w:spacing w:after="0"/>
              <w:rPr>
                <w:sz w:val="19"/>
                <w:szCs w:val="19"/>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June 30, 2021</w:t>
            </w: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149"/>
        </w:trPr>
        <w:tc>
          <w:tcPr>
            <w:tcW w:w="3980" w:type="dxa"/>
            <w:vAlign w:val="bottom"/>
            <w:gridSpan w:val="3"/>
            <w:vMerge w:val="continue"/>
          </w:tcPr>
          <w:p>
            <w:pPr>
              <w:spacing w:after="0"/>
              <w:rPr>
                <w:sz w:val="12"/>
                <w:szCs w:val="12"/>
                <w:color w:val="auto"/>
              </w:rPr>
            </w:pPr>
          </w:p>
        </w:tc>
        <w:tc>
          <w:tcPr>
            <w:tcW w:w="1520" w:type="dxa"/>
            <w:vAlign w:val="bottom"/>
          </w:tcPr>
          <w:p>
            <w:pPr>
              <w:jc w:val="right"/>
              <w:ind w:right="519"/>
              <w:spacing w:after="0" w:line="148" w:lineRule="exact"/>
              <w:rPr>
                <w:sz w:val="20"/>
                <w:szCs w:val="20"/>
                <w:color w:val="auto"/>
              </w:rPr>
            </w:pPr>
            <w:r>
              <w:rPr>
                <w:rFonts w:ascii="Arial" w:cs="Arial" w:eastAsia="Arial" w:hAnsi="Arial"/>
                <w:sz w:val="16"/>
                <w:szCs w:val="16"/>
                <w:b w:val="1"/>
                <w:bCs w:val="1"/>
                <w:color w:val="auto"/>
              </w:rPr>
              <w:t>Date</w:t>
            </w:r>
          </w:p>
        </w:tc>
        <w:tc>
          <w:tcPr>
            <w:tcW w:w="1500" w:type="dxa"/>
            <w:vAlign w:val="bottom"/>
          </w:tcPr>
          <w:p>
            <w:pPr>
              <w:jc w:val="right"/>
              <w:ind w:right="622"/>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1180" w:type="dxa"/>
            <w:vAlign w:val="bottom"/>
            <w:gridSpan w:val="3"/>
          </w:tcPr>
          <w:p>
            <w:pPr>
              <w:ind w:left="300"/>
              <w:spacing w:after="0" w:line="149" w:lineRule="exact"/>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17"/>
                <w:szCs w:val="17"/>
                <w:b w:val="1"/>
                <w:bCs w:val="1"/>
                <w:color w:val="auto"/>
                <w:vertAlign w:val="superscript"/>
              </w:rPr>
              <w:t>(2)</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Fixed Rate Debt:</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100</w:t>
            </w: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Church Street</w:t>
            </w:r>
          </w:p>
        </w:tc>
        <w:tc>
          <w:tcPr>
            <w:tcW w:w="1520" w:type="dxa"/>
            <w:vAlign w:val="bottom"/>
          </w:tcPr>
          <w:p>
            <w:pPr>
              <w:jc w:val="right"/>
              <w:spacing w:after="0"/>
              <w:rPr>
                <w:sz w:val="20"/>
                <w:szCs w:val="20"/>
                <w:color w:val="auto"/>
              </w:rPr>
            </w:pPr>
            <w:r>
              <w:rPr>
                <w:rFonts w:ascii="Arial" w:cs="Arial" w:eastAsia="Arial" w:hAnsi="Arial"/>
                <w:sz w:val="16"/>
                <w:szCs w:val="16"/>
                <w:color w:val="auto"/>
              </w:rPr>
              <w:t>July 2022</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2022</w:t>
            </w:r>
          </w:p>
        </w:tc>
        <w:tc>
          <w:tcPr>
            <w:tcW w:w="4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202,558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204,875</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420</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Lexington Avenue</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2024</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October 2040</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291,359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294,035</w:t>
            </w:r>
          </w:p>
        </w:tc>
        <w:tc>
          <w:tcPr>
            <w:tcW w:w="0" w:type="dxa"/>
            <w:vAlign w:val="bottom"/>
          </w:tcPr>
          <w:p>
            <w:pPr>
              <w:spacing w:after="0"/>
              <w:rPr>
                <w:sz w:val="1"/>
                <w:szCs w:val="1"/>
                <w:color w:val="auto"/>
              </w:rPr>
            </w:pPr>
          </w:p>
        </w:tc>
      </w:tr>
      <w:tr>
        <w:trPr>
          <w:trHeight w:val="213"/>
        </w:trPr>
        <w:tc>
          <w:tcPr>
            <w:tcW w:w="3980" w:type="dxa"/>
            <w:vAlign w:val="bottom"/>
            <w:gridSpan w:val="3"/>
          </w:tcPr>
          <w:p>
            <w:pPr>
              <w:ind w:left="20"/>
              <w:spacing w:after="0"/>
              <w:rPr>
                <w:sz w:val="20"/>
                <w:szCs w:val="20"/>
                <w:color w:val="auto"/>
              </w:rPr>
            </w:pPr>
            <w:r>
              <w:rPr>
                <w:rFonts w:ascii="Arial" w:cs="Arial" w:eastAsia="Arial" w:hAnsi="Arial"/>
                <w:sz w:val="16"/>
                <w:szCs w:val="16"/>
                <w:color w:val="auto"/>
              </w:rPr>
              <w:t>Landmark Square</w:t>
            </w:r>
          </w:p>
        </w:tc>
        <w:tc>
          <w:tcPr>
            <w:tcW w:w="1520" w:type="dxa"/>
            <w:vAlign w:val="bottom"/>
          </w:tcPr>
          <w:p>
            <w:pPr>
              <w:jc w:val="right"/>
              <w:spacing w:after="0"/>
              <w:rPr>
                <w:sz w:val="20"/>
                <w:szCs w:val="20"/>
                <w:color w:val="auto"/>
              </w:rPr>
            </w:pPr>
            <w:r>
              <w:rPr>
                <w:rFonts w:ascii="Arial" w:cs="Arial" w:eastAsia="Arial" w:hAnsi="Arial"/>
                <w:sz w:val="16"/>
                <w:szCs w:val="16"/>
                <w:color w:val="auto"/>
              </w:rPr>
              <w:t>January 2027</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2027</w:t>
            </w:r>
          </w:p>
        </w:tc>
        <w:tc>
          <w:tcPr>
            <w:tcW w:w="4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485</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Lexington Avenue</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2027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2027</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gridSpan w:val="3"/>
          </w:tcPr>
          <w:p>
            <w:pPr>
              <w:ind w:left="20"/>
              <w:spacing w:after="0" w:line="216" w:lineRule="exact"/>
              <w:rPr>
                <w:sz w:val="20"/>
                <w:szCs w:val="20"/>
                <w:color w:val="auto"/>
              </w:rPr>
            </w:pPr>
            <w:r>
              <w:rPr>
                <w:rFonts w:ascii="Arial" w:cs="Arial" w:eastAsia="Arial" w:hAnsi="Arial"/>
                <w:sz w:val="16"/>
                <w:szCs w:val="16"/>
                <w:color w:val="auto"/>
              </w:rPr>
              <w:t xml:space="preserve">1080 Amsterdam </w:t>
            </w:r>
            <w:r>
              <w:rPr>
                <w:rFonts w:ascii="Arial" w:cs="Arial" w:eastAsia="Arial" w:hAnsi="Arial"/>
                <w:sz w:val="21"/>
                <w:szCs w:val="21"/>
                <w:color w:val="auto"/>
                <w:vertAlign w:val="superscript"/>
              </w:rPr>
              <w:t>(3)</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February 2027</w:t>
            </w:r>
          </w:p>
        </w:tc>
        <w:tc>
          <w:tcPr>
            <w:tcW w:w="16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February 2027</w:t>
            </w:r>
          </w:p>
        </w:tc>
        <w:tc>
          <w:tcPr>
            <w:tcW w:w="4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34,773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34,773</w:t>
            </w:r>
          </w:p>
        </w:tc>
        <w:tc>
          <w:tcPr>
            <w:tcW w:w="0" w:type="dxa"/>
            <w:vAlign w:val="bottom"/>
          </w:tcPr>
          <w:p>
            <w:pPr>
              <w:spacing w:after="0"/>
              <w:rPr>
                <w:sz w:val="1"/>
                <w:szCs w:val="1"/>
                <w:color w:val="auto"/>
              </w:rPr>
            </w:pPr>
          </w:p>
        </w:tc>
      </w:tr>
      <w:tr>
        <w:trPr>
          <w:trHeight w:val="209"/>
        </w:trPr>
        <w:tc>
          <w:tcPr>
            <w:tcW w:w="39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Total fixed rate debt</w:t>
            </w:r>
          </w:p>
        </w:tc>
        <w:tc>
          <w:tcPr>
            <w:tcW w:w="1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1,078,690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1,083,683</w:t>
            </w:r>
          </w:p>
        </w:tc>
        <w:tc>
          <w:tcPr>
            <w:tcW w:w="0" w:type="dxa"/>
            <w:vAlign w:val="bottom"/>
          </w:tcPr>
          <w:p>
            <w:pPr>
              <w:spacing w:after="0"/>
              <w:rPr>
                <w:sz w:val="1"/>
                <w:szCs w:val="1"/>
                <w:color w:val="auto"/>
              </w:rPr>
            </w:pPr>
          </w:p>
        </w:tc>
      </w:tr>
      <w:tr>
        <w:trPr>
          <w:trHeight w:val="193"/>
        </w:trPr>
        <w:tc>
          <w:tcPr>
            <w:tcW w:w="3980" w:type="dxa"/>
            <w:vAlign w:val="bottom"/>
            <w:gridSpan w:val="3"/>
          </w:tcPr>
          <w:p>
            <w:pPr>
              <w:ind w:left="20"/>
              <w:spacing w:after="0"/>
              <w:rPr>
                <w:sz w:val="20"/>
                <w:szCs w:val="20"/>
                <w:color w:val="auto"/>
              </w:rPr>
            </w:pPr>
            <w:r>
              <w:rPr>
                <w:rFonts w:ascii="Arial" w:cs="Arial" w:eastAsia="Arial" w:hAnsi="Arial"/>
                <w:sz w:val="16"/>
                <w:szCs w:val="16"/>
                <w:b w:val="1"/>
                <w:bCs w:val="1"/>
                <w:color w:val="auto"/>
              </w:rPr>
              <w:t>Floating Rate Debt:</w:t>
            </w: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80" w:type="dxa"/>
            <w:vAlign w:val="bottom"/>
            <w:gridSpan w:val="3"/>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185 Broadway </w:t>
            </w:r>
            <w:r>
              <w:rPr>
                <w:rFonts w:ascii="Arial" w:cs="Arial" w:eastAsia="Arial" w:hAnsi="Arial"/>
                <w:sz w:val="21"/>
                <w:szCs w:val="21"/>
                <w:color w:val="auto"/>
                <w:vertAlign w:val="superscript"/>
              </w:rPr>
              <w:t>(4)</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2021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2023</w:t>
            </w: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178,251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158,478</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609</w:t>
            </w: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Fifth Avenue</w:t>
            </w:r>
          </w:p>
        </w:tc>
        <w:tc>
          <w:tcPr>
            <w:tcW w:w="1520" w:type="dxa"/>
            <w:vAlign w:val="bottom"/>
          </w:tcPr>
          <w:p>
            <w:pPr>
              <w:jc w:val="right"/>
              <w:spacing w:after="0"/>
              <w:rPr>
                <w:sz w:val="20"/>
                <w:szCs w:val="20"/>
                <w:color w:val="auto"/>
              </w:rPr>
            </w:pPr>
            <w:r>
              <w:rPr>
                <w:rFonts w:ascii="Arial" w:cs="Arial" w:eastAsia="Arial" w:hAnsi="Arial"/>
                <w:sz w:val="16"/>
                <w:szCs w:val="16"/>
                <w:color w:val="auto"/>
              </w:rPr>
              <w:t>March 2022</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460" w:type="dxa"/>
            <w:vAlign w:val="bottom"/>
          </w:tcPr>
          <w:p>
            <w:pPr>
              <w:ind w:left="200"/>
              <w:spacing w:after="0"/>
              <w:rPr>
                <w:sz w:val="20"/>
                <w:szCs w:val="20"/>
                <w:color w:val="auto"/>
              </w:rPr>
            </w:pPr>
            <w:r>
              <w:rPr>
                <w:rFonts w:ascii="Arial" w:cs="Arial" w:eastAsia="Arial" w:hAnsi="Arial"/>
                <w:sz w:val="16"/>
                <w:szCs w:val="16"/>
                <w:color w:val="auto"/>
              </w:rPr>
              <w:t>L+</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57,651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57,651</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220</w:t>
            </w:r>
          </w:p>
        </w:tc>
        <w:tc>
          <w:tcPr>
            <w:tcW w:w="37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East 42nd Street </w:t>
            </w:r>
            <w:r>
              <w:rPr>
                <w:rFonts w:ascii="Arial" w:cs="Arial" w:eastAsia="Arial" w:hAnsi="Arial"/>
                <w:sz w:val="21"/>
                <w:szCs w:val="21"/>
                <w:color w:val="auto"/>
                <w:vertAlign w:val="superscript"/>
              </w:rPr>
              <w:t>(5)</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2023</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2025</w:t>
            </w: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510,000</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719</w:t>
            </w: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Seventh Avenue</w:t>
            </w:r>
          </w:p>
        </w:tc>
        <w:tc>
          <w:tcPr>
            <w:tcW w:w="1520" w:type="dxa"/>
            <w:vAlign w:val="bottom"/>
          </w:tcPr>
          <w:p>
            <w:pPr>
              <w:jc w:val="right"/>
              <w:spacing w:after="0"/>
              <w:rPr>
                <w:sz w:val="20"/>
                <w:szCs w:val="20"/>
                <w:color w:val="auto"/>
              </w:rPr>
            </w:pPr>
            <w:r>
              <w:rPr>
                <w:rFonts w:ascii="Arial" w:cs="Arial" w:eastAsia="Arial" w:hAnsi="Arial"/>
                <w:sz w:val="16"/>
                <w:szCs w:val="16"/>
                <w:color w:val="auto"/>
              </w:rPr>
              <w:t>September 2023</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2023</w:t>
            </w:r>
          </w:p>
        </w:tc>
        <w:tc>
          <w:tcPr>
            <w:tcW w:w="460" w:type="dxa"/>
            <w:vAlign w:val="bottom"/>
          </w:tcPr>
          <w:p>
            <w:pPr>
              <w:ind w:left="200"/>
              <w:spacing w:after="0"/>
              <w:rPr>
                <w:sz w:val="20"/>
                <w:szCs w:val="20"/>
                <w:color w:val="auto"/>
              </w:rPr>
            </w:pPr>
            <w:r>
              <w:rPr>
                <w:rFonts w:ascii="Arial" w:cs="Arial" w:eastAsia="Arial" w:hAnsi="Arial"/>
                <w:sz w:val="16"/>
                <w:szCs w:val="16"/>
                <w:color w:val="auto"/>
              </w:rPr>
              <w:t>L+</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133</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Greene Street</w:t>
            </w:r>
          </w:p>
        </w:tc>
        <w:tc>
          <w:tcPr>
            <w:tcW w:w="15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15,523</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106</w:t>
            </w: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Spring Street</w:t>
            </w: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38,025</w:t>
            </w:r>
          </w:p>
        </w:tc>
        <w:tc>
          <w:tcPr>
            <w:tcW w:w="0" w:type="dxa"/>
            <w:vAlign w:val="bottom"/>
          </w:tcPr>
          <w:p>
            <w:pPr>
              <w:spacing w:after="0"/>
              <w:rPr>
                <w:sz w:val="1"/>
                <w:szCs w:val="1"/>
                <w:color w:val="auto"/>
              </w:rPr>
            </w:pPr>
          </w:p>
        </w:tc>
      </w:tr>
      <w:tr>
        <w:trPr>
          <w:trHeight w:val="219"/>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FHLB Facility</w:t>
            </w:r>
          </w:p>
        </w:tc>
        <w:tc>
          <w:tcPr>
            <w:tcW w:w="15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3"/>
        </w:trPr>
        <w:tc>
          <w:tcPr>
            <w:tcW w:w="3980" w:type="dxa"/>
            <w:vAlign w:val="bottom"/>
            <w:gridSpan w:val="3"/>
          </w:tcPr>
          <w:p>
            <w:pPr>
              <w:ind w:left="20"/>
              <w:spacing w:after="0"/>
              <w:rPr>
                <w:sz w:val="20"/>
                <w:szCs w:val="20"/>
                <w:color w:val="auto"/>
              </w:rPr>
            </w:pPr>
            <w:r>
              <w:rPr>
                <w:rFonts w:ascii="Arial" w:cs="Arial" w:eastAsia="Arial" w:hAnsi="Arial"/>
                <w:sz w:val="16"/>
                <w:szCs w:val="16"/>
                <w:color w:val="auto"/>
              </w:rPr>
              <w:t>FHLB Facility</w:t>
            </w: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9"/>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FHLB Facility</w:t>
            </w:r>
          </w:p>
        </w:tc>
        <w:tc>
          <w:tcPr>
            <w:tcW w:w="15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Arial" w:cs="Arial" w:eastAsia="Arial" w:hAnsi="Arial"/>
                <w:sz w:val="16"/>
                <w:szCs w:val="16"/>
                <w:color w:val="auto"/>
                <w:w w:val="89"/>
              </w:rPr>
              <w:t>712</w:t>
            </w: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Madison Avenue</w:t>
            </w: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28,000</w:t>
            </w:r>
          </w:p>
        </w:tc>
        <w:tc>
          <w:tcPr>
            <w:tcW w:w="0" w:type="dxa"/>
            <w:vAlign w:val="bottom"/>
          </w:tcPr>
          <w:p>
            <w:pPr>
              <w:spacing w:after="0"/>
              <w:rPr>
                <w:sz w:val="1"/>
                <w:szCs w:val="1"/>
                <w:color w:val="auto"/>
              </w:rPr>
            </w:pPr>
          </w:p>
        </w:tc>
      </w:tr>
      <w:tr>
        <w:trPr>
          <w:trHeight w:val="219"/>
        </w:trPr>
        <w:tc>
          <w:tcPr>
            <w:tcW w:w="3980" w:type="dxa"/>
            <w:vAlign w:val="bottom"/>
            <w:gridSpan w:val="3"/>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2017 Master Repurchase Agreement </w:t>
            </w:r>
            <w:r>
              <w:rPr>
                <w:rFonts w:ascii="Arial" w:cs="Arial" w:eastAsia="Arial" w:hAnsi="Arial"/>
                <w:sz w:val="21"/>
                <w:szCs w:val="21"/>
                <w:color w:val="auto"/>
                <w:vertAlign w:val="superscript"/>
              </w:rPr>
              <w:t>(6)</w:t>
            </w:r>
          </w:p>
        </w:tc>
        <w:tc>
          <w:tcPr>
            <w:tcW w:w="15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Total floating rate debt</w:t>
            </w:r>
          </w:p>
        </w:tc>
        <w:tc>
          <w:tcPr>
            <w:tcW w:w="152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795,902</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917,677</w:t>
            </w:r>
          </w:p>
        </w:tc>
        <w:tc>
          <w:tcPr>
            <w:tcW w:w="0" w:type="dxa"/>
            <w:vAlign w:val="bottom"/>
          </w:tcPr>
          <w:p>
            <w:pPr>
              <w:spacing w:after="0"/>
              <w:rPr>
                <w:sz w:val="1"/>
                <w:szCs w:val="1"/>
                <w:color w:val="auto"/>
              </w:rPr>
            </w:pPr>
          </w:p>
        </w:tc>
      </w:tr>
      <w:tr>
        <w:trPr>
          <w:trHeight w:val="212"/>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mortgages and other loans payable</w:t>
            </w:r>
          </w:p>
        </w:tc>
        <w:tc>
          <w:tcPr>
            <w:tcW w:w="15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1,874,592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2,001,360</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Deferred financing costs, net of amortization</w:t>
            </w:r>
          </w:p>
        </w:tc>
        <w:tc>
          <w:tcPr>
            <w:tcW w:w="15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(21,388)</w:t>
            </w:r>
          </w:p>
        </w:tc>
        <w:tc>
          <w:tcPr>
            <w:tcW w:w="0" w:type="dxa"/>
            <w:vAlign w:val="bottom"/>
          </w:tcPr>
          <w:p>
            <w:pPr>
              <w:spacing w:after="0"/>
              <w:rPr>
                <w:sz w:val="1"/>
                <w:szCs w:val="1"/>
                <w:color w:val="auto"/>
              </w:rPr>
            </w:pPr>
          </w:p>
        </w:tc>
      </w:tr>
      <w:tr>
        <w:trPr>
          <w:trHeight w:val="237"/>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mortgages and other loans payable, net</w:t>
            </w:r>
          </w:p>
        </w:tc>
        <w:tc>
          <w:tcPr>
            <w:tcW w:w="15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1,857,829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1,979,972</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Reflects exercise of all available options. The ability to exercise extension options may be subject to certain tests based on the operating performance of the property.</w:t>
      </w:r>
    </w:p>
    <w:p>
      <w:pPr>
        <w:spacing w:after="0" w:line="13" w:lineRule="exact"/>
        <w:rPr>
          <w:rFonts w:ascii="Arial" w:cs="Arial" w:eastAsia="Arial" w:hAnsi="Arial"/>
          <w:sz w:val="14"/>
          <w:szCs w:val="14"/>
          <w:color w:val="auto"/>
        </w:rPr>
      </w:pPr>
    </w:p>
    <w:p>
      <w:pPr>
        <w:ind w:left="420" w:right="20" w:hanging="412"/>
        <w:spacing w:after="0" w:line="241" w:lineRule="auto"/>
        <w:tabs>
          <w:tab w:leader="none" w:pos="4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Interest rate as of June 30, 2021, taking into account interest rate hedges in effect during the period. Floating rate debt is presented with the stated spread over the 30-day LIBOR, unless otherwise specified.</w:t>
      </w:r>
    </w:p>
    <w:p>
      <w:pPr>
        <w:ind w:left="420" w:hanging="412"/>
        <w:spacing w:after="0" w:line="241" w:lineRule="auto"/>
        <w:tabs>
          <w:tab w:leader="none" w:pos="4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loan is comprised of a $33.9 million mortgage loan and $0.9 million mezzanine loan with a fixed interest rate of 350 basis points and 700 basis points, respectively, for the first five years and is prepayable without penalty at the end of fifth year.</w:t>
      </w:r>
    </w:p>
    <w:p>
      <w:pPr>
        <w:ind w:left="420" w:hanging="412"/>
        <w:spacing w:after="0" w:line="241" w:lineRule="auto"/>
        <w:tabs>
          <w:tab w:leader="none" w:pos="4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loan is a $225.0 million construction facility, with reductions in interest cost based on meeting certain conditions, and has an initial three year term with two one year extension options. Advances under the loan are subject to incurred costs and funded equity requirements.</w:t>
      </w:r>
    </w:p>
    <w:p>
      <w:pPr>
        <w:ind w:left="400" w:hanging="392"/>
        <w:spacing w:after="0"/>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July 2021, the Company sold a 49% interest in the property. See Note 1, "Organization and Basis of Presentation."</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 June 2021, we exercised a one year extension option which extended the maturity date to June 2022. At June 30, 2021, there was no outstanding balance on the $400 million facility.</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June 30, 2021 and December 31, 2020, the gross book value of the properties and debt and preferred equity investments collateralizing the mortgages and other loans payable was approximately $2.4 billion and $2.5 billion,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Home Loan Bank of New York ("FHLB") Facility</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December 31, 2020, the Company’s wholly-owned subsidiary, Ticonderoga Insurance Company, or Ticonderoga, a Vermont licensed captive insurance company, was a member of the Federal Home Loan Bank of New York, or FHLBNY. As a member, Ticonderoga was able to borrow funds from the FHLBNY in the form of secured advances that bore interest at a floating rate. As a result of a Final Ruling from the Federal Housing Finance Authority, the regulator of the Federal Home Loan Bank system, all captive insurance company memberships were terminated as of February 2021. As such, all advances to Ticonderoga were repaid prior to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Repurchase Agreement</w:t>
      </w:r>
    </w:p>
    <w:p>
      <w:pPr>
        <w:spacing w:after="0" w:line="12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The Company entered into a Master Repurchase Agreement, or MRA, known as the 2017 MRA, which provides us with the ability to sell certain mortgage investments with a simultaneous agreement to repurchase the same at a certain date or on demand. We seek to mitigate risks associated with our repurchase agreement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debt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debt investments, our ability to satisfy margin calls with cash or cash equivalents and our access to additional liquidity. As of June 30, 2021, there have been no margin calls on the 2017 MRA.</w:t>
      </w:r>
    </w:p>
    <w:p>
      <w:pPr>
        <w:spacing w:after="0" w:line="5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April 2018, we increased the maximum facility capacity from $300.0 million to $400.0 million. The facility bears interest on a floating rate basis at a spread to 30-day LIBOR based on the pledged collateral and advance rate and is scheduled to mature in June 2022. At June 30, 2021, the facility had no outstanding balance.</w:t>
      </w:r>
    </w:p>
    <w:p>
      <w:pPr>
        <w:spacing w:after="0" w:line="72" w:lineRule="exact"/>
        <w:rPr>
          <w:sz w:val="20"/>
          <w:szCs w:val="20"/>
          <w:color w:val="auto"/>
        </w:rPr>
      </w:pPr>
    </w:p>
    <w:p>
      <w:pPr>
        <w:ind w:right="9200" w:firstLine="8"/>
        <w:spacing w:after="0" w:line="425" w:lineRule="auto"/>
        <w:tabs>
          <w:tab w:leader="none" w:pos="1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Indebtedness 2017 Credit Facility</w:t>
      </w:r>
    </w:p>
    <w:p>
      <w:pPr>
        <w:jc w:val="both"/>
        <w:ind w:firstLine="445"/>
        <w:spacing w:after="0" w:line="254" w:lineRule="auto"/>
        <w:rPr>
          <w:sz w:val="20"/>
          <w:szCs w:val="20"/>
          <w:color w:val="auto"/>
        </w:rPr>
      </w:pPr>
      <w:r>
        <w:rPr>
          <w:rFonts w:ascii="Arial" w:cs="Arial" w:eastAsia="Arial" w:hAnsi="Arial"/>
          <w:sz w:val="18"/>
          <w:szCs w:val="18"/>
          <w:color w:val="auto"/>
        </w:rPr>
        <w:t>In November 2017, we entered into an amendment to the credit facility, referred to as the 2017 credit facility, that was originally entered into by the Company in November 2012, or the 2012 credit facility. As of June 30, 2021, the 2017 credit facility consisted of a $1.5 billion revolving credit facility, a $1.3 billion term loan (or "Term Loan A"), and a $200.0 million term loan (or "Term Loan B") with maturity dates of March 31, 2022, March 31, 2023, and November 21, 2024, respectively. The revolving credit facility has two six-month, as-of-right extension options to March 31, 2023.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spacing w:after="0" w:line="8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As of June 30, 2021, the 2017 credit facility bore interest at a spread over 30-day LIBOR ranging from (i) 82.5 basis points to 155 basis points for loans under the revolving credit facility, (ii) 90 basis points to 175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spacing w:after="0" w:line="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At June 30, 2021, the applicable spread was 100 basis points for the revolving credit facility, 110 basis points for Term Loan A, and 100 basis points for Term Loan B. We are required to pay quarterly in arrears a 12.5 to 30 basis point facility fee on the total commitments under the revolving credit facility based on the credit rating assigned to the senior unsecured long term indebtedness of the Company. As of June 30, 2021, the facility fee was 20 basis points.</w:t>
      </w:r>
    </w:p>
    <w:p>
      <w:pPr>
        <w:spacing w:after="0" w:line="7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As of June 30, 2021, we had $16.5 million of outstanding letters of credit, $0.0 million drawn under the revolving credit facility and $1.5 billion outstanding under the term loan facilities, with total undrawn capacity of $1.5 billion under the 2017 credit facility. At June 30, 2021 and December 31, 2020, the revolving credit facility had a carrying value of $(3.6) million and $105.3 million, respectively, net of deferred financing costs. At June 30, 2021 and December 31, 2020, the term loan facilities had a carrying value of $1.5 billion and $1.5 billion, respectively, net of deferred financing costs.</w:t>
      </w:r>
    </w:p>
    <w:p>
      <w:pPr>
        <w:spacing w:after="0" w:line="6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 and the Operating Partnership are borrowers jointly and severally obligated under the 2017 credit facility. The 2017 credit facility includes certain restrictions and covenants (see Restrictive Covenants below).</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our senior unsecured notes and other related disclosures as of June 30, 2021 and December 31, 2020, respectively, by scheduled maturity date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2021</w:t>
            </w:r>
          </w:p>
        </w:tc>
        <w:tc>
          <w:tcPr>
            <w:tcW w:w="140" w:type="dxa"/>
            <w:vAlign w:val="bottom"/>
          </w:tcPr>
          <w:p>
            <w:pPr>
              <w:spacing w:after="0"/>
              <w:rPr>
                <w:sz w:val="16"/>
                <w:szCs w:val="16"/>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June 30, 2021</w:t>
            </w:r>
          </w:p>
        </w:tc>
        <w:tc>
          <w:tcPr>
            <w:tcW w:w="14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Unpaid</w:t>
            </w: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4"/>
                <w:szCs w:val="14"/>
                <w:color w:val="auto"/>
              </w:rPr>
            </w:pPr>
          </w:p>
        </w:tc>
        <w:tc>
          <w:tcPr>
            <w:tcW w:w="13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Interest</w:t>
            </w: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Initial Term</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Issuance</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Principal</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7"/>
              </w:rPr>
              <w:t>Accreted</w:t>
            </w:r>
          </w:p>
        </w:tc>
        <w:tc>
          <w:tcPr>
            <w:tcW w:w="14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0"/>
              </w:rPr>
              <w:t>Accreted</w:t>
            </w: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79"/>
              <w:spacing w:after="0" w:line="216" w:lineRule="exact"/>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 Years)</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August 7, 2018 </w:t>
            </w:r>
            <w:r>
              <w:rPr>
                <w:rFonts w:ascii="Arial" w:cs="Arial" w:eastAsia="Arial" w:hAnsi="Arial"/>
                <w:sz w:val="21"/>
                <w:szCs w:val="21"/>
                <w:color w:val="auto"/>
                <w:vertAlign w:val="superscript"/>
              </w:rPr>
              <w:t>(2) (3)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2021</w:t>
            </w:r>
          </w:p>
        </w:tc>
        <w:tc>
          <w:tcPr>
            <w:tcW w:w="0" w:type="dxa"/>
            <w:vAlign w:val="bottom"/>
          </w:tcPr>
          <w:p>
            <w:pPr>
              <w:spacing w:after="0"/>
              <w:rPr>
                <w:sz w:val="1"/>
                <w:szCs w:val="1"/>
                <w:color w:val="auto"/>
              </w:rPr>
            </w:pPr>
          </w:p>
        </w:tc>
      </w:tr>
      <w:tr>
        <w:trPr>
          <w:trHeight w:val="216"/>
        </w:trPr>
        <w:tc>
          <w:tcPr>
            <w:tcW w:w="31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October 5, 2017 </w:t>
            </w:r>
            <w:r>
              <w:rPr>
                <w:rFonts w:ascii="Arial" w:cs="Arial" w:eastAsia="Arial" w:hAnsi="Arial"/>
                <w:sz w:val="21"/>
                <w:szCs w:val="21"/>
                <w:color w:val="auto"/>
                <w:vertAlign w:val="superscript"/>
              </w:rPr>
              <w:t>(2)</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499,857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499,803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October 2022</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November 15, 2012 </w:t>
            </w:r>
            <w:r>
              <w:rPr>
                <w:rFonts w:ascii="Arial" w:cs="Arial" w:eastAsia="Arial" w:hAnsi="Arial"/>
                <w:sz w:val="21"/>
                <w:szCs w:val="21"/>
                <w:color w:val="auto"/>
                <w:vertAlign w:val="superscript"/>
              </w:rPr>
              <w:t>(4)</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301,547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302,086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2022</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December 17, 2015 </w:t>
            </w:r>
            <w:r>
              <w:rPr>
                <w:rFonts w:ascii="Arial" w:cs="Arial" w:eastAsia="Arial" w:hAnsi="Arial"/>
                <w:sz w:val="21"/>
                <w:szCs w:val="21"/>
                <w:color w:val="auto"/>
                <w:vertAlign w:val="superscript"/>
              </w:rPr>
              <w:t>(5)</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4.27 %</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December 2025</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1,251,404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1,251,889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financing costs, net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1,248,930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1,248,219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Interest rate as of June 30, 2021, taking into account interest rate hedges in effect during the period.</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Issued by the Operating Partnership with the Company as the guarantor.</w:t>
      </w:r>
    </w:p>
    <w:p>
      <w:pPr>
        <w:spacing w:after="0" w:line="1" w:lineRule="exact"/>
        <w:rPr>
          <w:rFonts w:ascii="Arial" w:cs="Arial" w:eastAsia="Arial" w:hAnsi="Arial"/>
          <w:sz w:val="14"/>
          <w:szCs w:val="14"/>
          <w:color w:val="auto"/>
        </w:rPr>
      </w:pPr>
    </w:p>
    <w:p>
      <w:pPr>
        <w:ind w:left="420" w:right="20" w:hanging="412"/>
        <w:spacing w:after="0" w:line="260" w:lineRule="auto"/>
        <w:tabs>
          <w:tab w:leader="none" w:pos="412"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notes are subject to redemption at the Company's option, in whole but not in part, at a redemption price equal to 100% of the principal amount of the notes, plus unpaid accrued interest thereon to the redemption date. In April 2020, the Company entered into $350.0 million of fixed rate interest swaps at a rate of 0.54375% through August 2021.</w:t>
      </w:r>
    </w:p>
    <w:p>
      <w:pPr>
        <w:ind w:left="420" w:hanging="412"/>
        <w:spacing w:after="0" w:line="241" w:lineRule="auto"/>
        <w:tabs>
          <w:tab w:leader="none" w:pos="412"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October 2017, the Company and the Operating Partnership as co-obligors issued an additional $100.0 million of 4.50% senior unsecured notes due December 2022. The notes were priced at 105.334% of par.</w:t>
      </w:r>
    </w:p>
    <w:p>
      <w:pPr>
        <w:ind w:left="400" w:hanging="392"/>
        <w:spacing w:after="0"/>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Issued by the Company and the Operating Partnership as co-obligors.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terms of the 2017 credit facility and certain of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June 30, 2021 and December 31, 2020, we were in compliance with all such covenants.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Deferrable Interest Debentures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June 2005, the Company and the Operating Partnership issued $100.0 million in unsecured trust preferred securities through a newly formed trust, SL Green Capital Trust I, or the Trust, which is a wholly-owned subsidiary of the Operating Partnership. The securities mature in 2035 and bear interest at a floating rate of 125 basis points over the three-month LIBOR.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Maturities</w:t>
      </w:r>
    </w:p>
    <w:p>
      <w:pPr>
        <w:spacing w:after="0" w:line="12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Combined aggregate principal maturities of mortgages and other loans payable, the 2017 credit facility, trust preferred securities, senior unsecured notes and our share of joint venture debt as of June 30, 2021, including as-of-right extension options, were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Scheduled</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Mortgages and</w:t>
            </w:r>
          </w:p>
        </w:tc>
        <w:tc>
          <w:tcPr>
            <w:tcW w:w="860" w:type="dxa"/>
            <w:vAlign w:val="bottom"/>
          </w:tcPr>
          <w:p>
            <w:pPr>
              <w:jc w:val="center"/>
              <w:ind w:left="144"/>
              <w:spacing w:after="0"/>
              <w:rPr>
                <w:sz w:val="20"/>
                <w:szCs w:val="20"/>
                <w:color w:val="auto"/>
              </w:rPr>
            </w:pPr>
            <w:r>
              <w:rPr>
                <w:rFonts w:ascii="Arial" w:cs="Arial" w:eastAsia="Arial" w:hAnsi="Arial"/>
                <w:sz w:val="14"/>
                <w:szCs w:val="14"/>
                <w:b w:val="1"/>
                <w:bCs w:val="1"/>
                <w:color w:val="auto"/>
                <w:w w:val="89"/>
              </w:rPr>
              <w:t>Revolving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Unsecured</w:t>
            </w:r>
          </w:p>
        </w:tc>
        <w:tc>
          <w:tcPr>
            <w:tcW w:w="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Trust</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Senior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Joint</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Other Loans</w:t>
            </w:r>
          </w:p>
        </w:tc>
        <w:tc>
          <w:tcPr>
            <w:tcW w:w="860" w:type="dxa"/>
            <w:vAlign w:val="bottom"/>
          </w:tcPr>
          <w:p>
            <w:pPr>
              <w:jc w:val="center"/>
              <w:ind w:left="144"/>
              <w:spacing w:after="0" w:line="135" w:lineRule="exact"/>
              <w:rPr>
                <w:sz w:val="20"/>
                <w:szCs w:val="20"/>
                <w:color w:val="auto"/>
              </w:rPr>
            </w:pPr>
            <w:r>
              <w:rPr>
                <w:rFonts w:ascii="Arial" w:cs="Arial" w:eastAsia="Arial" w:hAnsi="Arial"/>
                <w:sz w:val="14"/>
                <w:szCs w:val="14"/>
                <w:b w:val="1"/>
                <w:bCs w:val="1"/>
                <w:color w:val="auto"/>
                <w:w w:val="98"/>
              </w:rPr>
              <w:t>Credit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Preferred</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Unsecured</w:t>
            </w:r>
          </w:p>
        </w:tc>
        <w:tc>
          <w:tcPr>
            <w:tcW w:w="240" w:type="dxa"/>
            <w:vAlign w:val="bottom"/>
          </w:tcPr>
          <w:p>
            <w:pPr>
              <w:spacing w:after="0"/>
              <w:rPr>
                <w:sz w:val="11"/>
                <w:szCs w:val="11"/>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w w:val="95"/>
              </w:rPr>
              <w:t>Venture</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Payable</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9"/>
              </w:rPr>
              <w:t>Facility</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3"/>
              </w:rPr>
              <w:t>Term Loans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178,251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212,756</w:t>
            </w:r>
          </w:p>
        </w:tc>
        <w:tc>
          <w:tcPr>
            <w:tcW w:w="0" w:type="dxa"/>
            <w:vAlign w:val="bottom"/>
          </w:tcPr>
          <w:p>
            <w:pPr>
              <w:spacing w:after="0"/>
              <w:rPr>
                <w:sz w:val="1"/>
                <w:szCs w:val="1"/>
                <w:color w:val="auto"/>
              </w:rPr>
            </w:pP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255,435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1,064,189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227,603</w:t>
            </w: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1,866,583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491,064</w:t>
            </w:r>
          </w:p>
        </w:tc>
        <w:tc>
          <w:tcPr>
            <w:tcW w:w="0" w:type="dxa"/>
            <w:vAlign w:val="bottom"/>
          </w:tcPr>
          <w:p>
            <w:pPr>
              <w:spacing w:after="0"/>
              <w:rPr>
                <w:sz w:val="1"/>
                <w:szCs w:val="1"/>
                <w:color w:val="auto"/>
              </w:rPr>
            </w:pP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272,750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478,018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622,408</w:t>
            </w: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1,424,406</w:t>
            </w:r>
          </w:p>
        </w:tc>
        <w:tc>
          <w:tcPr>
            <w:tcW w:w="0" w:type="dxa"/>
            <w:vAlign w:val="bottom"/>
          </w:tcPr>
          <w:p>
            <w:pPr>
              <w:spacing w:after="0"/>
              <w:rPr>
                <w:sz w:val="1"/>
                <w:szCs w:val="1"/>
                <w:color w:val="auto"/>
              </w:rPr>
            </w:pPr>
          </w:p>
        </w:tc>
      </w:tr>
      <w:tr>
        <w:trPr>
          <w:trHeight w:val="213"/>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580,547</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681,458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2,580,425</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1,846,983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4,724,592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5,558,662</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Consolidated interest expense, excluding capitalized interest, was comprised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3340" w:type="dxa"/>
            <w:vAlign w:val="bottom"/>
            <w:gridSpan w:val="6"/>
          </w:tcPr>
          <w:p>
            <w:pPr>
              <w:ind w:left="58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7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12"/>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before capitalized interest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38,501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78,369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101,751</w:t>
            </w: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Interest on financing leases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1,494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2,986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3,812</w:t>
            </w: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capitalized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(20,671)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(36,852)</w:t>
            </w:r>
          </w:p>
        </w:tc>
      </w:tr>
      <w:tr>
        <w:trPr>
          <w:trHeight w:val="21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r>
      <w:tr>
        <w:trPr>
          <w:trHeight w:val="23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18,960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42,348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67,564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 Security/ Messenger and Restoration Services</w:t>
      </w:r>
    </w:p>
    <w:p>
      <w:pPr>
        <w:spacing w:after="0" w:line="12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Alliance Building Services, or Alliance, and its affiliates are partially owned by Gary Green, a son of Stephen L. Green, who serves as a member and as the chairman emeritus of our Board of Directors, and provide services to certain properties owned by us. Alliance’s affiliates include First Quality Maintenance, L.P., or First Quality, Classic Security LLC, Bright Star Couriers LLC and Onyx Restoration Works, and provide cleaning, extermination, security, messenger, and restoration services, respectively.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w:t>
      </w:r>
    </w:p>
    <w:p>
      <w:pPr>
        <w:spacing w:after="0" w:line="6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Income earned from the profit participation, which is included in Other income on the consolidated statements of operations, was $0.3 million and $0.7 million for the three and six months ended June 30, 2021, respectively, and $0.1 million and $1.0 million for the three and six months ended June 30, 2020, respectively.</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also recorded expenses, inclusive of capitalized expenses, of $3.3 million and $5.6 million for the three and six months ended June 30, 2021, respectively, and $2.8 million and $6.7 million for the three and six months ended June 30, 2020, respectively, for these services (excluding services provided directly to tenants).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12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We received management fees from this entity of $0.2 million and $0.3 million for the three and six months ended June 30, 2021, respectively, and $0.1 million and $0.3 million for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Vanderbilt Investment</w:t>
      </w:r>
    </w:p>
    <w:p>
      <w:pPr>
        <w:spacing w:after="0" w:line="12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December 2016, we entered into agreements with entities owned and controlled by our Chairman and CEO, Marc Holliday, and our President, Andrew Mathias, pursuant to which they agreed to make an investment in our One Vanderbilt project at the appraised fair market value for the interests acquired. This investment entitles these entities to receive approximately 1.50% - 1.80% and 1.00% - 1.20%, respectively, of any profits realized by the Company from its One Vanderbilt project in excess of the Company’s capital contributions. The entities have no right to any return of capital. Accordingly, subject to previously disclosed repurchase rights, these interests will have no value and will not entitle these entities to any amounts (other than limited distributions to cover tax liabilities incurred) unless and until the Company has received distributions from the One Vanderbilt project in excess of the Company’s aggregate investment in the project. In the event that the Company does not realize a profit on its investment in the project (or would not realize a profit based on the value at the time the interests are repurchased), the entities owned and controlled by Messrs. Holliday and Mathias will lose the entire amount of their investment. The entities owned and controlled by Messrs. Holliday and Mathias paid $1.4 million and $1.0 million, respectively, which equal the fair market value of the interests acquired as of the date the investment agreements were entered into as determined by an independent third party appraisal that we obtained.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Vanderbilt Lease</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November 2018, we entered into a lease agreement with the One Vanderbilt Avenue joint venture covering certain floors at the property. In March 2021, the lease commenced and we relocated our corporate headquarters to the leased space. For the three and six months ended June 30, 2021, we recorded $0.7 million and $0.9 million, respectively, of rent expense under the lease, which is included in Marketing, general and administrative in the consolidated statements of operations. See Note 19, “Commitments and Contingencies.”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entitled to receive fees for providing management, leasing, construction supervision and asset management services to certain of our joint ventures as further described in Note 6, "Investments in Unconsolidated Joint Ventures." Amounts due from joint ventures and related parties at June 30, 2021 and December 31, 2020 consisted of the following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8"/>
              </w:rPr>
              <w:t>December 31, 2020</w:t>
            </w: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joint ventures</w:t>
            </w:r>
          </w:p>
        </w:tc>
        <w:tc>
          <w:tcPr>
            <w:tcW w:w="1460" w:type="dxa"/>
            <w:vAlign w:val="bottom"/>
            <w:shd w:val="clear" w:color="auto" w:fill="CCEEFF"/>
          </w:tcPr>
          <w:p>
            <w:pPr>
              <w:jc w:val="right"/>
              <w:ind w:right="1279"/>
              <w:spacing w:after="0"/>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28,404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27,006</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7,651</w:t>
            </w: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party receivables</w:t>
            </w:r>
          </w:p>
        </w:tc>
        <w:tc>
          <w:tcPr>
            <w:tcW w:w="1460" w:type="dxa"/>
            <w:vAlign w:val="bottom"/>
            <w:tcBorders>
              <w:bottom w:val="single" w:sz="8" w:color="auto"/>
            </w:tcBorders>
            <w:shd w:val="clear" w:color="auto" w:fill="CCEEFF"/>
          </w:tcPr>
          <w:p>
            <w:pPr>
              <w:jc w:val="right"/>
              <w:ind w:right="127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36,430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Noncontrolling Interests on the Company's Consolidated Financial Statements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Noncontrolling interests represent the common and preferred units of limited partnership interest in the Operating Partnership not held by the Company as well as third party equity interests in our other consolidated subsidiaries. Noncontrolling interests in the Operating Partnership are shown in the mezzanine equity while the noncontrolling interests in our other consolidated subsidiaries are shown in the equity section of the Company’s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 of Limited Partnership Interest in the Operating Partnership</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June 30, 2021 and December 31, 2020, the noncontrolling interest unit holders owned 5.31%, or 3,808,034 units, and 5.44%, or 3,938,823 units, of the Operating Partnership, respectively, inclusive of retroactive adjustments to reflect the reverse stock split effectuated by SL Green in January 2021. As of June 30, 2021, 3,808,034 shares of our common stock were reserved for issuance upon the redemption of units of limited partnership interest of the Operating Partnership.</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Noncontrolling interests in the Operating Partnership is recorded at the greater of its cost basis or fair market value based on the closing stock price of our common stock at the end of the reporting period.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Below is a summary of the activity relating to the noncontrolling interests in the Operating Partnership for the six months ended June 30, 2021 and the twelve months ended December 31, 2020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358,262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409,862</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(8,110)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(12,652)</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units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12,018</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Redemption and conversion of common units</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(41,516)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(36,085)</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20,016</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Accumulated other comprehensive loss allocation</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(2,299)</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adjustment</w:t>
            </w:r>
          </w:p>
        </w:tc>
        <w:tc>
          <w:tcPr>
            <w:tcW w:w="3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32,475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(32,598)</w:t>
            </w:r>
          </w:p>
        </w:tc>
      </w:tr>
      <w:tr>
        <w:trPr>
          <w:trHeight w:val="212"/>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355,201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358,262</w:t>
            </w:r>
          </w:p>
        </w:tc>
      </w:tr>
      <w:tr>
        <w:trPr>
          <w:trHeight w:val="21"/>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Units of Limited Partnership Interest in the Operating Partnership</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preferred units of limited partnership interest in the Operating Partnership as of June 30,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Stated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2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Number of</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Annual</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Liquidation</w:t>
            </w:r>
          </w:p>
        </w:tc>
        <w:tc>
          <w:tcPr>
            <w:tcW w:w="14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Conversion</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Issuance</w:t>
            </w:r>
          </w:p>
        </w:tc>
        <w:tc>
          <w:tcPr>
            <w:tcW w:w="120" w:type="dxa"/>
            <w:vAlign w:val="bottom"/>
            <w:vMerge w:val="restart"/>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Units</w:t>
            </w:r>
          </w:p>
        </w:tc>
        <w:tc>
          <w:tcPr>
            <w:tcW w:w="1240" w:type="dxa"/>
            <w:vAlign w:val="bottom"/>
            <w:gridSpan w:val="2"/>
            <w:vMerge w:val="continue"/>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Units</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Dividend Per</w:t>
            </w:r>
          </w:p>
        </w:tc>
        <w:tc>
          <w:tcPr>
            <w:tcW w:w="126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Preference Per</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Date of Issuance</w:t>
            </w:r>
          </w:p>
        </w:tc>
        <w:tc>
          <w:tcPr>
            <w:tcW w:w="0" w:type="dxa"/>
            <w:vAlign w:val="bottom"/>
          </w:tcPr>
          <w:p>
            <w:pPr>
              <w:spacing w:after="0"/>
              <w:rPr>
                <w:sz w:val="1"/>
                <w:szCs w:val="1"/>
                <w:color w:val="auto"/>
              </w:rPr>
            </w:pPr>
          </w:p>
        </w:tc>
      </w:tr>
      <w:tr>
        <w:trPr>
          <w:trHeight w:val="216"/>
        </w:trPr>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Distribution Rate</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Authorized</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Units Issued</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
              <w:spacing w:after="0" w:line="216" w:lineRule="exact"/>
              <w:rPr>
                <w:sz w:val="20"/>
                <w:szCs w:val="20"/>
                <w:color w:val="auto"/>
              </w:rPr>
            </w:pPr>
            <w:r>
              <w:rPr>
                <w:rFonts w:ascii="Arial" w:cs="Arial" w:eastAsia="Arial" w:hAnsi="Arial"/>
                <w:sz w:val="16"/>
                <w:szCs w:val="16"/>
                <w:b w:val="1"/>
                <w:bCs w:val="1"/>
                <w:color w:val="auto"/>
                <w:w w:val="87"/>
              </w:rPr>
              <w:t>Unit</w:t>
            </w:r>
            <w:r>
              <w:rPr>
                <w:rFonts w:ascii="Arial" w:cs="Arial" w:eastAsia="Arial" w:hAnsi="Arial"/>
                <w:sz w:val="21"/>
                <w:szCs w:val="21"/>
                <w:b w:val="1"/>
                <w:bCs w:val="1"/>
                <w:color w:val="auto"/>
                <w:w w:val="87"/>
                <w:vertAlign w:val="superscript"/>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9"/>
              <w:spacing w:after="0" w:line="216" w:lineRule="exact"/>
              <w:rPr>
                <w:sz w:val="20"/>
                <w:szCs w:val="20"/>
                <w:color w:val="auto"/>
              </w:rPr>
            </w:pPr>
            <w:r>
              <w:rPr>
                <w:rFonts w:ascii="Arial" w:cs="Arial" w:eastAsia="Arial" w:hAnsi="Arial"/>
                <w:sz w:val="16"/>
                <w:szCs w:val="16"/>
                <w:b w:val="1"/>
                <w:bCs w:val="1"/>
                <w:color w:val="auto"/>
                <w:w w:val="87"/>
              </w:rPr>
              <w:t>Unit</w:t>
            </w:r>
            <w:r>
              <w:rPr>
                <w:rFonts w:ascii="Arial" w:cs="Arial" w:eastAsia="Arial" w:hAnsi="Arial"/>
                <w:sz w:val="21"/>
                <w:szCs w:val="21"/>
                <w:b w:val="1"/>
                <w:bCs w:val="1"/>
                <w:color w:val="auto"/>
                <w:w w:val="87"/>
                <w:vertAlign w:val="superscript"/>
              </w:rPr>
              <w:t>(2)</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ind w:left="20"/>
              <w:spacing w:after="0" w:line="216" w:lineRule="exact"/>
              <w:rPr>
                <w:sz w:val="20"/>
                <w:szCs w:val="20"/>
                <w:color w:val="auto"/>
              </w:rPr>
            </w:pPr>
            <w:r>
              <w:rPr>
                <w:rFonts w:ascii="Arial" w:cs="Arial" w:eastAsia="Arial" w:hAnsi="Arial"/>
                <w:sz w:val="16"/>
                <w:szCs w:val="16"/>
                <w:b w:val="1"/>
                <w:bCs w:val="1"/>
                <w:color w:val="auto"/>
                <w:w w:val="91"/>
              </w:rPr>
              <w:t>Price Per Unit</w:t>
            </w:r>
            <w:r>
              <w:rPr>
                <w:rFonts w:ascii="Arial" w:cs="Arial" w:eastAsia="Arial" w:hAnsi="Arial"/>
                <w:sz w:val="21"/>
                <w:szCs w:val="21"/>
                <w:b w:val="1"/>
                <w:bCs w:val="1"/>
                <w:color w:val="auto"/>
                <w:w w:val="91"/>
                <w:vertAlign w:val="superscript"/>
              </w:rPr>
              <w:t>(3)</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Series A </w:t>
            </w:r>
            <w:r>
              <w:rPr>
                <w:rFonts w:ascii="Arial" w:cs="Arial" w:eastAsia="Arial" w:hAnsi="Arial"/>
                <w:sz w:val="21"/>
                <w:szCs w:val="21"/>
                <w:color w:val="auto"/>
                <w:vertAlign w:val="superscript"/>
              </w:rPr>
              <w:t>(4)</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109,161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109,161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2015</w:t>
            </w:r>
          </w:p>
        </w:tc>
        <w:tc>
          <w:tcPr>
            <w:tcW w:w="0" w:type="dxa"/>
            <w:vAlign w:val="bottom"/>
          </w:tcPr>
          <w:p>
            <w:pPr>
              <w:spacing w:after="0"/>
              <w:rPr>
                <w:sz w:val="1"/>
                <w:szCs w:val="1"/>
                <w:color w:val="auto"/>
              </w:rPr>
            </w:pPr>
          </w:p>
        </w:tc>
      </w:tr>
      <w:tr>
        <w:trPr>
          <w:trHeight w:val="213"/>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Series F</w:t>
            </w:r>
          </w:p>
        </w:tc>
        <w:tc>
          <w:tcPr>
            <w:tcW w:w="126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January 2007</w:t>
            </w:r>
          </w:p>
        </w:tc>
        <w:tc>
          <w:tcPr>
            <w:tcW w:w="0" w:type="dxa"/>
            <w:vAlign w:val="bottom"/>
          </w:tcPr>
          <w:p>
            <w:pPr>
              <w:spacing w:after="0"/>
              <w:rPr>
                <w:sz w:val="1"/>
                <w:szCs w:val="1"/>
                <w:color w:val="auto"/>
              </w:rPr>
            </w:pPr>
          </w:p>
        </w:tc>
      </w:tr>
      <w:tr>
        <w:trPr>
          <w:trHeight w:val="219"/>
        </w:trPr>
        <w:tc>
          <w:tcPr>
            <w:tcW w:w="108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Series G </w:t>
            </w:r>
            <w:r>
              <w:rPr>
                <w:rFonts w:ascii="Arial" w:cs="Arial" w:eastAsia="Arial" w:hAnsi="Arial"/>
                <w:sz w:val="21"/>
                <w:szCs w:val="21"/>
                <w:color w:val="auto"/>
                <w:vertAlign w:val="superscript"/>
              </w:rPr>
              <w:t>(5)</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718,697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2012</w:t>
            </w:r>
          </w:p>
        </w:tc>
        <w:tc>
          <w:tcPr>
            <w:tcW w:w="0" w:type="dxa"/>
            <w:vAlign w:val="bottom"/>
          </w:tcPr>
          <w:p>
            <w:pPr>
              <w:spacing w:after="0"/>
              <w:rPr>
                <w:sz w:val="1"/>
                <w:szCs w:val="1"/>
                <w:color w:val="auto"/>
              </w:rPr>
            </w:pPr>
          </w:p>
        </w:tc>
      </w:tr>
      <w:tr>
        <w:trPr>
          <w:trHeight w:val="213"/>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Series K</w:t>
            </w:r>
          </w:p>
        </w:tc>
        <w:tc>
          <w:tcPr>
            <w:tcW w:w="126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700,000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563,954</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341,677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0.8750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134.67</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August 2014</w:t>
            </w:r>
          </w:p>
        </w:tc>
        <w:tc>
          <w:tcPr>
            <w:tcW w:w="0" w:type="dxa"/>
            <w:vAlign w:val="bottom"/>
          </w:tcPr>
          <w:p>
            <w:pPr>
              <w:spacing w:after="0"/>
              <w:rPr>
                <w:sz w:val="1"/>
                <w:szCs w:val="1"/>
                <w:color w:val="auto"/>
              </w:rPr>
            </w:pPr>
          </w:p>
        </w:tc>
      </w:tr>
      <w:tr>
        <w:trPr>
          <w:trHeight w:val="219"/>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L</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2014</w:t>
            </w:r>
          </w:p>
        </w:tc>
        <w:tc>
          <w:tcPr>
            <w:tcW w:w="0" w:type="dxa"/>
            <w:vAlign w:val="bottom"/>
          </w:tcPr>
          <w:p>
            <w:pPr>
              <w:spacing w:after="0"/>
              <w:rPr>
                <w:sz w:val="1"/>
                <w:szCs w:val="1"/>
                <w:color w:val="auto"/>
              </w:rPr>
            </w:pPr>
          </w:p>
        </w:tc>
      </w:tr>
      <w:tr>
        <w:trPr>
          <w:trHeight w:val="213"/>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Series M</w:t>
            </w:r>
          </w:p>
        </w:tc>
        <w:tc>
          <w:tcPr>
            <w:tcW w:w="126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1,600,000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1,600,000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96,357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0.9375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February 2015</w:t>
            </w:r>
          </w:p>
        </w:tc>
        <w:tc>
          <w:tcPr>
            <w:tcW w:w="0" w:type="dxa"/>
            <w:vAlign w:val="bottom"/>
          </w:tcPr>
          <w:p>
            <w:pPr>
              <w:spacing w:after="0"/>
              <w:rPr>
                <w:sz w:val="1"/>
                <w:szCs w:val="1"/>
                <w:color w:val="auto"/>
              </w:rPr>
            </w:pPr>
          </w:p>
        </w:tc>
      </w:tr>
      <w:tr>
        <w:trPr>
          <w:trHeight w:val="219"/>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P</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2015</w:t>
            </w:r>
          </w:p>
        </w:tc>
        <w:tc>
          <w:tcPr>
            <w:tcW w:w="0" w:type="dxa"/>
            <w:vAlign w:val="bottom"/>
          </w:tcPr>
          <w:p>
            <w:pPr>
              <w:spacing w:after="0"/>
              <w:rPr>
                <w:sz w:val="1"/>
                <w:szCs w:val="1"/>
                <w:color w:val="auto"/>
              </w:rPr>
            </w:pPr>
          </w:p>
        </w:tc>
      </w:tr>
      <w:tr>
        <w:trPr>
          <w:trHeight w:val="213"/>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Series Q</w:t>
            </w:r>
          </w:p>
        </w:tc>
        <w:tc>
          <w:tcPr>
            <w:tcW w:w="126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268,000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268,000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0.8750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148.95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July 2015</w:t>
            </w:r>
          </w:p>
        </w:tc>
        <w:tc>
          <w:tcPr>
            <w:tcW w:w="0" w:type="dxa"/>
            <w:vAlign w:val="bottom"/>
          </w:tcPr>
          <w:p>
            <w:pPr>
              <w:spacing w:after="0"/>
              <w:rPr>
                <w:sz w:val="1"/>
                <w:szCs w:val="1"/>
                <w:color w:val="auto"/>
              </w:rPr>
            </w:pPr>
          </w:p>
        </w:tc>
      </w:tr>
      <w:tr>
        <w:trPr>
          <w:trHeight w:val="219"/>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R</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2015</w:t>
            </w:r>
          </w:p>
        </w:tc>
        <w:tc>
          <w:tcPr>
            <w:tcW w:w="0" w:type="dxa"/>
            <w:vAlign w:val="bottom"/>
          </w:tcPr>
          <w:p>
            <w:pPr>
              <w:spacing w:after="0"/>
              <w:rPr>
                <w:sz w:val="1"/>
                <w:szCs w:val="1"/>
                <w:color w:val="auto"/>
              </w:rPr>
            </w:pPr>
          </w:p>
        </w:tc>
      </w:tr>
      <w:tr>
        <w:trPr>
          <w:trHeight w:val="213"/>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Series S</w:t>
            </w:r>
          </w:p>
        </w:tc>
        <w:tc>
          <w:tcPr>
            <w:tcW w:w="12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1,077,280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1,077,280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1,077,280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August 2015</w:t>
            </w:r>
          </w:p>
        </w:tc>
        <w:tc>
          <w:tcPr>
            <w:tcW w:w="0" w:type="dxa"/>
            <w:vAlign w:val="bottom"/>
          </w:tcPr>
          <w:p>
            <w:pPr>
              <w:spacing w:after="0"/>
              <w:rPr>
                <w:sz w:val="1"/>
                <w:szCs w:val="1"/>
                <w:color w:val="auto"/>
              </w:rPr>
            </w:pPr>
          </w:p>
        </w:tc>
      </w:tr>
      <w:tr>
        <w:trPr>
          <w:trHeight w:val="219"/>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V</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2019</w:t>
            </w:r>
          </w:p>
        </w:tc>
        <w:tc>
          <w:tcPr>
            <w:tcW w:w="0" w:type="dxa"/>
            <w:vAlign w:val="bottom"/>
          </w:tcPr>
          <w:p>
            <w:pPr>
              <w:spacing w:after="0"/>
              <w:rPr>
                <w:sz w:val="1"/>
                <w:szCs w:val="1"/>
                <w:color w:val="auto"/>
              </w:rPr>
            </w:pPr>
          </w:p>
        </w:tc>
      </w:tr>
      <w:tr>
        <w:trPr>
          <w:trHeight w:val="279"/>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 xml:space="preserve">Series W </w:t>
            </w:r>
            <w:r>
              <w:rPr>
                <w:rFonts w:ascii="Arial" w:cs="Arial" w:eastAsia="Arial" w:hAnsi="Arial"/>
                <w:sz w:val="21"/>
                <w:szCs w:val="21"/>
                <w:color w:val="auto"/>
                <w:vertAlign w:val="superscript"/>
              </w:rPr>
              <w:t>(6)</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January 2020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Dividends are cumulative, subject to certain provisions.</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Units are redeemable at any time at par for cash at the option of the unitholder unless otherwise specified.</w:t>
      </w:r>
    </w:p>
    <w:p>
      <w:pPr>
        <w:spacing w:after="0" w:line="1" w:lineRule="exact"/>
        <w:rPr>
          <w:rFonts w:ascii="Arial" w:cs="Arial" w:eastAsia="Arial" w:hAnsi="Arial"/>
          <w:sz w:val="14"/>
          <w:szCs w:val="14"/>
          <w:color w:val="auto"/>
        </w:rPr>
      </w:pPr>
    </w:p>
    <w:p>
      <w:pPr>
        <w:ind w:left="420" w:hanging="412"/>
        <w:spacing w:after="0" w:line="241" w:lineRule="auto"/>
        <w:tabs>
          <w:tab w:leader="none" w:pos="4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If applicable, units are convertible into a number of common units of limited partnership interest in the Operating Partnership equal to (i) the liquidation preference plus accumulated and unpaid distributions on the conversion date divided by (ii) the amount shown in the table.</w:t>
      </w:r>
    </w:p>
    <w:p>
      <w:pPr>
        <w:jc w:val="both"/>
        <w:ind w:left="420" w:hanging="412"/>
        <w:spacing w:after="0" w:line="241" w:lineRule="auto"/>
        <w:tabs>
          <w:tab w:leader="none" w:pos="4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Issued through a consolidated subsidiary. The units are convertible on a one-for-one basis, into the Series B Preferred Units of limited partnership interest, or the Subsidiary Series B Preferred Units. The Subsidiary Series B Preferred Units can be converted at any time, at the option of the unitholder, into a number of common stock equal to 6.71348 shares of common stock for each Subsidiary Series B Preferred Unit. As of June 30, 2021, no Subsidiary Series B Preferred Units have been issued.</w:t>
      </w:r>
    </w:p>
    <w:p>
      <w:pPr>
        <w:spacing w:after="0" w:line="1" w:lineRule="exact"/>
        <w:rPr>
          <w:rFonts w:ascii="Arial" w:cs="Arial" w:eastAsia="Arial" w:hAnsi="Arial"/>
          <w:sz w:val="14"/>
          <w:szCs w:val="14"/>
          <w:color w:val="auto"/>
        </w:rPr>
      </w:pPr>
    </w:p>
    <w:p>
      <w:pPr>
        <w:ind w:left="420" w:hanging="412"/>
        <w:spacing w:after="0" w:line="260" w:lineRule="auto"/>
        <w:tabs>
          <w:tab w:leader="none" w:pos="412"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Common units of limited partnership interest in the Operating Partnership issued in a conversion may be redeemed in exchange for our common stock on a 1-to-1 basis. The Series G Preferred Units also provide the holder with the right to require the Operating Partnership to repurchase the Series G Preferred Units for cash before January 31, 2022.</w:t>
      </w:r>
    </w:p>
    <w:p>
      <w:pPr>
        <w:jc w:val="both"/>
        <w:ind w:left="420" w:hanging="412"/>
        <w:spacing w:after="0" w:line="244" w:lineRule="auto"/>
        <w:tabs>
          <w:tab w:leader="none" w:pos="4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Series W preferred unit was issued in January 2020 in exchange for the then-outstanding Series O preferred unit. The holder of the Series W preferred unit is entitled to quarterly dividends in an amount calculated as (i) 1,350 multiplied by (ii) the current distribution per common unit of limited partnership in SL Green Operating Partnership. The holder has the right to require the Operating Partnership to repurchase the Series W unit for cash, or convert the Series W unit for Class B units, in each case at a price that is determined based on the closing price of the Company's common stock at the time such right is exercised. The unit's liquidation preference is the fair market value of the unit plus accrued distributions at the time of a liquidation event.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Below is a summary of the activity relating to the preferred units in the Operating Partnership for the six months ended June 30, 2021 and the twelve months ended December 31, 2020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 2020</w:t>
            </w: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283,285</w:t>
            </w: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Issuance of preferred units</w:t>
            </w:r>
          </w:p>
        </w:tc>
        <w:tc>
          <w:tcPr>
            <w:tcW w:w="3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units</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(82,750)</w:t>
            </w: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Dividends paid on preferred units</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(3,404)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(6,163)</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dividends on preferred units</w:t>
            </w: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7,797</w:t>
            </w:r>
          </w:p>
        </w:tc>
      </w:tr>
      <w:tr>
        <w:trPr>
          <w:trHeight w:val="212"/>
        </w:trPr>
        <w:tc>
          <w:tcPr>
            <w:tcW w:w="73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198,503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202,169</w:t>
            </w:r>
          </w:p>
        </w:tc>
      </w:tr>
      <w:tr>
        <w:trPr>
          <w:trHeight w:val="21"/>
        </w:trPr>
        <w:tc>
          <w:tcPr>
            <w:tcW w:w="7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60" w:firstLine="8"/>
        <w:spacing w:after="0" w:line="377" w:lineRule="auto"/>
        <w:tabs>
          <w:tab w:leader="none" w:pos="27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of the Company Common Stock</w:t>
      </w:r>
    </w:p>
    <w:p>
      <w:pPr>
        <w:spacing w:after="0" w:line="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authorized capital stock consists of 260,000,000 shares, $0.01 par value per share, consisting of 160,000,000 shares of common stock, $0.01 par value per share, 75,000,000 shares of excess stock, at $0.01 par value per share, and 25,000,000 shares of preferred stock, par value $0.01 per share. As of June 30, 2021, 67,879,802 shares of common stock and no shares of excess stock were issued and outstanding.</w:t>
      </w:r>
    </w:p>
    <w:p>
      <w:pPr>
        <w:spacing w:after="0" w:line="5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December 4, 2020, our Board of Directors declared the Total Dividend. The Total Dividend was paid on January 15, 2021 to shareholders of record at the close of business on the Record Date. Shareholders had the opportunity to elect to receive the Total Dividend in the form of all cash or all stock, subject to proration if either option was oversubscribed. Shareholders who elected to receive cash received, for each share of common stock they owned as of the Record Date, approximately $0.3735 in cash and 0.0279 shares of common stock. Shareholders who elected to receive shares received, for each share of common stock they owned as of the Record Date, approximately 0.0343 shares of common stock. The number of shares issued was calculated based on the volume weighted average trading price of SLG's common stock between January 5-7, 2021, of $58.15 per share.</w:t>
      </w:r>
    </w:p>
    <w:p>
      <w:pPr>
        <w:spacing w:after="0" w:line="5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To mitigate the dilutive impact of the common stock issued in the special dividend, the Board of Directors also authorized a reverse stock split, which was effective after markets closed on January 20, 2021. On January 8, 2021, a committee of the Board of Directors calculated the ratio for the reverse stock split of our issued and outstanding shares of common stock as 1.02918-for-1. After the issuance of the dividend and the completion of the reverse stock split, the number of shares of our common stock outstanding was equivalent to the number of total shares outstanding on the Record Date (not including any issuances or repurchases that occurred following the Record Date, as well as any fractional shares that would have been issued but for which cash-in-lieu was paid). However, on a relative basis, some individual shareholders may have more shares of SLG’s common stock, and some individual shareholders may have fewer shares of our common stock, depending on their individual elections to receive cash or stock and as a result of the cash option being oversubscribed.</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All share-related references and measurements including the number of shares outstanding, share prices, number of shares repurchased, earnings per share, dividends per share, and share-based compensation awards, have been retroactively adjusted to reflect the reverse stock split for all periods presented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August 2016, our Board of Directors approved a $1.0 billion share repurchase program under which we can buy shares of our common stock. The Board of Directors has since authorized five separate $500.0 million increases to the size of the share repurchase program in the fourth quarter of 2017, second quarter of 2018, fourth quarter of 2018, fourth quarter of 2019, and fourth quarter of 2020 bringing the total program size to $3.5 billion.</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2021, share repurchases, excluding the redemption of OP units, executed under the program were as follows: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1"/>
              </w:rPr>
              <w:t>Cumulative number of shares</w:t>
            </w:r>
          </w:p>
        </w:tc>
        <w:tc>
          <w:tcPr>
            <w:tcW w:w="0" w:type="dxa"/>
            <w:vAlign w:val="bottom"/>
          </w:tcPr>
          <w:p>
            <w:pPr>
              <w:spacing w:after="0"/>
              <w:rPr>
                <w:sz w:val="1"/>
                <w:szCs w:val="1"/>
                <w:color w:val="auto"/>
              </w:rPr>
            </w:pPr>
          </w:p>
        </w:tc>
      </w:tr>
      <w:tr>
        <w:trPr>
          <w:trHeight w:val="162"/>
        </w:trPr>
        <w:tc>
          <w:tcPr>
            <w:tcW w:w="3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3000" w:type="dxa"/>
            <w:vAlign w:val="bottom"/>
            <w:vMerge w:val="restart"/>
          </w:tcPr>
          <w:p>
            <w:pPr>
              <w:jc w:val="center"/>
              <w:ind w:left="1039"/>
              <w:spacing w:after="0"/>
              <w:rPr>
                <w:sz w:val="20"/>
                <w:szCs w:val="20"/>
                <w:color w:val="auto"/>
              </w:rPr>
            </w:pPr>
            <w:r>
              <w:rPr>
                <w:rFonts w:ascii="Arial" w:cs="Arial" w:eastAsia="Arial" w:hAnsi="Arial"/>
                <w:sz w:val="16"/>
                <w:szCs w:val="16"/>
                <w:b w:val="1"/>
                <w:bCs w:val="1"/>
                <w:color w:val="auto"/>
                <w:w w:val="88"/>
              </w:rPr>
              <w:t>Shares repurchased</w:t>
            </w:r>
          </w:p>
        </w:tc>
        <w:tc>
          <w:tcPr>
            <w:tcW w:w="2320" w:type="dxa"/>
            <w:vAlign w:val="bottom"/>
            <w:vMerge w:val="restart"/>
          </w:tcPr>
          <w:p>
            <w:pPr>
              <w:ind w:left="260"/>
              <w:spacing w:after="0"/>
              <w:rPr>
                <w:sz w:val="20"/>
                <w:szCs w:val="20"/>
                <w:color w:val="auto"/>
              </w:rPr>
            </w:pPr>
            <w:r>
              <w:rPr>
                <w:rFonts w:ascii="Arial" w:cs="Arial" w:eastAsia="Arial" w:hAnsi="Arial"/>
                <w:sz w:val="16"/>
                <w:szCs w:val="16"/>
                <w:b w:val="1"/>
                <w:bCs w:val="1"/>
                <w:color w:val="auto"/>
                <w:w w:val="92"/>
              </w:rPr>
              <w:t>Average price paid per share</w:t>
            </w:r>
          </w:p>
        </w:tc>
        <w:tc>
          <w:tcPr>
            <w:tcW w:w="2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repurchased as part of the</w:t>
            </w:r>
          </w:p>
        </w:tc>
        <w:tc>
          <w:tcPr>
            <w:tcW w:w="0" w:type="dxa"/>
            <w:vAlign w:val="bottom"/>
          </w:tcPr>
          <w:p>
            <w:pPr>
              <w:spacing w:after="0"/>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300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0"/>
              </w:rPr>
              <w:t>repurchase plan or programs</w:t>
            </w:r>
          </w:p>
        </w:tc>
        <w:tc>
          <w:tcPr>
            <w:tcW w:w="0" w:type="dxa"/>
            <w:vAlign w:val="bottom"/>
          </w:tcPr>
          <w:p>
            <w:pPr>
              <w:spacing w:after="0"/>
              <w:rPr>
                <w:sz w:val="1"/>
                <w:szCs w:val="1"/>
                <w:color w:val="auto"/>
              </w:rPr>
            </w:pPr>
          </w:p>
        </w:tc>
      </w:tr>
      <w:tr>
        <w:trPr>
          <w:trHeight w:val="87"/>
        </w:trPr>
        <w:tc>
          <w:tcPr>
            <w:tcW w:w="368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 2017</w:t>
            </w:r>
          </w:p>
        </w:tc>
        <w:tc>
          <w:tcPr>
            <w:tcW w:w="300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89"/>
              </w:rPr>
              <w:t>8,105,881</w:t>
            </w:r>
          </w:p>
        </w:tc>
        <w:tc>
          <w:tcPr>
            <w:tcW w:w="23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89"/>
              </w:rPr>
              <w:t>$104.61</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8,105,881</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Year ended 2018</w:t>
            </w:r>
          </w:p>
        </w:tc>
        <w:tc>
          <w:tcPr>
            <w:tcW w:w="3000" w:type="dxa"/>
            <w:vAlign w:val="bottom"/>
          </w:tcPr>
          <w:p>
            <w:pPr>
              <w:jc w:val="center"/>
              <w:ind w:left="1039"/>
              <w:spacing w:after="0"/>
              <w:rPr>
                <w:sz w:val="20"/>
                <w:szCs w:val="20"/>
                <w:color w:val="auto"/>
              </w:rPr>
            </w:pPr>
            <w:r>
              <w:rPr>
                <w:rFonts w:ascii="Arial" w:cs="Arial" w:eastAsia="Arial" w:hAnsi="Arial"/>
                <w:sz w:val="16"/>
                <w:szCs w:val="16"/>
                <w:color w:val="auto"/>
                <w:w w:val="89"/>
              </w:rPr>
              <w:t>9,468,617</w:t>
            </w:r>
          </w:p>
        </w:tc>
        <w:tc>
          <w:tcPr>
            <w:tcW w:w="2320" w:type="dxa"/>
            <w:vAlign w:val="bottom"/>
          </w:tcPr>
          <w:p>
            <w:pPr>
              <w:jc w:val="center"/>
              <w:ind w:left="79"/>
              <w:spacing w:after="0"/>
              <w:rPr>
                <w:sz w:val="20"/>
                <w:szCs w:val="20"/>
                <w:color w:val="auto"/>
              </w:rPr>
            </w:pPr>
            <w:r>
              <w:rPr>
                <w:rFonts w:ascii="Arial" w:cs="Arial" w:eastAsia="Arial" w:hAnsi="Arial"/>
                <w:sz w:val="16"/>
                <w:szCs w:val="16"/>
                <w:color w:val="auto"/>
                <w:w w:val="89"/>
              </w:rPr>
              <w:t>$99.03</w:t>
            </w: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17,574,498</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 2019</w:t>
            </w:r>
          </w:p>
        </w:tc>
        <w:tc>
          <w:tcPr>
            <w:tcW w:w="300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89"/>
              </w:rPr>
              <w:t>4,465,857</w:t>
            </w:r>
          </w:p>
        </w:tc>
        <w:tc>
          <w:tcPr>
            <w:tcW w:w="23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89"/>
              </w:rPr>
              <w:t>$86.06</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22,040,355</w:t>
            </w: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Year Ended 2020</w:t>
            </w:r>
          </w:p>
        </w:tc>
        <w:tc>
          <w:tcPr>
            <w:tcW w:w="3000" w:type="dxa"/>
            <w:vAlign w:val="bottom"/>
          </w:tcPr>
          <w:p>
            <w:pPr>
              <w:jc w:val="center"/>
              <w:ind w:left="1039"/>
              <w:spacing w:after="0"/>
              <w:rPr>
                <w:sz w:val="20"/>
                <w:szCs w:val="20"/>
                <w:color w:val="auto"/>
              </w:rPr>
            </w:pPr>
            <w:r>
              <w:rPr>
                <w:rFonts w:ascii="Arial" w:cs="Arial" w:eastAsia="Arial" w:hAnsi="Arial"/>
                <w:sz w:val="16"/>
                <w:szCs w:val="16"/>
                <w:color w:val="auto"/>
                <w:w w:val="89"/>
              </w:rPr>
              <w:t>8,529,279</w:t>
            </w:r>
          </w:p>
        </w:tc>
        <w:tc>
          <w:tcPr>
            <w:tcW w:w="2320" w:type="dxa"/>
            <w:vAlign w:val="bottom"/>
          </w:tcPr>
          <w:p>
            <w:pPr>
              <w:jc w:val="center"/>
              <w:ind w:left="79"/>
              <w:spacing w:after="0"/>
              <w:rPr>
                <w:sz w:val="20"/>
                <w:szCs w:val="20"/>
                <w:color w:val="auto"/>
              </w:rPr>
            </w:pPr>
            <w:r>
              <w:rPr>
                <w:rFonts w:ascii="Arial" w:cs="Arial" w:eastAsia="Arial" w:hAnsi="Arial"/>
                <w:sz w:val="16"/>
                <w:szCs w:val="16"/>
                <w:color w:val="auto"/>
                <w:w w:val="89"/>
              </w:rPr>
              <w:t>$62.39</w:t>
            </w: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30,569,634</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Six months ended June 30, 2021 </w:t>
            </w:r>
            <w:r>
              <w:rPr>
                <w:rFonts w:ascii="Arial" w:cs="Arial" w:eastAsia="Arial" w:hAnsi="Arial"/>
                <w:sz w:val="21"/>
                <w:szCs w:val="21"/>
                <w:color w:val="auto"/>
                <w:vertAlign w:val="superscript"/>
              </w:rPr>
              <w:t>(1)</w:t>
            </w:r>
          </w:p>
        </w:tc>
        <w:tc>
          <w:tcPr>
            <w:tcW w:w="300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89"/>
              </w:rPr>
              <w:t>2,780,667</w:t>
            </w:r>
          </w:p>
        </w:tc>
        <w:tc>
          <w:tcPr>
            <w:tcW w:w="23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89"/>
              </w:rPr>
              <w:t>$71.51</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33,350,301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(1) Includes 296,424 shares of common stock repurchased by the Company in June 2021 that were settled in July 2021.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Perpetual Preferred Stock</w:t>
      </w:r>
    </w:p>
    <w:p>
      <w:pPr>
        <w:spacing w:after="0" w:line="12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have 9,200,000 shares of our 6.50% Series I Cumulative Redeemable Preferred Stock, or the Series I Preferred Stock, outstanding with a mandatory liquidation preference of $25.00 per share. The Series I Preferred stockholders receive annual dividends of $1.625 per share paid on a quarterly basis and dividends are cumulative, subject to certain provisions. We are entitled to redeem the Series I Preferred Stock at any time, in whole or from time to time in part, at par for cash. In August 2012, we received $221.9 million in net proceeds from the issuance of the Series I Preferred Stock, which were recorded net of underwriters' discount and issuance costs, and contributed the net proceeds to the Operating Partnership in exchange for 9,200,000 units of 6.50% Series I Cumulative Redeemable Preferred Units of limited partnership interest, or the Series I Preferred Units.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 ("DRSPP")</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February 2021, the Company filed a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7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following table summarizes SL Green common stock issued, and proceeds received from dividend reinvestments and/or stock purchases under the DRSPP for the three and six months ended June 30, 2021 and 2020, respectively (dollars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2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3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common stock issued</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1,551</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3,791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w:t>
            </w:r>
          </w:p>
        </w:tc>
      </w:tr>
      <w:tr>
        <w:trPr>
          <w:trHeight w:val="210"/>
        </w:trPr>
        <w:tc>
          <w:tcPr>
            <w:tcW w:w="4380" w:type="dxa"/>
            <w:vAlign w:val="bottom"/>
          </w:tcPr>
          <w:p>
            <w:pPr>
              <w:ind w:left="20"/>
              <w:spacing w:after="0"/>
              <w:rPr>
                <w:sz w:val="20"/>
                <w:szCs w:val="20"/>
                <w:color w:val="auto"/>
              </w:rPr>
            </w:pPr>
            <w:r>
              <w:rPr>
                <w:rFonts w:ascii="Arial" w:cs="Arial" w:eastAsia="Arial" w:hAnsi="Arial"/>
                <w:sz w:val="16"/>
                <w:szCs w:val="16"/>
                <w:color w:val="auto"/>
              </w:rPr>
              <w:t>Dividend reinvestments/stock purchases under the DRSPP</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116</w:t>
            </w:r>
          </w:p>
        </w:tc>
        <w:tc>
          <w:tcPr>
            <w:tcW w:w="114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467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364</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use the two-class method of computing earnings per share (“EPS”),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Diluted EPS reflects the potential dilution that could occur from share equivalent activity.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SL Green's earnings per share for the three and six months ended June 30, 2021 and 2020 are computed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Numerator</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Net income attributable to SL Green common stockholders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105,332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56,444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97,868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171,245</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Less: distributed earnings allocated to participating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3"/>
        </w:trPr>
        <w:tc>
          <w:tcPr>
            <w:tcW w:w="5460" w:type="dxa"/>
            <w:vAlign w:val="bottom"/>
          </w:tcPr>
          <w:p>
            <w:pPr>
              <w:ind w:left="400"/>
              <w:spacing w:after="0"/>
              <w:rPr>
                <w:sz w:val="20"/>
                <w:szCs w:val="20"/>
                <w:color w:val="auto"/>
              </w:rPr>
            </w:pPr>
            <w:r>
              <w:rPr>
                <w:rFonts w:ascii="Arial" w:cs="Arial" w:eastAsia="Arial" w:hAnsi="Arial"/>
                <w:sz w:val="16"/>
                <w:szCs w:val="16"/>
                <w:color w:val="auto"/>
              </w:rPr>
              <w:t>Less: undistributed earnings allocated to participating securities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48"/>
        </w:trPr>
        <w:tc>
          <w:tcPr>
            <w:tcW w:w="5460" w:type="dxa"/>
            <w:vAlign w:val="bottom"/>
            <w:tcBorders>
              <w:top w:val="single" w:sz="8" w:color="CCEEFF"/>
            </w:tcBorders>
            <w:shd w:val="clear" w:color="auto" w:fill="CCEEFF"/>
          </w:tcPr>
          <w:p>
            <w:pPr>
              <w:ind w:left="140"/>
              <w:spacing w:after="0" w:line="148" w:lineRule="exact"/>
              <w:rPr>
                <w:sz w:val="20"/>
                <w:szCs w:val="20"/>
                <w:color w:val="auto"/>
              </w:rPr>
            </w:pPr>
            <w:r>
              <w:rPr>
                <w:rFonts w:ascii="Arial" w:cs="Arial" w:eastAsia="Arial" w:hAnsi="Arial"/>
                <w:sz w:val="16"/>
                <w:szCs w:val="16"/>
                <w:color w:val="auto"/>
                <w:w w:val="94"/>
              </w:rPr>
              <w:t>Net income attributable to SL Green common stockholders (numerator for basic</w:t>
            </w:r>
          </w:p>
        </w:tc>
        <w:tc>
          <w:tcPr>
            <w:tcW w:w="24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104,717</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56,111</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97,130</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170,410</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per share)</w:t>
            </w:r>
          </w:p>
        </w:tc>
        <w:tc>
          <w:tcPr>
            <w:tcW w:w="2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400"/>
              <w:spacing w:after="0"/>
              <w:rPr>
                <w:sz w:val="20"/>
                <w:szCs w:val="20"/>
                <w:color w:val="auto"/>
              </w:rPr>
            </w:pPr>
            <w:r>
              <w:rPr>
                <w:rFonts w:ascii="Arial" w:cs="Arial" w:eastAsia="Arial" w:hAnsi="Arial"/>
                <w:sz w:val="16"/>
                <w:szCs w:val="16"/>
                <w:color w:val="auto"/>
              </w:rPr>
              <w:t>Add back: dilutive effect of earnings allocated to participating securities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Add back: undistributed earnings allocated to participating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66"/>
        </w:trPr>
        <w:tc>
          <w:tcPr>
            <w:tcW w:w="5460" w:type="dxa"/>
            <w:vAlign w:val="bottom"/>
          </w:tcPr>
          <w:p>
            <w:pPr>
              <w:ind w:left="400"/>
              <w:spacing w:after="0" w:line="166" w:lineRule="exact"/>
              <w:rPr>
                <w:sz w:val="20"/>
                <w:szCs w:val="20"/>
                <w:color w:val="auto"/>
              </w:rPr>
            </w:pPr>
            <w:r>
              <w:rPr>
                <w:rFonts w:ascii="Arial" w:cs="Arial" w:eastAsia="Arial" w:hAnsi="Arial"/>
                <w:sz w:val="16"/>
                <w:szCs w:val="16"/>
                <w:color w:val="auto"/>
              </w:rPr>
              <w:t>Add back: effect of dilutive securities (redemption of units to common</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6,282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5,806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9,272</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shares)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140"/>
              <w:spacing w:after="0" w:line="148" w:lineRule="exact"/>
              <w:rPr>
                <w:sz w:val="20"/>
                <w:szCs w:val="20"/>
                <w:color w:val="auto"/>
              </w:rPr>
            </w:pPr>
            <w:r>
              <w:rPr>
                <w:rFonts w:ascii="Arial" w:cs="Arial" w:eastAsia="Arial" w:hAnsi="Arial"/>
                <w:sz w:val="16"/>
                <w:szCs w:val="16"/>
                <w:color w:val="auto"/>
              </w:rPr>
              <w:t>Net income attributable to SL Green common stockholders (numerator for</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111,614</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59,514</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103,674</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180,517</w:t>
            </w:r>
          </w:p>
        </w:tc>
        <w:tc>
          <w:tcPr>
            <w:tcW w:w="0" w:type="dxa"/>
            <w:vAlign w:val="bottom"/>
          </w:tcPr>
          <w:p>
            <w:pPr>
              <w:spacing w:after="0"/>
              <w:rPr>
                <w:sz w:val="1"/>
                <w:szCs w:val="1"/>
                <w:color w:val="auto"/>
              </w:rPr>
            </w:pPr>
          </w:p>
        </w:tc>
      </w:tr>
      <w:tr>
        <w:trPr>
          <w:trHeight w:val="205"/>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earnings per share)</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5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24"/>
                <w:szCs w:val="24"/>
                <w:color w:val="auto"/>
              </w:rPr>
            </w:pPr>
          </w:p>
        </w:tc>
        <w:tc>
          <w:tcPr>
            <w:tcW w:w="25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Denominator</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Shares: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Weighted average common stock outstanding</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68,980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73,538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68,996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74,598</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Operating Partnership units redeemable for common shares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4,093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4,121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4,170</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plans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166"/>
        </w:trPr>
        <w:tc>
          <w:tcPr>
            <w:tcW w:w="5460" w:type="dxa"/>
            <w:vAlign w:val="bottom"/>
          </w:tcPr>
          <w:p>
            <w:pPr>
              <w:ind w:left="140"/>
              <w:spacing w:after="0" w:line="166" w:lineRule="exact"/>
              <w:rPr>
                <w:sz w:val="20"/>
                <w:szCs w:val="20"/>
                <w:color w:val="auto"/>
              </w:rPr>
            </w:pPr>
            <w:r>
              <w:rPr>
                <w:rFonts w:ascii="Arial" w:cs="Arial" w:eastAsia="Arial" w:hAnsi="Arial"/>
                <w:sz w:val="16"/>
                <w:szCs w:val="16"/>
                <w:color w:val="auto"/>
                <w:w w:val="94"/>
              </w:rPr>
              <w:t>Contingently issuable shares from special dividend declared December 4, 2020</w:t>
            </w:r>
          </w:p>
        </w:tc>
        <w:tc>
          <w:tcPr>
            <w:tcW w:w="2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460" w:type="dxa"/>
            <w:vAlign w:val="bottom"/>
          </w:tcPr>
          <w:p>
            <w:pPr>
              <w:ind w:left="140"/>
              <w:spacing w:after="0"/>
              <w:rPr>
                <w:sz w:val="20"/>
                <w:szCs w:val="20"/>
                <w:color w:val="auto"/>
              </w:rPr>
            </w:pPr>
            <w:r>
              <w:rPr>
                <w:rFonts w:ascii="Arial" w:cs="Arial" w:eastAsia="Arial" w:hAnsi="Arial"/>
                <w:sz w:val="16"/>
                <w:szCs w:val="16"/>
                <w:color w:val="auto"/>
              </w:rPr>
              <w:t>and issued January 15, 2021</w:t>
            </w:r>
          </w:p>
        </w:tc>
        <w:tc>
          <w:tcPr>
            <w:tcW w:w="2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stock outstanding</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73,727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73,899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79,208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has excluded 993,847 and 1,064,788 common stock equivalents from the calculation of diluted shares outstanding for the three and six months ended June 30, 2021, respectively, as they were anti-dilutive. The Company has excluded 2,130,084 and 1,597,015 common stock equivalents from the calculation of diluted shares outstanding for the three and six months ended June 30, 2020, respectively, as they were anti-dilutive.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Partners' Capital of the Operating Partnership</w:t>
      </w:r>
    </w:p>
    <w:p>
      <w:pPr>
        <w:spacing w:after="0" w:line="12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Company is the sole managing general partner of the Operating Partnership and at June 30, 2021 owned 67,879,802 general and limited partnership interests in the Operating Partnership and 9,200,000 Series I Preferred Units. Partnership interests in the Operating Partnership are denominated as “common units of limited partnership interest” (also referred to as “OP Units”) or “preferred units of limited partnership interest” (also referred to as “Preferred Units”). All references to OP Units and Preferred Units outstanding exclude such units held by the Company. A holder of an OP Unit may present such OP Unit to the Operating Partnership for redemption at any time (subject to restrictions agreed upon at the issuance of OP Units to particular holders that may restrict such right for a period of time, generally one year from issuance). Upon presentation of an OP Unit for redemption, the Operating Partnership must redeem such OP Unit in exchange for the cash equal to the then value of a share of common stock of the Company, except that the Company may, at its election, in lieu of cash redemption, acquire such OP Unit for one share of common stock. Because the number of shares of common stock outstanding at all times equals the number of OP Units that the Company owns, one share of common stock is generally the economic equivalent of one OP Unit, and the quarterly distribution that may be paid to the holder of an OP Unit equals the quarterly dividend that may be paid to the holder of a share of common stock. Each series of Preferred Units makes a distribution that is set in accordance with an amendment to the partnership agreement of the Operating Partnership. Preferred Units may also be convertible into OP Units at the election of the holder thereof or the Company, subject to the terms of such Preferred Units.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income (loss) allocated to the preferred unitholders and common unitholders reflects their pro rata share of net income (loss) and distributions.</w:t>
      </w:r>
    </w:p>
    <w:p>
      <w:pPr>
        <w:spacing w:after="0" w:line="14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All unit-related references and measurements including the number of units outstanding and earnings per unit have been retroactively adjusted to reflect the reverse stock split effectuated by SL Green’s Board of Directors in January 2021 for all periods presented in this Quarterly Report on Form 10-Q.</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Units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2021, limited partners other than SL Green owned 5.31%, or 3,808,034 common units, of the Operating Partnership.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Preferred units not owned by SL Green are further described in Note 11, “Noncontrolling Interests on the Company’s Consolidated Financial Statements - Preferred Units of Limited Partnership Interest in the Operating Partnership.”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1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Operating Partnership's earnings per unit for the three and six months ended June 30, 2021 and 2020, respectively, are computed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Numerator</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Net income attributable to SLGOP common unitholders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111,614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59,514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103,674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180,517</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Less: distributed earnings allocated to participating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3"/>
        </w:trPr>
        <w:tc>
          <w:tcPr>
            <w:tcW w:w="5460" w:type="dxa"/>
            <w:vAlign w:val="bottom"/>
          </w:tcPr>
          <w:p>
            <w:pPr>
              <w:ind w:left="400"/>
              <w:spacing w:after="0"/>
              <w:rPr>
                <w:sz w:val="20"/>
                <w:szCs w:val="20"/>
                <w:color w:val="auto"/>
              </w:rPr>
            </w:pPr>
            <w:r>
              <w:rPr>
                <w:rFonts w:ascii="Arial" w:cs="Arial" w:eastAsia="Arial" w:hAnsi="Arial"/>
                <w:sz w:val="16"/>
                <w:szCs w:val="16"/>
                <w:color w:val="auto"/>
              </w:rPr>
              <w:t>Less: undistributed earnings allocated to participating securities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48"/>
        </w:trPr>
        <w:tc>
          <w:tcPr>
            <w:tcW w:w="5460" w:type="dxa"/>
            <w:vAlign w:val="bottom"/>
            <w:tcBorders>
              <w:top w:val="single" w:sz="8" w:color="CCEEFF"/>
            </w:tcBorders>
            <w:shd w:val="clear" w:color="auto" w:fill="CCEEFF"/>
          </w:tcPr>
          <w:p>
            <w:pPr>
              <w:ind w:left="140"/>
              <w:spacing w:after="0" w:line="148" w:lineRule="exact"/>
              <w:rPr>
                <w:sz w:val="20"/>
                <w:szCs w:val="20"/>
                <w:color w:val="auto"/>
              </w:rPr>
            </w:pPr>
            <w:r>
              <w:rPr>
                <w:rFonts w:ascii="Arial" w:cs="Arial" w:eastAsia="Arial" w:hAnsi="Arial"/>
                <w:sz w:val="16"/>
                <w:szCs w:val="16"/>
                <w:color w:val="auto"/>
                <w:w w:val="98"/>
              </w:rPr>
              <w:t>Net income attributable to SLGOP common unitholders (numerator for basic</w:t>
            </w:r>
          </w:p>
        </w:tc>
        <w:tc>
          <w:tcPr>
            <w:tcW w:w="24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110,999</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59,181</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102,936</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179,682</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per unit)</w:t>
            </w:r>
          </w:p>
        </w:tc>
        <w:tc>
          <w:tcPr>
            <w:tcW w:w="2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400"/>
              <w:spacing w:after="0"/>
              <w:rPr>
                <w:sz w:val="20"/>
                <w:szCs w:val="20"/>
                <w:color w:val="auto"/>
              </w:rPr>
            </w:pPr>
            <w:r>
              <w:rPr>
                <w:rFonts w:ascii="Arial" w:cs="Arial" w:eastAsia="Arial" w:hAnsi="Arial"/>
                <w:sz w:val="16"/>
                <w:szCs w:val="16"/>
                <w:color w:val="auto"/>
              </w:rPr>
              <w:t>Add back: dilutive effect of earnings allocated to participating securities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Add back: undistributed earnings allocated to participating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46"/>
        </w:trPr>
        <w:tc>
          <w:tcPr>
            <w:tcW w:w="5460" w:type="dxa"/>
            <w:vAlign w:val="bottom"/>
          </w:tcPr>
          <w:p>
            <w:pPr>
              <w:ind w:left="140"/>
              <w:spacing w:after="0" w:line="146" w:lineRule="exact"/>
              <w:rPr>
                <w:sz w:val="20"/>
                <w:szCs w:val="20"/>
                <w:color w:val="auto"/>
              </w:rPr>
            </w:pPr>
            <w:r>
              <w:rPr>
                <w:rFonts w:ascii="Arial" w:cs="Arial" w:eastAsia="Arial" w:hAnsi="Arial"/>
                <w:sz w:val="16"/>
                <w:szCs w:val="16"/>
                <w:color w:val="auto"/>
                <w:w w:val="96"/>
              </w:rPr>
              <w:t>Net income attributable to SLGOP common unitholders (numerator for diluted</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111,614</w:t>
            </w:r>
          </w:p>
        </w:tc>
        <w:tc>
          <w:tcPr>
            <w:tcW w:w="12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59,514</w:t>
            </w:r>
          </w:p>
        </w:tc>
        <w:tc>
          <w:tcPr>
            <w:tcW w:w="10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103,674</w:t>
            </w:r>
          </w:p>
        </w:tc>
        <w:tc>
          <w:tcPr>
            <w:tcW w:w="12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180,517</w:t>
            </w:r>
          </w:p>
        </w:tc>
        <w:tc>
          <w:tcPr>
            <w:tcW w:w="0" w:type="dxa"/>
            <w:vAlign w:val="bottom"/>
          </w:tcPr>
          <w:p>
            <w:pPr>
              <w:spacing w:after="0"/>
              <w:rPr>
                <w:sz w:val="1"/>
                <w:szCs w:val="1"/>
                <w:color w:val="auto"/>
              </w:rPr>
            </w:pPr>
          </w:p>
        </w:tc>
      </w:tr>
      <w:tr>
        <w:trPr>
          <w:trHeight w:val="190"/>
        </w:trPr>
        <w:tc>
          <w:tcPr>
            <w:tcW w:w="5460" w:type="dxa"/>
            <w:vAlign w:val="bottom"/>
          </w:tcPr>
          <w:p>
            <w:pPr>
              <w:ind w:left="140"/>
              <w:spacing w:after="0"/>
              <w:rPr>
                <w:sz w:val="20"/>
                <w:szCs w:val="20"/>
                <w:color w:val="auto"/>
              </w:rPr>
            </w:pPr>
            <w:r>
              <w:rPr>
                <w:rFonts w:ascii="Arial" w:cs="Arial" w:eastAsia="Arial" w:hAnsi="Arial"/>
                <w:sz w:val="16"/>
                <w:szCs w:val="16"/>
                <w:color w:val="auto"/>
              </w:rPr>
              <w:t>earnings per unit)</w:t>
            </w:r>
          </w:p>
        </w:tc>
        <w:tc>
          <w:tcPr>
            <w:tcW w:w="2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5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24"/>
                <w:szCs w:val="24"/>
                <w:color w:val="auto"/>
              </w:rPr>
            </w:pPr>
          </w:p>
        </w:tc>
        <w:tc>
          <w:tcPr>
            <w:tcW w:w="25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Denominator</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units: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Weighted average common units outstanding</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73,073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77,658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73,117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78,768</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Stock-based compensation plans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168"/>
        </w:trPr>
        <w:tc>
          <w:tcPr>
            <w:tcW w:w="546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w w:val="93"/>
              </w:rPr>
              <w:t>Contingently issuable units from special distribution declared December 4, 2020</w:t>
            </w:r>
          </w:p>
        </w:tc>
        <w:tc>
          <w:tcPr>
            <w:tcW w:w="2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issued January 15, 2021</w:t>
            </w:r>
          </w:p>
        </w:tc>
        <w:tc>
          <w:tcPr>
            <w:tcW w:w="2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Diluted weighted average common units outstanding</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73,727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78,066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73,899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79,208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Operating Partnership has excluded 993,847 and 1,064,788 common unit equivalents from the diluted units outstanding for the three and six months ended June 30, 2021, respectively, as they were anti-dilutive. The Operating Partnership has excluded 2,130,084 and 1,597,015 common unit equivalents from the diluted units outstanding for the three and six months ended June 30, 2020, respectively, as they were anti-dilutive.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share-based employee and director compensation plans. Our employees are compensated through the Operating Partnership. Under each plan, whenever the Company issues common or preferred stock, the Operating Partnership issues an equivalent number of units of limited partnership interest of a corresponding class to the Company.</w:t>
      </w:r>
    </w:p>
    <w:p>
      <w:pPr>
        <w:spacing w:after="0" w:line="76"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 Fourth Amended and Restated 2005 Stock Option and Incentive Plan, or the 2005 Plan, was approved by the Company's Board of Directors in April 2016 and its stockholders in June 2016 at the Company's annual meeting of stockholders. The 2005 Plan authorizes the issuance of stock options, stock appreciation rights, unrestricted and restricted stock, phantom shares, dividend equivalent rights, cash-based awards and other equity-based awards. Subject to adjustments upon certain corporate transactions or events, awards with respect to up to a maximum of 27,030,000 fungible units may be granted under the 2005 Plan. Currently, different types of awards count against the limit on the number of fungible units differently, with (1) full-value awards (i.e., those that deliver the full value of the award upon vesting, such as restricted stock) counting as 3.74 Fungible Units per share subject to such awards,</w:t>
      </w:r>
    </w:p>
    <w:p>
      <w:pPr>
        <w:spacing w:after="0" w:line="4" w:lineRule="exact"/>
        <w:rPr>
          <w:sz w:val="20"/>
          <w:szCs w:val="20"/>
          <w:color w:val="auto"/>
        </w:rPr>
      </w:pPr>
    </w:p>
    <w:p>
      <w:pPr>
        <w:jc w:val="both"/>
        <w:ind w:firstLine="8"/>
        <w:spacing w:after="0" w:line="267" w:lineRule="auto"/>
        <w:tabs>
          <w:tab w:leader="none" w:pos="27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stock options, stock appreciation rights and other awards that do not deliver full value and expire five years from the date of grant counting as 0.73 fungible units per share subject to such awards, and (3) all other awards (e.g., 10-year stock options) counting as 1.0 fungible units per share subject to such awards. Awards granted under the 2005 Plan prior to the approval of the fourth amendment and restatement in June 2016 continue to count against the fungible unit limit based on the ratios that were in effect at the time such awards were granted, which may be different than the current ratios. As a result, depending on the types of awards issued, the 2005 Plan may result in the issuance of more or less than 27,030,000 shares. If a stock option or other award granted under the 2005 Plan expires or terminates, the common stock subject to any portion of the award that expires or terminates without having been exercised or paid, as the case may be, will again become available for the issuance of additional awards. Shares of our common stock distributed under the 2005 Plan may be treasury shares or authorized but unissued shares. Currently, unless the 2005 Plan has been previously terminated by the Company's Board of Directors, new awards may be granted under the 2005 Plan until June 2, 2026, which is the tenth anniversary of the date that the 2005 Plan was most recently approved by the Company's stockholders. As of June 30, 2021, 2.3 million fungible units were available for issuance under the 2005 Plan after reserving for shares underlying outstanding restricted stock units, phantom stock units granted pursuant to our Non-Employee Directors' Deferral Program and LTIP Units.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Class O LTIP Units</w:t>
      </w:r>
    </w:p>
    <w:p>
      <w:pPr>
        <w:spacing w:after="0" w:line="12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Options are granted with an exercise price at the fair market value of the Company's common stock on the date of grant and, subject to employment, generally expire five years or ten years from the date of grant, are not transferable other than on death, and generally vest in one year to five years commencing one year from the date of grant. We have also granted Class O LTIP Units, which are a class of LTIP Units in the Operating Partnership structured to provide economics similar to those of stock options. Class O LTIP Units, once vested, may be converted, at the election of the holder, into a number of common units of the Operating Partnership per Class O LTIP Unit determined by the increase in value of a share of the Company’s common stock at the time of conversion over a participation threshold, which equals the fair market value of a share of the Company’s common stock at the time of grant. Class O LTIP Units are entitled to distributions, subject to vesting, equal per unit to 10% of the per unit distributions paid with respect to the common units of the Operating Partnership. The fair value of each stock option or LTIP Unit granted is estimated on the date of grant using the Black-Scholes option pricing model based on historical information.</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options granted during the six months ended June 30, 2021 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 summary of the status of the Company's stock options as of June 30, 2021 and December 31, 2020, and changes during the six months ended June 30, 2021 and year ended December 31, 2020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2980" w:type="dxa"/>
            <w:vAlign w:val="bottom"/>
            <w:gridSpan w:val="5"/>
          </w:tcPr>
          <w:p>
            <w:pPr>
              <w:ind w:left="960"/>
              <w:spacing w:after="0"/>
              <w:rPr>
                <w:sz w:val="20"/>
                <w:szCs w:val="20"/>
                <w:color w:val="auto"/>
              </w:rPr>
            </w:pPr>
            <w:r>
              <w:rPr>
                <w:rFonts w:ascii="Arial" w:cs="Arial" w:eastAsia="Arial" w:hAnsi="Arial"/>
                <w:sz w:val="16"/>
                <w:szCs w:val="16"/>
                <w:b w:val="1"/>
                <w:bCs w:val="1"/>
                <w:color w:val="auto"/>
              </w:rPr>
              <w:t>June 30, 2021</w:t>
            </w:r>
          </w:p>
        </w:tc>
        <w:tc>
          <w:tcPr>
            <w:tcW w:w="286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9"/>
              <w:spacing w:after="0" w:line="158" w:lineRule="exact"/>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9"/>
              <w:spacing w:after="0" w:line="158"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Options 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8"/>
              </w:rPr>
              <w:t>Average</w:t>
            </w: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Options 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Exercise Price</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784,995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102.62</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1,007,665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105.35</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Lapsed or canceled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(68,015)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100.95</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(222,670)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114.97</w:t>
            </w:r>
          </w:p>
        </w:tc>
        <w:tc>
          <w:tcPr>
            <w:tcW w:w="0" w:type="dxa"/>
            <w:vAlign w:val="bottom"/>
          </w:tcPr>
          <w:p>
            <w:pPr>
              <w:spacing w:after="0"/>
              <w:rPr>
                <w:sz w:val="1"/>
                <w:szCs w:val="1"/>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716,980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102.77</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784,995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Options exercisable at end of period</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rPr>
              <w:t>102.77</w:t>
            </w: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102.62</w:t>
            </w:r>
          </w:p>
        </w:tc>
        <w:tc>
          <w:tcPr>
            <w:tcW w:w="0" w:type="dxa"/>
            <w:vAlign w:val="bottom"/>
          </w:tcPr>
          <w:p>
            <w:pPr>
              <w:spacing w:after="0" w:line="20" w:lineRule="exact"/>
              <w:rPr>
                <w:sz w:val="1"/>
                <w:szCs w:val="1"/>
                <w:color w:val="auto"/>
              </w:rPr>
            </w:pPr>
          </w:p>
        </w:tc>
      </w:tr>
      <w:tr>
        <w:trPr>
          <w:trHeight w:val="184"/>
        </w:trPr>
        <w:tc>
          <w:tcPr>
            <w:tcW w:w="5400" w:type="dxa"/>
            <w:vAlign w:val="bottom"/>
            <w:vMerge w:val="continue"/>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716,980</w:t>
            </w:r>
          </w:p>
        </w:tc>
        <w:tc>
          <w:tcPr>
            <w:tcW w:w="2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782,022</w:t>
            </w:r>
          </w:p>
        </w:tc>
        <w:tc>
          <w:tcPr>
            <w:tcW w:w="22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remaining weighted average contractual life of the options outstanding was 1.8 years and the remaining average contractual life of the options exercisable was 1.8 years.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the three and six months ended June 30, 2021, we recognized no compensation expense related to options. During the three and six months ended June 30, 2020, we recognized compensation expense related to options of $0.01 million and $0.03 million, respectively. As of June 30, 2021, there was no unrecognized compensation cost related to unvested stock options.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Shares are granted to certain employees, including our executives, and vesting occurs annually upon the completion of a service period or our meeting established financial performance criteria. Annual vesting occurs at rates ranging from 15% to 35% once performance criteria are reached.</w:t>
      </w:r>
    </w:p>
    <w:p>
      <w:pPr>
        <w:spacing w:after="0" w:line="3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 summary of the Company's restricted stock as of June 30, 2021 and December 31, 2020 and changes during the six months ended June 30, 2021 and the year ended December 31, 2020, are as follows:</w:t>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3,439,674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3,465,347</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Granted</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145,845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8,959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Canceled</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(34,632)</w:t>
            </w:r>
          </w:p>
        </w:tc>
      </w:tr>
      <w:tr>
        <w:trPr>
          <w:trHeight w:val="212"/>
        </w:trPr>
        <w:tc>
          <w:tcPr>
            <w:tcW w:w="732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3,568,760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3,439,674</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Vested during the period</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122,715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128,891</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Compensation expense recorded</w:t>
            </w:r>
          </w:p>
        </w:tc>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4,258,931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10,895,459</w:t>
            </w:r>
          </w:p>
        </w:tc>
      </w:tr>
      <w:tr>
        <w:trPr>
          <w:trHeight w:val="219"/>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Total fair value of restricted stock granted during the period</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9,214,531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734,315</w:t>
            </w:r>
          </w:p>
        </w:tc>
      </w:tr>
    </w:tbl>
    <w:p>
      <w:pPr>
        <w:spacing w:after="0" w:line="18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fair value of restricted stock that vested during the six months ended June 30, 2021 and the year ended December 31, 2020 was $11.0 million and $12.5 million, respectively. As of June 30, 2021, there was $11.5 million of total unrecognized compensation cost related to restricted stock, which is expected to be recognized over a weighted average period of 1.9 years.</w:t>
      </w:r>
    </w:p>
    <w:p>
      <w:pPr>
        <w:spacing w:after="0" w:line="7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granted LTIP Units, which include bonus, time-based and performance-based awards, with a fair value of $40.1 million and $37.0 million as of June 30, 2021 and December 31, 2020, respectively. The grant date fair value of the LTIP Unit awards was calculated in accordance with ASC 718. A third party consultant determined that the fair value of the LTIP Units has a discount to our common stock price. The discount was calculated by considering the inherent uncertainty that the LTIP Units will reach parity with other common partnership units and the illiquidity due to transfer restrictions. As of June 30, 2021, there was $55.4 million of total unrecognized compensation expense related to the time-based and performance based awards, which is expected to be recognized over a weighted average period of 1.8 years.</w:t>
      </w:r>
    </w:p>
    <w:p>
      <w:pPr>
        <w:spacing w:after="0" w:line="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the three and six months ended June 30, 2021, we recorded compensation expense related to bonus, time-based and performance based awards of $9.1 million and $18.2 million, respectively. During the three and six months ended June 30, 2020, we recorded compensation expense related to bonus, time-based and performance based awards of $6.7 million and $14.0 million,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 the three and six months ended June 30, 2021, $0.5 million and $1.0 million, respectively, was capitalized to assets associated with compensation expense related to our long-term compensation plans, restricted stock and stock options. For the three and six months ended June 30, 2020, $0.6 million and $1.1 million, respectively, was capitalized to assets associated with compensation expense related to our long-term compensation plans, restricted stock and stock options.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for Directors</w:t>
      </w:r>
    </w:p>
    <w:p>
      <w:pPr>
        <w:spacing w:after="0" w:line="12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spacing w:after="0" w:line="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During the six months ended June 30, 2021, 20,363 phantom stock units and 12,150 shares of common stock were issued to our Board of Directors. We recorded compensation expense of $0.2 million and $2.0 million during the three and six months ended June 30, 2021, respectively, related to the Deferred Compensation Plan. We recorded compensation expense of $0.2 million and $2.0 million during the three and six months ended June 30, 2020, respectively, related to the Deferred Compensation Plan.</w:t>
      </w:r>
    </w:p>
    <w:p>
      <w:pPr>
        <w:spacing w:after="0" w:line="79" w:lineRule="exact"/>
        <w:rPr>
          <w:sz w:val="20"/>
          <w:szCs w:val="20"/>
          <w:color w:val="auto"/>
        </w:rPr>
      </w:pPr>
    </w:p>
    <w:p>
      <w:pPr>
        <w:ind w:right="1100" w:firstLine="445"/>
        <w:spacing w:after="0" w:line="375" w:lineRule="auto"/>
        <w:rPr>
          <w:sz w:val="20"/>
          <w:szCs w:val="20"/>
          <w:color w:val="auto"/>
        </w:rPr>
      </w:pPr>
      <w:r>
        <w:rPr>
          <w:rFonts w:ascii="Arial" w:cs="Arial" w:eastAsia="Arial" w:hAnsi="Arial"/>
          <w:sz w:val="18"/>
          <w:szCs w:val="18"/>
          <w:color w:val="auto"/>
        </w:rPr>
        <w:t xml:space="preserve">As of June 30, 2021, there were 161,139 phantom stock units outstanding pursuant to our Non-Employee Director's Deferral Program. </w:t>
      </w:r>
      <w:r>
        <w:rPr>
          <w:rFonts w:ascii="Arial" w:cs="Arial" w:eastAsia="Arial" w:hAnsi="Arial"/>
          <w:sz w:val="18"/>
          <w:szCs w:val="18"/>
          <w:b w:val="1"/>
          <w:bCs w:val="1"/>
          <w:color w:val="auto"/>
        </w:rPr>
        <w:t>Employee Stock Purchase Plan</w:t>
      </w:r>
    </w:p>
    <w:p>
      <w:pPr>
        <w:spacing w:after="0" w:line="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2007, the Company's Board of Directors adopted the 2008 Employee Stock Purchase Plan, or ESPP, to encourage our employees to make our business more successful by providing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June 30, 2021, 165,906 shares of our common stock had been issued under the ESPP.</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set forth the changes in accumulated other comprehensive loss by component as of June 30, 2021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SL Green’s share</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of joint venture</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unrealized loss on</w:t>
            </w:r>
          </w:p>
        </w:tc>
        <w:tc>
          <w:tcPr>
            <w:tcW w:w="100" w:type="dxa"/>
            <w:vAlign w:val="bottom"/>
          </w:tcPr>
          <w:p>
            <w:pPr>
              <w:spacing w:after="0"/>
              <w:rPr>
                <w:sz w:val="11"/>
                <w:szCs w:val="11"/>
                <w:color w:val="auto"/>
              </w:rPr>
            </w:pPr>
          </w:p>
        </w:tc>
        <w:tc>
          <w:tcPr>
            <w:tcW w:w="154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net unrealized loss on</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restart"/>
          </w:tcPr>
          <w:p>
            <w:pPr>
              <w:jc w:val="center"/>
              <w:ind w:left="285"/>
              <w:spacing w:after="0"/>
              <w:rPr>
                <w:sz w:val="20"/>
                <w:szCs w:val="20"/>
                <w:color w:val="auto"/>
              </w:rPr>
            </w:pPr>
            <w:r>
              <w:rPr>
                <w:rFonts w:ascii="Arial" w:cs="Arial" w:eastAsia="Arial" w:hAnsi="Arial"/>
                <w:sz w:val="14"/>
                <w:szCs w:val="14"/>
                <w:b w:val="1"/>
                <w:bCs w:val="1"/>
                <w:color w:val="auto"/>
                <w:w w:val="94"/>
              </w:rPr>
              <w:t>derivative</w:t>
            </w: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unrealized gain on</w:t>
            </w: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60" w:type="dxa"/>
            <w:vAlign w:val="bottom"/>
            <w:gridSpan w:val="3"/>
          </w:tcPr>
          <w:p>
            <w:pPr>
              <w:jc w:val="right"/>
              <w:ind w:right="200"/>
              <w:spacing w:after="0" w:line="135" w:lineRule="exact"/>
              <w:rPr>
                <w:sz w:val="20"/>
                <w:szCs w:val="20"/>
                <w:color w:val="auto"/>
              </w:rPr>
            </w:pPr>
            <w:r>
              <w:rPr>
                <w:rFonts w:ascii="Arial" w:cs="Arial" w:eastAsia="Arial" w:hAnsi="Arial"/>
                <w:sz w:val="14"/>
                <w:szCs w:val="14"/>
                <w:b w:val="1"/>
                <w:bCs w:val="1"/>
                <w:color w:val="auto"/>
                <w:w w:val="96"/>
              </w:rPr>
              <w:t>derivative instruments</w:t>
            </w: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9"/>
                <w:szCs w:val="9"/>
                <w:b w:val="1"/>
                <w:bCs w:val="1"/>
                <w:color w:val="auto"/>
              </w:rPr>
              <w:t>( )</w:t>
            </w: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jc w:val="right"/>
              <w:ind w:right="646"/>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8"/>
                <w:szCs w:val="8"/>
                <w:b w:val="1"/>
                <w:bCs w:val="1"/>
                <w:color w:val="auto"/>
              </w:rPr>
              <w:t>1</w:t>
            </w:r>
            <w:r>
              <w:rPr>
                <w:rFonts w:ascii="Arial" w:cs="Arial" w:eastAsia="Arial" w:hAnsi="Arial"/>
                <w:sz w:val="9"/>
                <w:szCs w:val="9"/>
                <w:b w:val="1"/>
                <w:b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ind w:left="240"/>
              <w:spacing w:after="0" w:line="135" w:lineRule="exact"/>
              <w:rPr>
                <w:sz w:val="20"/>
                <w:szCs w:val="20"/>
                <w:color w:val="auto"/>
              </w:rPr>
            </w:pPr>
            <w:r>
              <w:rPr>
                <w:rFonts w:ascii="Arial" w:cs="Arial" w:eastAsia="Arial" w:hAnsi="Arial"/>
                <w:sz w:val="14"/>
                <w:szCs w:val="14"/>
                <w:b w:val="1"/>
                <w:bCs w:val="1"/>
                <w:color w:val="auto"/>
                <w:w w:val="89"/>
              </w:rPr>
              <w:t>instruments</w:t>
            </w:r>
          </w:p>
        </w:tc>
        <w:tc>
          <w:tcPr>
            <w:tcW w:w="460" w:type="dxa"/>
            <w:vAlign w:val="bottom"/>
          </w:tcPr>
          <w:p>
            <w:pPr>
              <w:jc w:val="right"/>
              <w:ind w:right="304"/>
              <w:spacing w:after="0"/>
              <w:rPr>
                <w:sz w:val="20"/>
                <w:szCs w:val="20"/>
                <w:color w:val="auto"/>
              </w:rPr>
            </w:pP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marketable securities</w:t>
            </w:r>
          </w:p>
        </w:tc>
        <w:tc>
          <w:tcPr>
            <w:tcW w:w="3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42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(10,853)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center"/>
              <w:ind w:left="501"/>
              <w:spacing w:after="0"/>
              <w:rPr>
                <w:sz w:val="20"/>
                <w:szCs w:val="20"/>
                <w:color w:val="auto"/>
              </w:rPr>
            </w:pPr>
            <w:r>
              <w:rPr>
                <w:rFonts w:ascii="Arial" w:cs="Arial" w:eastAsia="Arial" w:hAnsi="Arial"/>
                <w:sz w:val="16"/>
                <w:szCs w:val="16"/>
                <w:color w:val="auto"/>
                <w:w w:val="93"/>
              </w:rPr>
              <w:t>(67,247)</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reclassifications</w:t>
            </w:r>
          </w:p>
        </w:tc>
        <w:tc>
          <w:tcPr>
            <w:tcW w:w="42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6"/>
                <w:szCs w:val="16"/>
                <w:color w:val="auto"/>
              </w:rPr>
              <w:t>7,454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(19,320)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center"/>
              <w:ind w:left="501"/>
              <w:spacing w:after="0"/>
              <w:rPr>
                <w:sz w:val="20"/>
                <w:szCs w:val="20"/>
                <w:color w:val="auto"/>
              </w:rPr>
            </w:pPr>
            <w:r>
              <w:rPr>
                <w:rFonts w:ascii="Arial" w:cs="Arial" w:eastAsia="Arial" w:hAnsi="Arial"/>
                <w:sz w:val="16"/>
                <w:szCs w:val="16"/>
                <w:color w:val="auto"/>
                <w:w w:val="93"/>
              </w:rPr>
              <w:t>(11,635)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8,478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3,541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521"/>
              <w:spacing w:after="0"/>
              <w:rPr>
                <w:sz w:val="20"/>
                <w:szCs w:val="20"/>
                <w:color w:val="auto"/>
              </w:rPr>
            </w:pPr>
            <w:r>
              <w:rPr>
                <w:rFonts w:ascii="Arial" w:cs="Arial" w:eastAsia="Arial" w:hAnsi="Arial"/>
                <w:sz w:val="16"/>
                <w:szCs w:val="16"/>
                <w:color w:val="auto"/>
                <w:w w:val="93"/>
              </w:rPr>
              <w:t>12,019</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Balance at June 30, 2021</w:t>
            </w:r>
          </w:p>
        </w:tc>
        <w:tc>
          <w:tcPr>
            <w:tcW w:w="4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(41,483)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(26,632)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center"/>
              <w:ind w:left="501"/>
              <w:spacing w:after="0"/>
              <w:rPr>
                <w:sz w:val="20"/>
                <w:szCs w:val="20"/>
                <w:color w:val="auto"/>
              </w:rPr>
            </w:pPr>
            <w:r>
              <w:rPr>
                <w:rFonts w:ascii="Arial" w:cs="Arial" w:eastAsia="Arial" w:hAnsi="Arial"/>
                <w:sz w:val="16"/>
                <w:szCs w:val="16"/>
                <w:color w:val="auto"/>
                <w:w w:val="93"/>
              </w:rPr>
              <w:t>(66,863)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420" w:hanging="412"/>
        <w:spacing w:after="0" w:line="247" w:lineRule="auto"/>
        <w:tabs>
          <w:tab w:leader="none" w:pos="4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 reclassified from accumulated other comprehensive loss is included in interest expense in the respective consolidated statements of operations. As of June 30, 2021 and December 31, 2020, the deferred net gains from these terminated hedges, which is included in accumulated other comprehensive loss relating to net unrealized loss on derivative instruments, was $(0.7) million and $(0.5) million, respectively.</w:t>
      </w:r>
    </w:p>
    <w:p>
      <w:pPr>
        <w:ind w:left="400" w:hanging="392"/>
        <w:spacing w:after="0"/>
        <w:tabs>
          <w:tab w:leader="none" w:pos="4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Amount reclassified from accumulated other comprehensive loss is included in equity in net loss from unconsolidated joint ventures in the respective consolidated statements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2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We are required to disclose fair value information with regard to certain of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certain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1 - 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set forth the assets and liabilities that we measure at fair value on a recurring and non-recurring basis by their levels in the fair value hierarchy at June 30, 2021 and December 31, 2020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2"/>
              </w:rPr>
              <w:t>June 30, 2021</w:t>
            </w: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46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w w:val="82"/>
              </w:rPr>
              <w:t>Assets:</w:t>
            </w:r>
          </w:p>
        </w:tc>
        <w:tc>
          <w:tcPr>
            <w:tcW w:w="44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Marketable securities available-for-sale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24,289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24,289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175"/>
        </w:trPr>
        <w:tc>
          <w:tcPr>
            <w:tcW w:w="20" w:type="dxa"/>
            <w:vAlign w:val="bottom"/>
          </w:tcPr>
          <w:p>
            <w:pPr>
              <w:spacing w:after="0"/>
              <w:rPr>
                <w:sz w:val="15"/>
                <w:szCs w:val="15"/>
                <w:color w:val="auto"/>
              </w:rPr>
            </w:pPr>
          </w:p>
        </w:tc>
        <w:tc>
          <w:tcPr>
            <w:tcW w:w="49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Liabilities: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liabilities)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w w:val="82"/>
              </w:rPr>
              <w:t>Assets:</w:t>
            </w:r>
          </w:p>
        </w:tc>
        <w:tc>
          <w:tcPr>
            <w:tcW w:w="44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28,570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28,570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49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Liabilities: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liabilities)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bl>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evaluate real estate investments and debt and preferred equity investments, including intangibles, for potential impairment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January 2021, pursuant to the partnership documents of our 885 Third Avenue investment, certain participating rights of the common member expired. As a result, it was determined that this investment is a VIE of which we are the primary beneficiary, and the investment was consolidated in our financial statements. Upon consolidating the entity, the assets and liabilities of the entity were recorded at fair value. This fair value was determined using a third party valuation which primarily utilized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Marketable securities classified as Level 1 are derived from quoted prices in active markets. The valuation technique used to measure the fair value of marketable securities classified as Level 2 were valued based on quoted market prices or model driven valuations using the significant inputs derived from or corroborated by observable market data. We do not intend to sell these securities and it is not more likely than not that we will be required to sell the investments before recovery of their amortized cost bases.</w:t>
      </w:r>
    </w:p>
    <w:p>
      <w:pPr>
        <w:spacing w:after="0" w:line="7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spacing w:after="0" w:line="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provides the carrying value and fair value of these financial instruments as of June 30, 2021 and December 31, 2020 (in thousands):</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 2021</w:t>
            </w: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105"/>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line="213" w:lineRule="exact"/>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1"/>
                <w:szCs w:val="21"/>
                <w:b w:val="1"/>
                <w:bCs w:val="1"/>
                <w:color w:val="auto"/>
                <w:vertAlign w:val="superscript"/>
              </w:rPr>
              <w:t>(1)</w:t>
            </w:r>
          </w:p>
        </w:tc>
        <w:tc>
          <w:tcPr>
            <w:tcW w:w="460" w:type="dxa"/>
            <w:vAlign w:val="bottom"/>
          </w:tcPr>
          <w:p>
            <w:pPr>
              <w:spacing w:after="0"/>
              <w:rPr>
                <w:sz w:val="18"/>
                <w:szCs w:val="18"/>
                <w:color w:val="auto"/>
              </w:rPr>
            </w:pPr>
          </w:p>
        </w:tc>
        <w:tc>
          <w:tcPr>
            <w:tcW w:w="1300" w:type="dxa"/>
            <w:vAlign w:val="bottom"/>
          </w:tcPr>
          <w:p>
            <w:pPr>
              <w:jc w:val="right"/>
              <w:ind w:right="445"/>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line="213" w:lineRule="exact"/>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1"/>
                <w:szCs w:val="21"/>
                <w:b w:val="1"/>
                <w:bCs w:val="1"/>
                <w:color w:val="auto"/>
                <w:vertAlign w:val="superscript"/>
              </w:rPr>
              <w:t>(1)</w:t>
            </w:r>
          </w:p>
        </w:tc>
        <w:tc>
          <w:tcPr>
            <w:tcW w:w="300" w:type="dxa"/>
            <w:vAlign w:val="bottom"/>
          </w:tcPr>
          <w:p>
            <w:pPr>
              <w:spacing w:after="0"/>
              <w:rPr>
                <w:sz w:val="18"/>
                <w:szCs w:val="18"/>
                <w:color w:val="auto"/>
              </w:rPr>
            </w:pPr>
          </w:p>
        </w:tc>
        <w:tc>
          <w:tcPr>
            <w:tcW w:w="1460" w:type="dxa"/>
            <w:vAlign w:val="bottom"/>
          </w:tcPr>
          <w:p>
            <w:pPr>
              <w:jc w:val="right"/>
              <w:ind w:right="445"/>
              <w:spacing w:after="0"/>
              <w:rPr>
                <w:sz w:val="20"/>
                <w:szCs w:val="20"/>
                <w:color w:val="auto"/>
              </w:rPr>
            </w:pPr>
            <w:r>
              <w:rPr>
                <w:rFonts w:ascii="Arial" w:cs="Arial" w:eastAsia="Arial" w:hAnsi="Arial"/>
                <w:sz w:val="16"/>
                <w:szCs w:val="16"/>
                <w:b w:val="1"/>
                <w:bCs w:val="1"/>
                <w:color w:val="auto"/>
              </w:rPr>
              <w:t>Fair Value</w:t>
            </w:r>
          </w:p>
        </w:tc>
      </w:tr>
      <w:tr>
        <w:trPr>
          <w:trHeight w:val="237"/>
        </w:trPr>
        <w:tc>
          <w:tcPr>
            <w:tcW w:w="37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Debt and preferred equity investments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1,072,711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ind w:right="745"/>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1,076,542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ind w:right="765"/>
              <w:spacing w:after="0"/>
              <w:rPr>
                <w:sz w:val="20"/>
                <w:szCs w:val="20"/>
                <w:color w:val="auto"/>
              </w:rPr>
            </w:pPr>
            <w:r>
              <w:rPr>
                <w:rFonts w:ascii="Arial" w:cs="Arial" w:eastAsia="Arial" w:hAnsi="Arial"/>
                <w:sz w:val="11"/>
                <w:szCs w:val="11"/>
                <w:b w:val="1"/>
                <w:bCs w:val="1"/>
                <w:color w:val="auto"/>
              </w:rPr>
              <w:t>(2)</w:t>
            </w:r>
          </w:p>
        </w:tc>
      </w:tr>
      <w:tr>
        <w:trPr>
          <w:trHeight w:val="259"/>
        </w:trPr>
        <w:tc>
          <w:tcPr>
            <w:tcW w:w="3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Fixed rate debt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3,930,094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4,014,621</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3,135,572</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5"/>
              <w:spacing w:after="0"/>
              <w:rPr>
                <w:sz w:val="20"/>
                <w:szCs w:val="20"/>
                <w:color w:val="auto"/>
              </w:rPr>
            </w:pPr>
            <w:r>
              <w:rPr>
                <w:rFonts w:ascii="Arial" w:cs="Arial" w:eastAsia="Arial" w:hAnsi="Arial"/>
                <w:sz w:val="16"/>
                <w:szCs w:val="16"/>
                <w:color w:val="auto"/>
              </w:rPr>
              <w:t>3,237,075</w:t>
            </w: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rate debt</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795,902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801,014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1,827,677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1,822,740</w:t>
            </w:r>
          </w:p>
        </w:tc>
      </w:tr>
      <w:tr>
        <w:trPr>
          <w:trHeight w:val="209"/>
        </w:trPr>
        <w:tc>
          <w:tcPr>
            <w:tcW w:w="37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4,725,996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4,815,635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4,963,249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5,059,815</w:t>
            </w:r>
          </w:p>
        </w:tc>
      </w:tr>
      <w:tr>
        <w:trPr>
          <w:trHeight w:val="23"/>
        </w:trPr>
        <w:tc>
          <w:tcPr>
            <w:tcW w:w="3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exclude net deferred financing costs.</w:t>
      </w:r>
    </w:p>
    <w:p>
      <w:pPr>
        <w:spacing w:after="0" w:line="13" w:lineRule="exact"/>
        <w:rPr>
          <w:rFonts w:ascii="Arial" w:cs="Arial" w:eastAsia="Arial" w:hAnsi="Arial"/>
          <w:sz w:val="14"/>
          <w:szCs w:val="14"/>
          <w:color w:val="auto"/>
        </w:rPr>
      </w:pPr>
    </w:p>
    <w:p>
      <w:pPr>
        <w:ind w:left="420" w:right="20" w:hanging="412"/>
        <w:spacing w:after="0" w:line="255" w:lineRule="auto"/>
        <w:tabs>
          <w:tab w:leader="none" w:pos="412" w:val="left"/>
        </w:tabs>
        <w:numPr>
          <w:ilvl w:val="0"/>
          <w:numId w:val="28"/>
        </w:numPr>
        <w:rPr>
          <w:rFonts w:ascii="Arial" w:cs="Arial" w:eastAsia="Arial" w:hAnsi="Arial"/>
          <w:sz w:val="14"/>
          <w:szCs w:val="14"/>
          <w:color w:val="auto"/>
        </w:rPr>
      </w:pPr>
      <w:r>
        <w:rPr>
          <w:rFonts w:ascii="Arial" w:cs="Arial" w:eastAsia="Arial" w:hAnsi="Arial"/>
          <w:sz w:val="14"/>
          <w:szCs w:val="14"/>
          <w:color w:val="auto"/>
        </w:rPr>
        <w:t>At June 30, 2021, debt and preferred equity investments had an estimated fair value ranging between $1.0 billion and $1.1 billion. At December 31, 2020, debt and preferred equity investments had an estimated fair value ranging between $1.0 billion and $1.1 billion.</w:t>
      </w:r>
    </w:p>
    <w:p>
      <w:pPr>
        <w:spacing w:after="0" w:line="2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Disclosure about fair value of financial instruments was based on pertinent information available to us as of June 30, 2021 and December 31, 2020. Such amounts have not been comprehensively revalued for purposes of these financial statements since that date and current estimates of fair value may differ significantly from the amounts presented herein.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Derivatives and Hedging</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normal course of business, we use a variety of commonly used derivative instruments, such as interest rate swaps, caps, collar and floors, to manage, or hedge interest rate risk. We hedge our exposure to variability in future cash flows for forecasted transactions in addition to anticipated future interest payments on existing debt. We recognize all derivatives on the balance sheet at fair value. Derivatives that are not hedges are adjusted to fair value through earnings. If a derivative is a hedge, depending on the nature of the hedge, changes in the fair value of the derivative will either be offset against the change in fair value of the hedge asset, liability, or firm commitment through earnings, or recognized in other comprehensive income (loss) until the hedged item is recognized in earnings. Reported net income and equity may increase or decrease prospectively, depending on future levels of interest rates and other variables affecting the fair values of derivative instruments and hedged items, but will have no effect on cash flows. Currently, all of our designated derivative instruments are effective hedging instruments.</w:t>
      </w:r>
    </w:p>
    <w:p>
      <w:pPr>
        <w:spacing w:after="0" w:line="7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the notional value at inception and fair value of our consolidated derivative financial instruments at June 30, 2021 based on Level 2 information. The notional value is an indication of the extent of our involvement in these instruments at that time, but does not represent exposure to credit, interest rate or market risks (dollars in thousands).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Notional</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Strike</w:t>
            </w:r>
          </w:p>
        </w:tc>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Effective</w:t>
            </w: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Expiration</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Balance Sheet</w:t>
            </w:r>
          </w:p>
        </w:tc>
        <w:tc>
          <w:tcPr>
            <w:tcW w:w="240" w:type="dxa"/>
            <w:vAlign w:val="bottom"/>
          </w:tcPr>
          <w:p>
            <w:pPr>
              <w:spacing w:after="0"/>
              <w:rPr>
                <w:sz w:val="16"/>
                <w:szCs w:val="16"/>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Fair</w:t>
            </w:r>
          </w:p>
        </w:tc>
      </w:tr>
      <w:tr>
        <w:trPr>
          <w:trHeight w:val="213"/>
        </w:trPr>
        <w:tc>
          <w:tcPr>
            <w:tcW w:w="2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Value</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Rate</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Date</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Location</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Value</w:t>
            </w:r>
          </w:p>
        </w:tc>
      </w:tr>
      <w:tr>
        <w:trPr>
          <w:trHeight w:val="212"/>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0.544 %</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April 2020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August 2021</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Other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3"/>
        </w:trPr>
        <w:tc>
          <w:tcPr>
            <w:tcW w:w="2480" w:type="dxa"/>
            <w:vAlign w:val="bottom"/>
          </w:tcPr>
          <w:p>
            <w:pPr>
              <w:spacing w:after="0"/>
              <w:rPr>
                <w:sz w:val="20"/>
                <w:szCs w:val="20"/>
                <w:color w:val="auto"/>
              </w:rPr>
            </w:pPr>
            <w:r>
              <w:rPr>
                <w:rFonts w:ascii="Arial" w:cs="Arial" w:eastAsia="Arial" w:hAnsi="Arial"/>
                <w:sz w:val="16"/>
                <w:szCs w:val="16"/>
                <w:color w:val="auto"/>
              </w:rPr>
              <w:t>Interest Rate Cap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111,869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3.500 %</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2020</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2021</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Cap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2020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December 2021</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Other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480" w:type="dxa"/>
            <w:vAlign w:val="bottom"/>
          </w:tcPr>
          <w:p>
            <w:pPr>
              <w:spacing w:after="0"/>
              <w:rPr>
                <w:sz w:val="20"/>
                <w:szCs w:val="20"/>
                <w:color w:val="auto"/>
              </w:rPr>
            </w:pPr>
            <w:r>
              <w:rPr>
                <w:rFonts w:ascii="Arial" w:cs="Arial" w:eastAsia="Arial" w:hAnsi="Arial"/>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0.138 %</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2021</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2022</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Other Liabilities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0.136 %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2021</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2022</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Other Liabilities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2480" w:type="dxa"/>
            <w:vAlign w:val="bottom"/>
          </w:tcPr>
          <w:p>
            <w:pPr>
              <w:spacing w:after="0"/>
              <w:rPr>
                <w:sz w:val="20"/>
                <w:szCs w:val="20"/>
                <w:color w:val="auto"/>
              </w:rPr>
            </w:pPr>
            <w:r>
              <w:rPr>
                <w:rFonts w:ascii="Arial" w:cs="Arial" w:eastAsia="Arial" w:hAnsi="Arial"/>
                <w:sz w:val="16"/>
                <w:szCs w:val="16"/>
                <w:color w:val="auto"/>
              </w:rPr>
              <w:t>Interest Rate Cap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4.000 %</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2022</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0.212 %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2021</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2023</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Other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2480" w:type="dxa"/>
            <w:vAlign w:val="bottom"/>
          </w:tcPr>
          <w:p>
            <w:pPr>
              <w:spacing w:after="0"/>
              <w:rPr>
                <w:sz w:val="20"/>
                <w:szCs w:val="20"/>
                <w:color w:val="auto"/>
              </w:rPr>
            </w:pPr>
            <w:r>
              <w:rPr>
                <w:rFonts w:ascii="Arial" w:cs="Arial" w:eastAsia="Arial" w:hAnsi="Arial"/>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0.160 %</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2021</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2023</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9"/>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2016</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July 2023</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Other Liabilities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w:t>
            </w:r>
          </w:p>
        </w:tc>
      </w:tr>
      <w:tr>
        <w:trPr>
          <w:trHeight w:val="213"/>
        </w:trPr>
        <w:tc>
          <w:tcPr>
            <w:tcW w:w="2480" w:type="dxa"/>
            <w:vAlign w:val="bottom"/>
          </w:tcPr>
          <w:p>
            <w:pPr>
              <w:spacing w:after="0"/>
              <w:rPr>
                <w:sz w:val="20"/>
                <w:szCs w:val="20"/>
                <w:color w:val="auto"/>
              </w:rPr>
            </w:pPr>
            <w:r>
              <w:rPr>
                <w:rFonts w:ascii="Arial" w:cs="Arial" w:eastAsia="Arial" w:hAnsi="Arial"/>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1.161 %</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2016</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July 2023</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Other Liabilities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(1,825)</w:t>
            </w:r>
          </w:p>
        </w:tc>
      </w:tr>
      <w:tr>
        <w:trPr>
          <w:trHeight w:val="219"/>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2.696 %</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2019</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2024</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Other Liabilities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(8,742)</w:t>
            </w:r>
          </w:p>
        </w:tc>
      </w:tr>
      <w:tr>
        <w:trPr>
          <w:trHeight w:val="213"/>
        </w:trPr>
        <w:tc>
          <w:tcPr>
            <w:tcW w:w="2480" w:type="dxa"/>
            <w:vAlign w:val="bottom"/>
          </w:tcPr>
          <w:p>
            <w:pPr>
              <w:spacing w:after="0"/>
              <w:rPr>
                <w:sz w:val="20"/>
                <w:szCs w:val="20"/>
                <w:color w:val="auto"/>
              </w:rPr>
            </w:pPr>
            <w:r>
              <w:rPr>
                <w:rFonts w:ascii="Arial" w:cs="Arial" w:eastAsia="Arial" w:hAnsi="Arial"/>
                <w:sz w:val="16"/>
                <w:szCs w:val="16"/>
                <w:color w:val="auto"/>
              </w:rPr>
              <w:t>Interest Rate Swap</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2.721 %</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2019</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2026</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Other Liabilities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(13,045)</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2.740 %</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2019</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2026</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(17,565)</w:t>
            </w:r>
          </w:p>
        </w:tc>
      </w:tr>
      <w:tr>
        <w:trPr>
          <w:trHeight w:val="210"/>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(44,637)</w:t>
            </w:r>
          </w:p>
        </w:tc>
      </w:tr>
      <w:tr>
        <w:trPr>
          <w:trHeight w:val="23"/>
        </w:trPr>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gains or losses on the changes in the fair values were included in interest expense in the consolidated statements of operations during the three and six months ended June 30, 2021 or 2020.</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agreements with each of its derivative counterparties that contain a provision where if the Company defaults on any of its indebtedness, then the Company could also be declared in default on its derivative obligations. As of June 30, 2021, the fair value of derivatives in a net liability position, including accrued interest but excluding any adjustment for nonperformance risk related to these agreements was $46.2 million. As of June 30, 2021, the Company was not required to post any collateral related to these agreements and was not in breach of any agreement provisions. If the Company had breached any of these provisions, it could have been required to settle its obligations under the agreements at their aggregate termination value of $46.9 million at June 30, 2021.</w:t>
      </w:r>
    </w:p>
    <w:p>
      <w:pPr>
        <w:spacing w:after="0" w:line="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Gains and losses on terminated hedges are included in accumulated other comprehensive income (loss), and are recognized into earnings over the term of the related mortgage obligation. Over time, the realized and unrealized gains and losses held in accumulated other comprehensive loss will be reclassified into earnings as an adjustment to interest expense in the same periods in which the hedged interest payments affect earnings. We estimate that $16.3 million of the current balance held in accumulated other comprehensive loss will be reclassified into interest expense and $5.8 million of the portion related to our share of joint venture accumulated other comprehensive loss will be reclassified into equity in net loss from unconsolidated joint ventures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presents the effect of our derivative financial instruments and our share of our joint ventures' derivative financial instruments that are designated and qualify as hedging instruments on the consolidated statements of operations for the three months ended June 30, 2021 and 2020, respectively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tcPr>
          <w:p>
            <w:pPr>
              <w:jc w:val="center"/>
              <w:ind w:left="485"/>
              <w:spacing w:after="0"/>
              <w:rPr>
                <w:sz w:val="20"/>
                <w:szCs w:val="20"/>
                <w:color w:val="auto"/>
              </w:rPr>
            </w:pPr>
            <w:r>
              <w:rPr>
                <w:rFonts w:ascii="Arial" w:cs="Arial" w:eastAsia="Arial" w:hAnsi="Arial"/>
                <w:sz w:val="14"/>
                <w:szCs w:val="14"/>
                <w:b w:val="1"/>
                <w:bCs w:val="1"/>
                <w:color w:val="auto"/>
                <w:w w:val="91"/>
              </w:rPr>
              <w:t>Amount of Loss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vMerge w:val="restart"/>
          </w:tcPr>
          <w:p>
            <w:pPr>
              <w:jc w:val="center"/>
              <w:ind w:right="101"/>
              <w:spacing w:after="0"/>
              <w:rPr>
                <w:sz w:val="20"/>
                <w:szCs w:val="20"/>
                <w:color w:val="auto"/>
              </w:rPr>
            </w:pPr>
            <w:r>
              <w:rPr>
                <w:rFonts w:ascii="Arial" w:cs="Arial" w:eastAsia="Arial" w:hAnsi="Arial"/>
                <w:sz w:val="14"/>
                <w:szCs w:val="14"/>
                <w:b w:val="1"/>
                <w:bCs w:val="1"/>
                <w:color w:val="auto"/>
                <w:w w:val="91"/>
              </w:rPr>
              <w:t>Amount of Loss Reclassified from</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3"/>
          </w:tcPr>
          <w:p>
            <w:pPr>
              <w:jc w:val="center"/>
              <w:ind w:left="485"/>
              <w:spacing w:after="0" w:line="135" w:lineRule="exact"/>
              <w:rPr>
                <w:sz w:val="20"/>
                <w:szCs w:val="20"/>
                <w:color w:val="auto"/>
              </w:rPr>
            </w:pPr>
            <w:r>
              <w:rPr>
                <w:rFonts w:ascii="Arial" w:cs="Arial" w:eastAsia="Arial" w:hAnsi="Arial"/>
                <w:sz w:val="14"/>
                <w:szCs w:val="14"/>
                <w:b w:val="1"/>
                <w:bCs w:val="1"/>
                <w:color w:val="auto"/>
                <w:w w:val="90"/>
              </w:rPr>
              <w:t>Recognized in</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tcPr>
          <w:p>
            <w:pPr>
              <w:jc w:val="center"/>
              <w:ind w:right="181"/>
              <w:spacing w:after="0" w:line="135" w:lineRule="exact"/>
              <w:rPr>
                <w:sz w:val="20"/>
                <w:szCs w:val="20"/>
                <w:color w:val="auto"/>
              </w:rPr>
            </w:pPr>
            <w:r>
              <w:rPr>
                <w:rFonts w:ascii="Arial" w:cs="Arial" w:eastAsia="Arial" w:hAnsi="Arial"/>
                <w:sz w:val="14"/>
                <w:szCs w:val="14"/>
                <w:b w:val="1"/>
                <w:bCs w:val="1"/>
                <w:color w:val="auto"/>
                <w:w w:val="92"/>
              </w:rPr>
              <w:t>Other Comprehensive</w:t>
            </w:r>
          </w:p>
        </w:tc>
        <w:tc>
          <w:tcPr>
            <w:tcW w:w="1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gridSpan w:val="4"/>
          </w:tcPr>
          <w:p>
            <w:pPr>
              <w:jc w:val="center"/>
              <w:ind w:right="121"/>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65"/>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101"/>
              <w:spacing w:after="0"/>
              <w:rPr>
                <w:sz w:val="20"/>
                <w:szCs w:val="20"/>
                <w:color w:val="auto"/>
              </w:rPr>
            </w:pPr>
            <w:r>
              <w:rPr>
                <w:rFonts w:ascii="Arial" w:cs="Arial" w:eastAsia="Arial" w:hAnsi="Arial"/>
                <w:sz w:val="14"/>
                <w:szCs w:val="14"/>
                <w:b w:val="1"/>
                <w:bCs w:val="1"/>
                <w:color w:val="auto"/>
                <w:w w:val="91"/>
              </w:rPr>
              <w:t>Comprehensive Loss into Income</w:t>
            </w: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4"/>
            <w:vMerge w:val="restart"/>
          </w:tcPr>
          <w:p>
            <w:pPr>
              <w:jc w:val="center"/>
              <w:ind w:right="161"/>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21"/>
                <w:szCs w:val="21"/>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Location of Loss Reclassified from</w:t>
            </w:r>
          </w:p>
        </w:tc>
        <w:tc>
          <w:tcPr>
            <w:tcW w:w="200" w:type="dxa"/>
            <w:vAlign w:val="bottom"/>
          </w:tcPr>
          <w:p>
            <w:pPr>
              <w:spacing w:after="0"/>
              <w:rPr>
                <w:sz w:val="21"/>
                <w:szCs w:val="21"/>
                <w:color w:val="auto"/>
              </w:rPr>
            </w:pPr>
          </w:p>
        </w:tc>
        <w:tc>
          <w:tcPr>
            <w:tcW w:w="2420" w:type="dxa"/>
            <w:vAlign w:val="bottom"/>
            <w:gridSpan w:val="4"/>
            <w:vMerge w:val="restart"/>
          </w:tcPr>
          <w:p>
            <w:pPr>
              <w:jc w:val="center"/>
              <w:ind w:right="121"/>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102"/>
        </w:trPr>
        <w:tc>
          <w:tcPr>
            <w:tcW w:w="2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Accumulated Other Comprehensive Loss</w:t>
            </w:r>
          </w:p>
        </w:tc>
        <w:tc>
          <w:tcPr>
            <w:tcW w:w="20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7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7"/>
                <w:szCs w:val="17"/>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into Income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Swaps/Caps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(7,407)</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0" w:type="dxa"/>
            <w:vAlign w:val="bottom"/>
          </w:tcPr>
          <w:p>
            <w:pPr>
              <w:spacing w:after="0"/>
              <w:rPr>
                <w:sz w:val="1"/>
                <w:szCs w:val="1"/>
                <w:color w:val="auto"/>
              </w:rPr>
            </w:pPr>
          </w:p>
        </w:tc>
      </w:tr>
      <w:tr>
        <w:trPr>
          <w:trHeight w:val="166"/>
        </w:trPr>
        <w:tc>
          <w:tcPr>
            <w:tcW w:w="29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Share of unconsolidated joint ventures'</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(55,453)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4"/>
                <w:szCs w:val="14"/>
                <w:color w:val="auto"/>
              </w:rPr>
            </w:pPr>
          </w:p>
        </w:tc>
        <w:tc>
          <w:tcPr>
            <w:tcW w:w="29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Equity in net loss from unconsolidated</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(2,050)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joint ventures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(57,918)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(8,494)</w:t>
            </w:r>
          </w:p>
        </w:tc>
        <w:tc>
          <w:tcPr>
            <w:tcW w:w="10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(6,605)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presents the effect of our derivative financial instruments and our share of our joint ventures' derivative financial instruments that are designated and qualify as hedging instruments on the consolidated statements of operations for the six months ended June 30, 2021 and 2020, respectively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tcPr>
          <w:p>
            <w:pPr>
              <w:jc w:val="center"/>
              <w:ind w:right="201"/>
              <w:spacing w:after="0"/>
              <w:rPr>
                <w:sz w:val="20"/>
                <w:szCs w:val="20"/>
                <w:color w:val="auto"/>
              </w:rPr>
            </w:pPr>
            <w:r>
              <w:rPr>
                <w:rFonts w:ascii="Arial" w:cs="Arial" w:eastAsia="Arial" w:hAnsi="Arial"/>
                <w:sz w:val="14"/>
                <w:szCs w:val="14"/>
                <w:b w:val="1"/>
                <w:bCs w:val="1"/>
                <w:color w:val="auto"/>
                <w:w w:val="94"/>
              </w:rPr>
              <w:t>Amount of Gain (Loss)</w:t>
            </w: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vMerge w:val="restart"/>
          </w:tcPr>
          <w:p>
            <w:pPr>
              <w:jc w:val="center"/>
              <w:ind w:right="101"/>
              <w:spacing w:after="0"/>
              <w:rPr>
                <w:sz w:val="20"/>
                <w:szCs w:val="20"/>
                <w:color w:val="auto"/>
              </w:rPr>
            </w:pPr>
            <w:r>
              <w:rPr>
                <w:rFonts w:ascii="Arial" w:cs="Arial" w:eastAsia="Arial" w:hAnsi="Arial"/>
                <w:sz w:val="14"/>
                <w:szCs w:val="14"/>
                <w:b w:val="1"/>
                <w:bCs w:val="1"/>
                <w:color w:val="auto"/>
                <w:w w:val="91"/>
              </w:rPr>
              <w:t>Amount of Loss Reclassified from</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gridSpan w:val="3"/>
          </w:tcPr>
          <w:p>
            <w:pPr>
              <w:jc w:val="center"/>
              <w:ind w:left="465"/>
              <w:spacing w:after="0" w:line="135" w:lineRule="exact"/>
              <w:rPr>
                <w:sz w:val="20"/>
                <w:szCs w:val="20"/>
                <w:color w:val="auto"/>
              </w:rPr>
            </w:pPr>
            <w:r>
              <w:rPr>
                <w:rFonts w:ascii="Arial" w:cs="Arial" w:eastAsia="Arial" w:hAnsi="Arial"/>
                <w:sz w:val="14"/>
                <w:szCs w:val="14"/>
                <w:b w:val="1"/>
                <w:bCs w:val="1"/>
                <w:color w:val="auto"/>
                <w:w w:val="90"/>
              </w:rPr>
              <w:t>Recognized in</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40" w:type="dxa"/>
            <w:vAlign w:val="bottom"/>
            <w:gridSpan w:val="4"/>
          </w:tcPr>
          <w:p>
            <w:pPr>
              <w:jc w:val="center"/>
              <w:ind w:right="221"/>
              <w:spacing w:after="0" w:line="135" w:lineRule="exact"/>
              <w:rPr>
                <w:sz w:val="20"/>
                <w:szCs w:val="20"/>
                <w:color w:val="auto"/>
              </w:rPr>
            </w:pPr>
            <w:r>
              <w:rPr>
                <w:rFonts w:ascii="Arial" w:cs="Arial" w:eastAsia="Arial" w:hAnsi="Arial"/>
                <w:sz w:val="14"/>
                <w:szCs w:val="14"/>
                <w:b w:val="1"/>
                <w:bCs w:val="1"/>
                <w:color w:val="auto"/>
                <w:w w:val="92"/>
              </w:rPr>
              <w:t>Other Comprehensive</w:t>
            </w:r>
          </w:p>
        </w:tc>
        <w:tc>
          <w:tcPr>
            <w:tcW w:w="1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gridSpan w:val="4"/>
          </w:tcPr>
          <w:p>
            <w:pPr>
              <w:jc w:val="center"/>
              <w:ind w:right="121"/>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45"/>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101"/>
              <w:spacing w:after="0"/>
              <w:rPr>
                <w:sz w:val="20"/>
                <w:szCs w:val="20"/>
                <w:color w:val="auto"/>
              </w:rPr>
            </w:pPr>
            <w:r>
              <w:rPr>
                <w:rFonts w:ascii="Arial" w:cs="Arial" w:eastAsia="Arial" w:hAnsi="Arial"/>
                <w:sz w:val="14"/>
                <w:szCs w:val="14"/>
                <w:b w:val="1"/>
                <w:bCs w:val="1"/>
                <w:color w:val="auto"/>
                <w:w w:val="91"/>
              </w:rPr>
              <w:t>Comprehensive Loss into Income</w:t>
            </w: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gridSpan w:val="4"/>
            <w:vMerge w:val="restart"/>
          </w:tcPr>
          <w:p>
            <w:pPr>
              <w:jc w:val="center"/>
              <w:ind w:right="221"/>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21"/>
                <w:szCs w:val="21"/>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Location of Loss Reclassified from</w:t>
            </w:r>
          </w:p>
        </w:tc>
        <w:tc>
          <w:tcPr>
            <w:tcW w:w="200" w:type="dxa"/>
            <w:vAlign w:val="bottom"/>
          </w:tcPr>
          <w:p>
            <w:pPr>
              <w:spacing w:after="0"/>
              <w:rPr>
                <w:sz w:val="21"/>
                <w:szCs w:val="21"/>
                <w:color w:val="auto"/>
              </w:rPr>
            </w:pPr>
          </w:p>
        </w:tc>
        <w:tc>
          <w:tcPr>
            <w:tcW w:w="2420" w:type="dxa"/>
            <w:vAlign w:val="bottom"/>
            <w:gridSpan w:val="4"/>
            <w:vMerge w:val="restart"/>
          </w:tcPr>
          <w:p>
            <w:pPr>
              <w:jc w:val="center"/>
              <w:ind w:right="101"/>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02"/>
        </w:trPr>
        <w:tc>
          <w:tcPr>
            <w:tcW w:w="2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Accumulated Other Comprehensive Loss</w:t>
            </w:r>
          </w:p>
        </w:tc>
        <w:tc>
          <w:tcPr>
            <w:tcW w:w="20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7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into Income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Swaps/Caps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7,755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(52,489)</w:t>
            </w:r>
          </w:p>
        </w:tc>
        <w:tc>
          <w:tcPr>
            <w:tcW w:w="10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(4,447)</w:t>
            </w:r>
          </w:p>
        </w:tc>
        <w:tc>
          <w:tcPr>
            <w:tcW w:w="0" w:type="dxa"/>
            <w:vAlign w:val="bottom"/>
          </w:tcPr>
          <w:p>
            <w:pPr>
              <w:spacing w:after="0"/>
              <w:rPr>
                <w:sz w:val="1"/>
                <w:szCs w:val="1"/>
                <w:color w:val="auto"/>
              </w:rPr>
            </w:pPr>
          </w:p>
        </w:tc>
      </w:tr>
      <w:tr>
        <w:trPr>
          <w:trHeight w:val="166"/>
        </w:trPr>
        <w:tc>
          <w:tcPr>
            <w:tcW w:w="29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Share of unconsolidated joint ventures'</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(20,498)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(8,175)</w:t>
            </w:r>
          </w:p>
        </w:tc>
        <w:tc>
          <w:tcPr>
            <w:tcW w:w="100" w:type="dxa"/>
            <w:vAlign w:val="bottom"/>
          </w:tcPr>
          <w:p>
            <w:pPr>
              <w:spacing w:after="0"/>
              <w:rPr>
                <w:sz w:val="14"/>
                <w:szCs w:val="14"/>
                <w:color w:val="auto"/>
              </w:rPr>
            </w:pPr>
          </w:p>
        </w:tc>
        <w:tc>
          <w:tcPr>
            <w:tcW w:w="29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Equity in net loss from unconsolidated</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(3,750)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(1,893)</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derivative instruments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joint ventures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(12,743)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(60,664)</w:t>
            </w:r>
          </w:p>
        </w:tc>
        <w:tc>
          <w:tcPr>
            <w:tcW w:w="10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(12,693)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the notional value at inception and fair value of our joint ventures' derivative financial instruments at June 30, 2021 based on Level 2 information. The notional value is an indication of the extent of our involvement in these instruments at that time, but does not represent exposure to credit, interest rate or market risks (dollars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Notional</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Strike</w:t>
            </w:r>
          </w:p>
        </w:tc>
        <w:tc>
          <w:tcPr>
            <w:tcW w:w="1520" w:type="dxa"/>
            <w:vAlign w:val="bottom"/>
            <w:gridSpan w:val="2"/>
          </w:tcPr>
          <w:p>
            <w:pPr>
              <w:ind w:left="400"/>
              <w:spacing w:after="0"/>
              <w:rPr>
                <w:sz w:val="20"/>
                <w:szCs w:val="20"/>
                <w:color w:val="auto"/>
              </w:rPr>
            </w:pPr>
            <w:r>
              <w:rPr>
                <w:rFonts w:ascii="Arial" w:cs="Arial" w:eastAsia="Arial" w:hAnsi="Arial"/>
                <w:sz w:val="16"/>
                <w:szCs w:val="16"/>
                <w:b w:val="1"/>
                <w:bCs w:val="1"/>
                <w:color w:val="auto"/>
              </w:rPr>
              <w:t>Effective</w:t>
            </w:r>
          </w:p>
        </w:tc>
        <w:tc>
          <w:tcPr>
            <w:tcW w:w="1640" w:type="dxa"/>
            <w:vAlign w:val="bottom"/>
            <w:gridSpan w:val="2"/>
          </w:tcPr>
          <w:p>
            <w:pPr>
              <w:ind w:left="400"/>
              <w:spacing w:after="0"/>
              <w:rPr>
                <w:sz w:val="20"/>
                <w:szCs w:val="20"/>
                <w:color w:val="auto"/>
              </w:rPr>
            </w:pPr>
            <w:r>
              <w:rPr>
                <w:rFonts w:ascii="Arial" w:cs="Arial" w:eastAsia="Arial" w:hAnsi="Arial"/>
                <w:sz w:val="16"/>
                <w:szCs w:val="16"/>
                <w:b w:val="1"/>
                <w:bCs w:val="1"/>
                <w:color w:val="auto"/>
              </w:rPr>
              <w:t>Expiration</w:t>
            </w: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Classification</w:t>
            </w:r>
          </w:p>
        </w:tc>
        <w:tc>
          <w:tcPr>
            <w:tcW w:w="10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17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Value</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Rate</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Date</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2020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October 2024</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Asset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4"/>
              </w:rPr>
              <w:t>5,259</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177,000</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1.669 %</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March 2016</w:t>
            </w:r>
          </w:p>
        </w:tc>
        <w:tc>
          <w:tcPr>
            <w:tcW w:w="16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February 2026</w:t>
            </w:r>
          </w:p>
        </w:tc>
        <w:tc>
          <w:tcPr>
            <w:tcW w:w="1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Liability</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4"/>
              </w:rPr>
              <w:t>(6,953)</w:t>
            </w:r>
          </w:p>
        </w:tc>
        <w:tc>
          <w:tcPr>
            <w:tcW w:w="0" w:type="dxa"/>
            <w:vAlign w:val="bottom"/>
          </w:tcPr>
          <w:p>
            <w:pPr>
              <w:spacing w:after="0"/>
              <w:rPr>
                <w:sz w:val="1"/>
                <w:szCs w:val="1"/>
                <w:color w:val="auto"/>
              </w:rPr>
            </w:pPr>
          </w:p>
        </w:tc>
      </w:tr>
      <w:tr>
        <w:trPr>
          <w:trHeight w:val="235"/>
        </w:trPr>
        <w:tc>
          <w:tcPr>
            <w:tcW w:w="2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6"/>
                <w:szCs w:val="16"/>
                <w:b w:val="1"/>
                <w:bCs w:val="1"/>
                <w:color w:val="auto"/>
                <w:w w:val="94"/>
              </w:rPr>
              <w:t>(1,694)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 Income</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Operating Partnership is the lessor and the sublessor to tenants under operating and sales-type leases. The minimum rental amounts due under the leases are generally subject to scheduled fixed increases or adjustments. The leases generally also require that the tenants reimburse us for increases in certain operating costs and real estate taxes above their base year costs.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lease income from operating leases during the three and six months ended June 30, 2021 and 2020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6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lease payments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165,808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172,511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330,487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366,735</w:t>
            </w:r>
          </w:p>
        </w:tc>
      </w:tr>
      <w:tr>
        <w:trPr>
          <w:trHeight w:val="21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lease payments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20,695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45,974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48,913</w:t>
            </w:r>
          </w:p>
        </w:tc>
      </w:tr>
      <w:tr>
        <w:trPr>
          <w:trHeight w:val="212"/>
        </w:trPr>
        <w:tc>
          <w:tcPr>
            <w:tcW w:w="51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Total lease payments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186,503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194,256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376,461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415,648</w:t>
            </w:r>
          </w:p>
        </w:tc>
      </w:tr>
      <w:tr>
        <w:trPr>
          <w:trHeight w:val="21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acquired above and below-market leases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w:t>
            </w: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rental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184,611</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195,886</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372,700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418,517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right="20" w:hanging="412"/>
        <w:spacing w:after="0" w:line="273" w:lineRule="auto"/>
        <w:tabs>
          <w:tab w:leader="none" w:pos="412"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include $66.7 million and $132.5 million of sublease income during the three and six months ended June 30, 2021 and $60.8 million and $127.1 million of sublease income for the three and six months ended June 2020, respectively.</w:t>
      </w:r>
    </w:p>
    <w:p>
      <w:pPr>
        <w:spacing w:after="0" w:line="70"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color w:val="auto"/>
        </w:rPr>
        <w:t>The components of lease income from sales-type leases during the three and six months ended June 30, 2021 and 2020 were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52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(1)</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1,105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These amounts are included in Other income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ind w:right="8420" w:firstLine="8"/>
        <w:spacing w:after="0" w:line="400" w:lineRule="auto"/>
        <w:tabs>
          <w:tab w:leader="none" w:pos="27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Legal Proceedings</w:t>
      </w:r>
    </w:p>
    <w:p>
      <w:pPr>
        <w:jc w:val="both"/>
        <w:ind w:right="20" w:firstLine="445"/>
        <w:spacing w:after="0" w:line="308" w:lineRule="auto"/>
        <w:rPr>
          <w:sz w:val="20"/>
          <w:szCs w:val="20"/>
          <w:color w:val="auto"/>
        </w:rPr>
      </w:pPr>
      <w:r>
        <w:rPr>
          <w:rFonts w:ascii="Arial" w:cs="Arial" w:eastAsia="Arial" w:hAnsi="Arial"/>
          <w:sz w:val="17"/>
          <w:szCs w:val="17"/>
          <w:color w:val="auto"/>
        </w:rPr>
        <w:t>As of June 30, 2021,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Arrangements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 tenant under leases for certain properties, including ground leases. These leases have expirations from 2022 to 2119, or 2043 to 2119 as fully extended. Certain leases offer extension options which we assess against relevant economic factors to determine whether we are reasonably certain of exercising or not exercising the option. Lease payments associated with renewal periods that we are reasonably certain will be exercised, if any, are included in the measurement of the corresponding lease liability and right of use asset.</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Certain of our leases are subject to rent resets, generally based on a percentage of the then fair market value, a fixed amount, or a percentage of the preceding rent at specified future dates. Rent resets will be recognized in the periods in which they are incurred.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our current lease arrangements as of June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Property </w:t>
            </w:r>
            <w:r>
              <w:rPr>
                <w:rFonts w:ascii="Arial" w:cs="Arial" w:eastAsia="Arial" w:hAnsi="Arial"/>
                <w:sz w:val="21"/>
                <w:szCs w:val="21"/>
                <w:b w:val="1"/>
                <w:bCs w:val="1"/>
                <w:color w:val="auto"/>
                <w:vertAlign w:val="superscript"/>
              </w:rPr>
              <w:t>(1)</w:t>
            </w:r>
          </w:p>
        </w:tc>
        <w:tc>
          <w:tcPr>
            <w:tcW w:w="140" w:type="dxa"/>
            <w:vAlign w:val="bottom"/>
            <w:vMerge w:val="restart"/>
          </w:tcPr>
          <w:p>
            <w:pPr>
              <w:spacing w:after="0"/>
              <w:rPr>
                <w:sz w:val="19"/>
                <w:szCs w:val="19"/>
                <w:color w:val="auto"/>
              </w:rPr>
            </w:pPr>
          </w:p>
        </w:tc>
        <w:tc>
          <w:tcPr>
            <w:tcW w:w="190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 of Current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w w:val="95"/>
              </w:rPr>
              <w:t>Year of Final Expiration</w:t>
            </w:r>
          </w:p>
        </w:tc>
        <w:tc>
          <w:tcPr>
            <w:tcW w:w="0" w:type="dxa"/>
            <w:vAlign w:val="bottom"/>
          </w:tcPr>
          <w:p>
            <w:pPr>
              <w:spacing w:after="0"/>
              <w:rPr>
                <w:sz w:val="1"/>
                <w:szCs w:val="1"/>
                <w:color w:val="auto"/>
              </w:rPr>
            </w:pPr>
          </w:p>
        </w:tc>
      </w:tr>
      <w:tr>
        <w:trPr>
          <w:trHeight w:val="149"/>
        </w:trPr>
        <w:tc>
          <w:tcPr>
            <w:tcW w:w="74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760" w:type="dxa"/>
            <w:vAlign w:val="bottom"/>
            <w:tcBorders>
              <w:bottom w:val="single" w:sz="8" w:color="auto"/>
            </w:tcBorders>
          </w:tcPr>
          <w:p>
            <w:pPr>
              <w:jc w:val="right"/>
              <w:ind w:right="419"/>
              <w:spacing w:after="0" w:line="148" w:lineRule="exact"/>
              <w:rPr>
                <w:sz w:val="20"/>
                <w:szCs w:val="20"/>
                <w:color w:val="auto"/>
              </w:rPr>
            </w:pPr>
            <w:r>
              <w:rPr>
                <w:rFonts w:ascii="Arial" w:cs="Arial" w:eastAsia="Arial" w:hAnsi="Arial"/>
                <w:sz w:val="16"/>
                <w:szCs w:val="16"/>
                <w:b w:val="1"/>
                <w:bCs w:val="1"/>
                <w:color w:val="auto"/>
              </w:rPr>
              <w:t>Expiration</w:t>
            </w:r>
          </w:p>
        </w:tc>
        <w:tc>
          <w:tcPr>
            <w:tcW w:w="14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right"/>
              <w:ind w:right="742"/>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210"/>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1185 Avenue of the Americas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SL Green Headquarters at One Vanderbilt </w:t>
            </w:r>
            <w:r>
              <w:rPr>
                <w:rFonts w:ascii="Arial" w:cs="Arial" w:eastAsia="Arial" w:hAnsi="Arial"/>
                <w:sz w:val="21"/>
                <w:szCs w:val="21"/>
                <w:color w:val="auto"/>
                <w:vertAlign w:val="superscript"/>
              </w:rPr>
              <w:t>(3)</w:t>
            </w:r>
          </w:p>
        </w:tc>
        <w:tc>
          <w:tcPr>
            <w:tcW w:w="1760" w:type="dxa"/>
            <w:vAlign w:val="bottom"/>
          </w:tcPr>
          <w:p>
            <w:pPr>
              <w:jc w:val="right"/>
              <w:spacing w:after="0"/>
              <w:rPr>
                <w:sz w:val="20"/>
                <w:szCs w:val="20"/>
                <w:color w:val="auto"/>
              </w:rPr>
            </w:pPr>
            <w:r>
              <w:rPr>
                <w:rFonts w:ascii="Arial" w:cs="Arial" w:eastAsia="Arial" w:hAnsi="Arial"/>
                <w:sz w:val="16"/>
                <w:szCs w:val="16"/>
                <w:color w:val="auto"/>
              </w:rPr>
              <w:t>2043</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625 Madison Avenue</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13"/>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420 Lexington Avenue</w:t>
            </w:r>
          </w:p>
        </w:tc>
        <w:tc>
          <w:tcPr>
            <w:tcW w:w="1760" w:type="dxa"/>
            <w:vAlign w:val="bottom"/>
          </w:tcPr>
          <w:p>
            <w:pPr>
              <w:jc w:val="right"/>
              <w:spacing w:after="0"/>
              <w:rPr>
                <w:sz w:val="20"/>
                <w:szCs w:val="20"/>
                <w:color w:val="auto"/>
              </w:rPr>
            </w:pPr>
            <w:r>
              <w:rPr>
                <w:rFonts w:ascii="Arial" w:cs="Arial" w:eastAsia="Arial" w:hAnsi="Arial"/>
                <w:sz w:val="16"/>
                <w:szCs w:val="16"/>
                <w:color w:val="auto"/>
              </w:rPr>
              <w:t>2050</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219"/>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885 Third Avenue</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711 Third Avenue </w:t>
            </w:r>
            <w:r>
              <w:rPr>
                <w:rFonts w:ascii="Arial" w:cs="Arial" w:eastAsia="Arial" w:hAnsi="Arial"/>
                <w:sz w:val="21"/>
                <w:szCs w:val="21"/>
                <w:color w:val="auto"/>
                <w:vertAlign w:val="superscript"/>
              </w:rPr>
              <w:t>(4)</w:t>
            </w:r>
          </w:p>
        </w:tc>
        <w:tc>
          <w:tcPr>
            <w:tcW w:w="1760" w:type="dxa"/>
            <w:vAlign w:val="bottom"/>
          </w:tcPr>
          <w:p>
            <w:pPr>
              <w:jc w:val="right"/>
              <w:spacing w:after="0"/>
              <w:rPr>
                <w:sz w:val="20"/>
                <w:szCs w:val="20"/>
                <w:color w:val="auto"/>
              </w:rPr>
            </w:pPr>
            <w:r>
              <w:rPr>
                <w:rFonts w:ascii="Arial" w:cs="Arial" w:eastAsia="Arial" w:hAnsi="Arial"/>
                <w:sz w:val="16"/>
                <w:szCs w:val="16"/>
                <w:color w:val="auto"/>
              </w:rPr>
              <w:t>2033</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1080 Amsterdam Avenue </w:t>
            </w:r>
            <w:r>
              <w:rPr>
                <w:rFonts w:ascii="Arial" w:cs="Arial" w:eastAsia="Arial" w:hAnsi="Arial"/>
                <w:sz w:val="21"/>
                <w:szCs w:val="21"/>
                <w:color w:val="auto"/>
                <w:vertAlign w:val="superscript"/>
              </w:rPr>
              <w:t>(5)</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79"/>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 xml:space="preserve">15 Beekman </w:t>
            </w:r>
            <w:r>
              <w:rPr>
                <w:rFonts w:ascii="Arial" w:cs="Arial" w:eastAsia="Arial" w:hAnsi="Arial"/>
                <w:sz w:val="21"/>
                <w:szCs w:val="21"/>
                <w:color w:val="auto"/>
                <w:vertAlign w:val="superscript"/>
              </w:rPr>
              <w:t>(6)(7)</w:t>
            </w:r>
          </w:p>
        </w:tc>
        <w:tc>
          <w:tcPr>
            <w:tcW w:w="1760" w:type="dxa"/>
            <w:vAlign w:val="bottom"/>
          </w:tcPr>
          <w:p>
            <w:pPr>
              <w:jc w:val="right"/>
              <w:spacing w:after="0"/>
              <w:rPr>
                <w:sz w:val="20"/>
                <w:szCs w:val="20"/>
                <w:color w:val="auto"/>
              </w:rPr>
            </w:pPr>
            <w:r>
              <w:rPr>
                <w:rFonts w:ascii="Arial" w:cs="Arial" w:eastAsia="Arial" w:hAnsi="Arial"/>
                <w:sz w:val="16"/>
                <w:szCs w:val="16"/>
                <w:color w:val="auto"/>
              </w:rPr>
              <w:t>2119</w:t>
            </w:r>
          </w:p>
        </w:tc>
        <w:tc>
          <w:tcPr>
            <w:tcW w:w="1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All leases are classified as operating leases unless otherwise specified.</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exercise of all available extension options.</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March 2021, the Company commenced its lease for its corporate headquarters at One Vanderbilt. See note 10, "Related Party Transactions."</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Company owns 50% of the fee interest.</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portion of the lease is classified as a financing lease.</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Company has an option to purchase the ground lease for a fixed price on a specific date. The lease is classified as a financing lease.</w:t>
      </w:r>
    </w:p>
    <w:p>
      <w:pPr>
        <w:spacing w:after="0" w:line="1" w:lineRule="exact"/>
        <w:rPr>
          <w:rFonts w:ascii="Arial" w:cs="Arial" w:eastAsia="Arial" w:hAnsi="Arial"/>
          <w:sz w:val="14"/>
          <w:szCs w:val="14"/>
          <w:color w:val="auto"/>
        </w:rPr>
      </w:pPr>
    </w:p>
    <w:p>
      <w:pPr>
        <w:ind w:left="420" w:right="340" w:hanging="412"/>
        <w:spacing w:after="0" w:line="255" w:lineRule="auto"/>
        <w:tabs>
          <w:tab w:leader="none" w:pos="412"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August 2020, the Company entered into a long-term sublease with an unconsolidated joint venture as part of the capitalization of the 15 Beekman development project. See Note 6, "Investments in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is a schedule of future minimum lease payments as evaluated in accordance with ASC 842 for our financing leases and operating leases with initial terms in excess of one year as of June 30, 2021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Financing leases</w:t>
            </w:r>
          </w:p>
        </w:tc>
        <w:tc>
          <w:tcPr>
            <w:tcW w:w="200" w:type="dxa"/>
            <w:vAlign w:val="bottom"/>
          </w:tcPr>
          <w:p>
            <w:pPr>
              <w:spacing w:after="0"/>
              <w:rPr>
                <w:sz w:val="18"/>
                <w:szCs w:val="18"/>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b w:val="1"/>
                <w:bCs w:val="1"/>
                <w:color w:val="auto"/>
                <w:w w:val="94"/>
              </w:rPr>
              <w:t>Operating leases</w:t>
            </w:r>
          </w:p>
        </w:tc>
      </w:tr>
      <w:tr>
        <w:trPr>
          <w:trHeight w:val="21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2021</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14,647</w:t>
            </w: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29,386</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29,502</w:t>
            </w: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30,545</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30,772</w:t>
            </w: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3,858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30,911</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256,692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631,532</w:t>
            </w:r>
          </w:p>
        </w:tc>
      </w:tr>
      <w:tr>
        <w:trPr>
          <w:trHeight w:val="207"/>
        </w:trPr>
        <w:tc>
          <w:tcPr>
            <w:tcW w:w="7580" w:type="dxa"/>
            <w:vAlign w:val="bottom"/>
          </w:tcPr>
          <w:p>
            <w:pPr>
              <w:ind w:left="20"/>
              <w:spacing w:after="0"/>
              <w:rPr>
                <w:sz w:val="20"/>
                <w:szCs w:val="20"/>
                <w:color w:val="auto"/>
              </w:rPr>
            </w:pPr>
            <w:r>
              <w:rPr>
                <w:rFonts w:ascii="Arial" w:cs="Arial" w:eastAsia="Arial" w:hAnsi="Arial"/>
                <w:sz w:val="16"/>
                <w:szCs w:val="16"/>
                <w:color w:val="auto"/>
              </w:rPr>
              <w:t>Total minimum lease payments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276,834</w:t>
            </w:r>
          </w:p>
        </w:tc>
        <w:tc>
          <w:tcPr>
            <w:tcW w:w="1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797,295</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 representing interest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(152,026)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discounted using incremental borrowing rate</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(353,982)</w:t>
            </w:r>
          </w:p>
        </w:tc>
      </w:tr>
      <w:tr>
        <w:trPr>
          <w:trHeight w:val="23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124,808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443,313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lease cost information for the Company's operating leases for the three and six months ended June 30, 2021 and 2020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620" w:type="dxa"/>
            <w:vAlign w:val="bottom"/>
            <w:gridSpan w:val="4"/>
          </w:tcPr>
          <w:p>
            <w:pPr>
              <w:ind w:left="200"/>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Lease Costs</w:t>
            </w: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costs before capitalized operating lease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7,568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15,135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16,735</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costs capitalized</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(861)</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w w:val="94"/>
              </w:rPr>
              <w:t>(1,689)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w w:val="94"/>
              </w:rPr>
              <w:t>(1,537)</w:t>
            </w:r>
          </w:p>
        </w:tc>
      </w:tr>
      <w:tr>
        <w:trPr>
          <w:trHeight w:val="237"/>
        </w:trPr>
        <w:tc>
          <w:tcPr>
            <w:tcW w:w="5200" w:type="dxa"/>
            <w:vAlign w:val="bottom"/>
            <w:tcBorders>
              <w:bottom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Operating lease costs, net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6,707</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13,446</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15,198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amount is included in operating lease rent in our consolidated statements of operations.</w:t>
      </w:r>
    </w:p>
    <w:p>
      <w:pPr>
        <w:spacing w:after="0" w:line="11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provides lease cost information for the Company's financing leases for the three and six months ended June 30, 2021 and 2020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64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Financing Lease Costs</w:t>
            </w: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financing leases before capitalized interest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Interest on financing leases capitalized</w:t>
            </w: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(1,790)</w:t>
            </w:r>
          </w:p>
        </w:tc>
      </w:tr>
      <w:tr>
        <w:trPr>
          <w:trHeight w:val="212"/>
        </w:trPr>
        <w:tc>
          <w:tcPr>
            <w:tcW w:w="516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Interest on financing leases, net </w:t>
            </w:r>
            <w:r>
              <w:rPr>
                <w:rFonts w:ascii="Arial" w:cs="Arial" w:eastAsia="Arial" w:hAnsi="Arial"/>
                <w:sz w:val="21"/>
                <w:szCs w:val="21"/>
                <w:color w:val="auto"/>
                <w:vertAlign w:val="superscript"/>
              </w:rPr>
              <w:t>(1)</w:t>
            </w: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1,494</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2,986</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w:t>
            </w:r>
          </w:p>
        </w:tc>
      </w:tr>
      <w:tr>
        <w:trPr>
          <w:trHeight w:val="216"/>
        </w:trPr>
        <w:tc>
          <w:tcPr>
            <w:tcW w:w="51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Amortization of right-of-use assets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r>
      <w:tr>
        <w:trPr>
          <w:trHeight w:val="23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lease costs,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1,674</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3,346</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amounts are included in interest expense, net of interest income in our consolidated statements of operations.</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amounts are included in depreciation and amortization in our consolidated statements of operations.</w:t>
      </w:r>
    </w:p>
    <w:p>
      <w:pPr>
        <w:spacing w:after="0" w:line="10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As of June 30, 2021, the weighted-average discount rate used to calculate the lease liabilities was 4.55%. As of June 30, 2021, the weighted-average remaining lease term was 28 years, inclusive of purchase options expected to be exercised.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has two reportable segments, real estate and debt and preferred equity investments. We evaluate real estate performance and allocate resources based on earnings contributions.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primary sources of revenue are generated from tenant rents and escalations and reimbursement revenue. Real estate property operating expenses consist primarily of security, maintenance, utility costs, insurance, real estate taxes and ground rent expense (at certain applicable properties). See Note 5, "Debt and Preferred Equity Investments," for additional details on our debt and preferred equity investments.</w:t>
      </w:r>
    </w:p>
    <w:p>
      <w:pPr>
        <w:spacing w:after="0" w:line="5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Selected consolidated results of operations for the three and six months ended June 30, 2021 and 2020, and selected asset information as of June 30, 2021 and December 31, 2020, regarding our operating segments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Real Estate Segment</w:t>
            </w:r>
          </w:p>
        </w:tc>
        <w:tc>
          <w:tcPr>
            <w:tcW w:w="140" w:type="dxa"/>
            <w:vAlign w:val="bottom"/>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Debt and Preferred</w:t>
            </w:r>
          </w:p>
        </w:tc>
        <w:tc>
          <w:tcPr>
            <w:tcW w:w="220" w:type="dxa"/>
            <w:vAlign w:val="bottom"/>
          </w:tcPr>
          <w:p>
            <w:pPr>
              <w:spacing w:after="0"/>
              <w:rPr>
                <w:sz w:val="16"/>
                <w:szCs w:val="16"/>
                <w:color w:val="auto"/>
              </w:rPr>
            </w:pPr>
          </w:p>
        </w:tc>
        <w:tc>
          <w:tcPr>
            <w:tcW w:w="15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 Company</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Equity Segment</w:t>
            </w:r>
          </w:p>
        </w:tc>
        <w:tc>
          <w:tcPr>
            <w:tcW w:w="2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Three months ended:</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218,107</w:t>
            </w:r>
          </w:p>
        </w:tc>
        <w:tc>
          <w:tcPr>
            <w:tcW w:w="0" w:type="dxa"/>
            <w:vAlign w:val="bottom"/>
          </w:tcPr>
          <w:p>
            <w:pPr>
              <w:spacing w:after="0"/>
              <w:rPr>
                <w:sz w:val="1"/>
                <w:szCs w:val="1"/>
                <w:color w:val="auto"/>
              </w:rPr>
            </w:pPr>
          </w:p>
        </w:tc>
      </w:tr>
      <w:tr>
        <w:trPr>
          <w:trHeight w:val="213"/>
        </w:trPr>
        <w:tc>
          <w:tcPr>
            <w:tcW w:w="5740" w:type="dxa"/>
            <w:vAlign w:val="bottom"/>
          </w:tcPr>
          <w:p>
            <w:pPr>
              <w:ind w:left="360"/>
              <w:spacing w:after="0"/>
              <w:rPr>
                <w:sz w:val="20"/>
                <w:szCs w:val="20"/>
                <w:color w:val="auto"/>
              </w:rPr>
            </w:pPr>
            <w:r>
              <w:rPr>
                <w:rFonts w:ascii="Arial" w:cs="Arial" w:eastAsia="Arial" w:hAnsi="Arial"/>
                <w:sz w:val="16"/>
                <w:szCs w:val="16"/>
                <w:color w:val="auto"/>
              </w:rPr>
              <w:t>June 30, 2020</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213,756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39,943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253,699</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Six months ended:</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360"/>
              <w:spacing w:after="0"/>
              <w:rPr>
                <w:sz w:val="20"/>
                <w:szCs w:val="20"/>
                <w:color w:val="auto"/>
              </w:rPr>
            </w:pPr>
            <w:r>
              <w:rPr>
                <w:rFonts w:ascii="Arial" w:cs="Arial" w:eastAsia="Arial" w:hAnsi="Arial"/>
                <w:sz w:val="16"/>
                <w:szCs w:val="16"/>
                <w:color w:val="auto"/>
              </w:rPr>
              <w:t>June 30, 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404,829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39,380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444,209</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June 30, 2020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568,002</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Three months ended:</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360"/>
              <w:spacing w:after="0"/>
              <w:rPr>
                <w:sz w:val="20"/>
                <w:szCs w:val="20"/>
                <w:color w:val="auto"/>
              </w:rPr>
            </w:pPr>
            <w:r>
              <w:rPr>
                <w:rFonts w:ascii="Arial" w:cs="Arial" w:eastAsia="Arial" w:hAnsi="Arial"/>
                <w:sz w:val="16"/>
                <w:szCs w:val="16"/>
                <w:color w:val="auto"/>
              </w:rPr>
              <w:t>June 30, 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100,239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16,895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117,134</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June 30, 2020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66,627</w:t>
            </w: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Six months ended:</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113,279</w:t>
            </w:r>
          </w:p>
        </w:tc>
        <w:tc>
          <w:tcPr>
            <w:tcW w:w="0" w:type="dxa"/>
            <w:vAlign w:val="bottom"/>
          </w:tcPr>
          <w:p>
            <w:pPr>
              <w:spacing w:after="0"/>
              <w:rPr>
                <w:sz w:val="1"/>
                <w:szCs w:val="1"/>
                <w:color w:val="auto"/>
              </w:rPr>
            </w:pPr>
          </w:p>
        </w:tc>
      </w:tr>
      <w:tr>
        <w:trPr>
          <w:trHeight w:val="213"/>
        </w:trPr>
        <w:tc>
          <w:tcPr>
            <w:tcW w:w="5740" w:type="dxa"/>
            <w:vAlign w:val="bottom"/>
          </w:tcPr>
          <w:p>
            <w:pPr>
              <w:ind w:left="360"/>
              <w:spacing w:after="0"/>
              <w:rPr>
                <w:sz w:val="20"/>
                <w:szCs w:val="20"/>
                <w:color w:val="auto"/>
              </w:rPr>
            </w:pPr>
            <w:r>
              <w:rPr>
                <w:rFonts w:ascii="Arial" w:cs="Arial" w:eastAsia="Arial" w:hAnsi="Arial"/>
                <w:sz w:val="16"/>
                <w:szCs w:val="16"/>
                <w:color w:val="auto"/>
              </w:rPr>
              <w:t>June 30, 2020</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151,290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42,451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193,741</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10,042,944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1,123,220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11,166,164</w:t>
            </w:r>
          </w:p>
        </w:tc>
        <w:tc>
          <w:tcPr>
            <w:tcW w:w="0" w:type="dxa"/>
            <w:vAlign w:val="bottom"/>
          </w:tcPr>
          <w:p>
            <w:pPr>
              <w:spacing w:after="0"/>
              <w:rPr>
                <w:sz w:val="1"/>
                <w:szCs w:val="1"/>
                <w:color w:val="auto"/>
              </w:rPr>
            </w:pPr>
          </w:p>
        </w:tc>
      </w:tr>
      <w:tr>
        <w:trPr>
          <w:trHeight w:val="210"/>
        </w:trPr>
        <w:tc>
          <w:tcPr>
            <w:tcW w:w="5740" w:type="dxa"/>
            <w:vAlign w:val="bottom"/>
          </w:tcPr>
          <w:p>
            <w:pPr>
              <w:ind w:left="360"/>
              <w:spacing w:after="0"/>
              <w:rPr>
                <w:sz w:val="20"/>
                <w:szCs w:val="20"/>
                <w:color w:val="auto"/>
              </w:rPr>
            </w:pPr>
            <w:r>
              <w:rPr>
                <w:rFonts w:ascii="Arial" w:cs="Arial" w:eastAsia="Arial" w:hAnsi="Arial"/>
                <w:sz w:val="16"/>
                <w:szCs w:val="16"/>
                <w:color w:val="auto"/>
              </w:rPr>
              <w:t>December 31, 2020</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10,579,899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1,127,668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11,707,567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Interest costs for the debt and preferred equity segment include actual costs incurred for borrowings on the 2017 MRA and the FHLB Facility. Interest is imputed on the investments that do not collateralize the 2017 MRA and the FHLB Facility using our weighted average corporate borrowing cost. We also allocate loan loss reserves, net of recoveries, and transaction related costs to the debt and preferred equity segment. We do not allocate marketing, general and administrative expenses to the debt and preferred equity segment because the use of personnel and resources is dependent on transaction volume between the two segments and varies between periods. In addition, we base performance on the individual segments prior to allocating marketing, general and administrative expenses. For the three and six months ended June 30, 2021, marketing, general and administrative expenses totaled $22.1 million and $44.9 million, respectively. For the three and six months ended June 30, 2020, marketing, general and administrative expenses totaled $23.5 million and $43.1 million, respectively. All other expenses, except interest, relate entirely to the real estate assets.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transactions between the above two segments.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12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jc w:val="both"/>
        <w:ind w:firstLine="405"/>
        <w:spacing w:after="0" w:line="273" w:lineRule="auto"/>
        <w:rPr>
          <w:sz w:val="20"/>
          <w:szCs w:val="20"/>
          <w:color w:val="auto"/>
        </w:rPr>
      </w:pPr>
      <w:r>
        <w:rPr>
          <w:rFonts w:ascii="Arial" w:cs="Arial" w:eastAsia="Arial" w:hAnsi="Arial"/>
          <w:sz w:val="17"/>
          <w:szCs w:val="17"/>
          <w:color w:val="auto"/>
        </w:rPr>
        <w:t>SL Green Realty Corp., which is referred to as SL Green or the Company,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Company is a self-managed real estate investment trust, or REIT, engaged in the acquisition, development, ownership, management and operation of commercial and residential real estate properties, principally office properties, located in the New York metropolitan area. Unless the context requires otherwise, all references to "we," "our" and "us" means the Company and all entities owned or controlled by the Company, including the Operating Partnership.</w:t>
      </w:r>
    </w:p>
    <w:p>
      <w:pPr>
        <w:spacing w:after="0" w:line="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following discussion related to our consolidated financial statements should be read in conjunction with the financial statements appearing in this Quarterly Report on this Form 10-Q and in Item 8 of our Annual Report on Form 10-K for the year ended December 31, 2020.</w:t>
      </w:r>
    </w:p>
    <w:p>
      <w:pPr>
        <w:spacing w:after="0" w:line="3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June 30, 2021, we owned the following interests in properties in the New York metropolitan area, primarily in midtown Manhattan. Our investments located outside of Manhattan are referred to as the Suburban properties: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ind w:left="660"/>
              <w:spacing w:after="0"/>
              <w:rPr>
                <w:sz w:val="20"/>
                <w:szCs w:val="20"/>
                <w:color w:val="auto"/>
              </w:rPr>
            </w:pPr>
            <w:r>
              <w:rPr>
                <w:rFonts w:ascii="Arial" w:cs="Arial" w:eastAsia="Arial" w:hAnsi="Arial"/>
                <w:sz w:val="14"/>
                <w:szCs w:val="14"/>
                <w:b w:val="1"/>
                <w:bCs w:val="1"/>
                <w:color w:val="auto"/>
              </w:rPr>
              <w:t>Consolidated</w:t>
            </w:r>
          </w:p>
        </w:tc>
        <w:tc>
          <w:tcPr>
            <w:tcW w:w="2320" w:type="dxa"/>
            <w:vAlign w:val="bottom"/>
            <w:gridSpan w:val="4"/>
          </w:tcPr>
          <w:p>
            <w:pPr>
              <w:ind w:left="600"/>
              <w:spacing w:after="0"/>
              <w:rPr>
                <w:sz w:val="20"/>
                <w:szCs w:val="20"/>
                <w:color w:val="auto"/>
              </w:rPr>
            </w:pPr>
            <w:r>
              <w:rPr>
                <w:rFonts w:ascii="Arial" w:cs="Arial" w:eastAsia="Arial" w:hAnsi="Arial"/>
                <w:sz w:val="14"/>
                <w:szCs w:val="14"/>
                <w:b w:val="1"/>
                <w:bCs w:val="1"/>
                <w:color w:val="auto"/>
              </w:rPr>
              <w:t>Unconsolidated</w:t>
            </w:r>
          </w:p>
        </w:tc>
        <w:tc>
          <w:tcPr>
            <w:tcW w:w="860" w:type="dxa"/>
            <w:vAlign w:val="bottom"/>
          </w:tcPr>
          <w:p>
            <w:pPr>
              <w:spacing w:after="0"/>
              <w:rPr>
                <w:sz w:val="16"/>
                <w:szCs w:val="16"/>
                <w:color w:val="auto"/>
              </w:rPr>
            </w:pPr>
          </w:p>
        </w:tc>
        <w:tc>
          <w:tcPr>
            <w:tcW w:w="1220" w:type="dxa"/>
            <w:vAlign w:val="bottom"/>
            <w:gridSpan w:val="3"/>
          </w:tcPr>
          <w:p>
            <w:pPr>
              <w:jc w:val="right"/>
              <w:ind w:right="808"/>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212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Property</w:t>
            </w:r>
          </w:p>
        </w:tc>
        <w:tc>
          <w:tcPr>
            <w:tcW w:w="10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Approximate</w:t>
            </w:r>
          </w:p>
        </w:tc>
        <w:tc>
          <w:tcPr>
            <w:tcW w:w="160" w:type="dxa"/>
            <w:vAlign w:val="bottom"/>
          </w:tcPr>
          <w:p>
            <w:pPr>
              <w:spacing w:after="0"/>
              <w:rPr>
                <w:sz w:val="11"/>
                <w:szCs w:val="11"/>
                <w:color w:val="auto"/>
              </w:rPr>
            </w:pPr>
          </w:p>
        </w:tc>
        <w:tc>
          <w:tcPr>
            <w:tcW w:w="10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Approximate</w:t>
            </w:r>
          </w:p>
        </w:tc>
        <w:tc>
          <w:tcPr>
            <w:tcW w:w="180" w:type="dxa"/>
            <w:vAlign w:val="bottom"/>
          </w:tcPr>
          <w:p>
            <w:pPr>
              <w:spacing w:after="0"/>
              <w:rPr>
                <w:sz w:val="11"/>
                <w:szCs w:val="11"/>
                <w:color w:val="auto"/>
              </w:rPr>
            </w:pPr>
          </w:p>
        </w:tc>
        <w:tc>
          <w:tcPr>
            <w:tcW w:w="8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Number of</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Approximate</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212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Square Feet</w:t>
            </w:r>
          </w:p>
        </w:tc>
        <w:tc>
          <w:tcPr>
            <w:tcW w:w="1080" w:type="dxa"/>
            <w:vAlign w:val="bottom"/>
            <w:gridSpan w:val="2"/>
            <w:vMerge w:val="continue"/>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Square Feet</w:t>
            </w:r>
          </w:p>
        </w:tc>
        <w:tc>
          <w:tcPr>
            <w:tcW w:w="8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Square Feet</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Occupancy</w:t>
            </w:r>
            <w:r>
              <w:rPr>
                <w:rFonts w:ascii="Arial" w:cs="Arial" w:eastAsia="Arial" w:hAnsi="Arial"/>
                <w:sz w:val="10"/>
                <w:szCs w:val="10"/>
                <w:b w:val="1"/>
                <w:bCs w:val="1"/>
                <w:color w:val="auto"/>
                <w:w w:val="93"/>
              </w:rPr>
              <w:t>(1)</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2120" w:type="dxa"/>
            <w:vAlign w:val="bottom"/>
            <w:gridSpan w:val="2"/>
          </w:tcPr>
          <w:p>
            <w:pPr>
              <w:ind w:left="820"/>
              <w:spacing w:after="0"/>
              <w:rPr>
                <w:sz w:val="20"/>
                <w:szCs w:val="20"/>
                <w:color w:val="auto"/>
              </w:rPr>
            </w:pPr>
            <w:r>
              <w:rPr>
                <w:rFonts w:ascii="Arial" w:cs="Arial" w:eastAsia="Arial" w:hAnsi="Arial"/>
                <w:sz w:val="14"/>
                <w:szCs w:val="14"/>
                <w:b w:val="1"/>
                <w:bCs w:val="1"/>
                <w:color w:val="auto"/>
              </w:rPr>
              <w:t>Type</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Buildings</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(unaudited)</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Buildings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Buildings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84"/>
        </w:trPr>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Commercial:</w:t>
            </w:r>
          </w:p>
        </w:tc>
        <w:tc>
          <w:tcPr>
            <w:tcW w:w="1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Manhattan</w:t>
            </w:r>
          </w:p>
        </w:tc>
        <w:tc>
          <w:tcPr>
            <w:tcW w:w="2120" w:type="dxa"/>
            <w:vAlign w:val="bottom"/>
            <w:gridSpan w:val="2"/>
          </w:tcPr>
          <w:p>
            <w:pPr>
              <w:ind w:left="120"/>
              <w:spacing w:after="0"/>
              <w:rPr>
                <w:sz w:val="20"/>
                <w:szCs w:val="20"/>
                <w:color w:val="auto"/>
              </w:rPr>
            </w:pPr>
            <w:r>
              <w:rPr>
                <w:rFonts w:ascii="Arial" w:cs="Arial" w:eastAsia="Arial" w:hAnsi="Arial"/>
                <w:sz w:val="14"/>
                <w:szCs w:val="14"/>
                <w:color w:val="auto"/>
              </w:rPr>
              <w:t>Office</w:t>
            </w: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10,259,345</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10,869,183</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21,128,528</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93.0 %</w:t>
            </w:r>
          </w:p>
        </w:tc>
        <w:tc>
          <w:tcPr>
            <w:tcW w:w="0" w:type="dxa"/>
            <w:vAlign w:val="bottom"/>
          </w:tcPr>
          <w:p>
            <w:pPr>
              <w:spacing w:after="0"/>
              <w:rPr>
                <w:sz w:val="1"/>
                <w:szCs w:val="1"/>
                <w:color w:val="auto"/>
              </w:rPr>
            </w:pPr>
          </w:p>
        </w:tc>
      </w:tr>
      <w:tr>
        <w:trPr>
          <w:trHeight w:val="192"/>
        </w:trPr>
        <w:tc>
          <w:tcPr>
            <w:tcW w:w="98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10,040</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301,996</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312,036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90.5 %</w:t>
            </w: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2120" w:type="dxa"/>
            <w:vAlign w:val="bottom"/>
            <w:gridSpan w:val="2"/>
          </w:tcPr>
          <w:p>
            <w:pPr>
              <w:ind w:left="120"/>
              <w:spacing w:after="0"/>
              <w:rPr>
                <w:sz w:val="20"/>
                <w:szCs w:val="20"/>
                <w:color w:val="auto"/>
              </w:rPr>
            </w:pPr>
            <w:r>
              <w:rPr>
                <w:rFonts w:ascii="Arial" w:cs="Arial" w:eastAsia="Arial" w:hAnsi="Arial"/>
                <w:sz w:val="14"/>
                <w:szCs w:val="14"/>
                <w:color w:val="auto"/>
                <w:w w:val="98"/>
              </w:rPr>
              <w:t xml:space="preserve">Development/Redevelopment </w:t>
            </w:r>
            <w:r>
              <w:rPr>
                <w:rFonts w:ascii="Arial" w:cs="Arial" w:eastAsia="Arial" w:hAnsi="Arial"/>
                <w:sz w:val="10"/>
                <w:szCs w:val="10"/>
                <w:color w:val="auto"/>
                <w:w w:val="98"/>
              </w:rPr>
              <w:t>(1)</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1,912,984</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2,927,782</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4,840,766</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6"/>
        </w:trPr>
        <w:tc>
          <w:tcPr>
            <w:tcW w:w="9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12,182,369</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14,098,961</w:t>
            </w: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26,281,330</w:t>
            </w:r>
          </w:p>
        </w:tc>
        <w:tc>
          <w:tcPr>
            <w:tcW w:w="13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93.0 %</w:t>
            </w:r>
          </w:p>
        </w:tc>
        <w:tc>
          <w:tcPr>
            <w:tcW w:w="0" w:type="dxa"/>
            <w:vAlign w:val="bottom"/>
          </w:tcPr>
          <w:p>
            <w:pPr>
              <w:spacing w:after="0"/>
              <w:rPr>
                <w:sz w:val="1"/>
                <w:szCs w:val="1"/>
                <w:color w:val="auto"/>
              </w:rPr>
            </w:pPr>
          </w:p>
        </w:tc>
      </w:tr>
      <w:tr>
        <w:trPr>
          <w:trHeight w:val="186"/>
        </w:trPr>
        <w:tc>
          <w:tcPr>
            <w:tcW w:w="980" w:type="dxa"/>
            <w:vAlign w:val="bottom"/>
          </w:tcPr>
          <w:p>
            <w:pPr>
              <w:ind w:left="20"/>
              <w:spacing w:after="0"/>
              <w:rPr>
                <w:sz w:val="20"/>
                <w:szCs w:val="20"/>
                <w:color w:val="auto"/>
              </w:rPr>
            </w:pPr>
            <w:r>
              <w:rPr>
                <w:rFonts w:ascii="Arial" w:cs="Arial" w:eastAsia="Arial" w:hAnsi="Arial"/>
                <w:sz w:val="14"/>
                <w:szCs w:val="14"/>
                <w:color w:val="auto"/>
              </w:rPr>
              <w:t>Suburban</w:t>
            </w:r>
          </w:p>
        </w:tc>
        <w:tc>
          <w:tcPr>
            <w:tcW w:w="2120" w:type="dxa"/>
            <w:vAlign w:val="bottom"/>
            <w:gridSpan w:val="2"/>
          </w:tcPr>
          <w:p>
            <w:pPr>
              <w:ind w:left="120"/>
              <w:spacing w:after="0"/>
              <w:rPr>
                <w:sz w:val="20"/>
                <w:szCs w:val="20"/>
                <w:color w:val="auto"/>
              </w:rPr>
            </w:pPr>
            <w:r>
              <w:rPr>
                <w:rFonts w:ascii="Arial" w:cs="Arial" w:eastAsia="Arial" w:hAnsi="Arial"/>
                <w:sz w:val="14"/>
                <w:szCs w:val="14"/>
                <w:color w:val="auto"/>
              </w:rPr>
              <w:t>Office</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862,800</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862,800</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82.4 %</w:t>
            </w:r>
          </w:p>
        </w:tc>
        <w:tc>
          <w:tcPr>
            <w:tcW w:w="0" w:type="dxa"/>
            <w:vAlign w:val="bottom"/>
          </w:tcPr>
          <w:p>
            <w:pPr>
              <w:spacing w:after="0"/>
              <w:rPr>
                <w:sz w:val="1"/>
                <w:szCs w:val="1"/>
                <w:color w:val="auto"/>
              </w:rPr>
            </w:pPr>
          </w:p>
        </w:tc>
      </w:tr>
      <w:tr>
        <w:trPr>
          <w:trHeight w:val="186"/>
        </w:trPr>
        <w:tc>
          <w:tcPr>
            <w:tcW w:w="310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4"/>
                <w:szCs w:val="14"/>
                <w:color w:val="auto"/>
              </w:rPr>
              <w:t>Total commercial properties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13,045,169</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14,098,961</w:t>
            </w: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27,144,130</w:t>
            </w:r>
          </w:p>
        </w:tc>
        <w:tc>
          <w:tcPr>
            <w:tcW w:w="13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92.6 %</w:t>
            </w:r>
          </w:p>
        </w:tc>
        <w:tc>
          <w:tcPr>
            <w:tcW w:w="0" w:type="dxa"/>
            <w:vAlign w:val="bottom"/>
          </w:tcPr>
          <w:p>
            <w:pPr>
              <w:spacing w:after="0"/>
              <w:rPr>
                <w:sz w:val="1"/>
                <w:szCs w:val="1"/>
                <w:color w:val="auto"/>
              </w:rPr>
            </w:pPr>
          </w:p>
        </w:tc>
      </w:tr>
      <w:tr>
        <w:trPr>
          <w:trHeight w:val="168"/>
        </w:trPr>
        <w:tc>
          <w:tcPr>
            <w:tcW w:w="980" w:type="dxa"/>
            <w:vAlign w:val="bottom"/>
          </w:tcPr>
          <w:p>
            <w:pPr>
              <w:ind w:left="20"/>
              <w:spacing w:after="0"/>
              <w:rPr>
                <w:sz w:val="20"/>
                <w:szCs w:val="20"/>
                <w:color w:val="auto"/>
              </w:rPr>
            </w:pPr>
            <w:r>
              <w:rPr>
                <w:rFonts w:ascii="Arial" w:cs="Arial" w:eastAsia="Arial" w:hAnsi="Arial"/>
                <w:sz w:val="14"/>
                <w:szCs w:val="14"/>
                <w:b w:val="1"/>
                <w:bCs w:val="1"/>
                <w:color w:val="auto"/>
              </w:rPr>
              <w:t>Residential:</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Manhattan</w:t>
            </w:r>
          </w:p>
        </w:tc>
        <w:tc>
          <w:tcPr>
            <w:tcW w:w="2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82,250</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736,416</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818,666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74.0 %</w:t>
            </w:r>
          </w:p>
        </w:tc>
        <w:tc>
          <w:tcPr>
            <w:tcW w:w="0" w:type="dxa"/>
            <w:vAlign w:val="bottom"/>
          </w:tcPr>
          <w:p>
            <w:pPr>
              <w:spacing w:after="0"/>
              <w:rPr>
                <w:sz w:val="1"/>
                <w:szCs w:val="1"/>
                <w:color w:val="auto"/>
              </w:rPr>
            </w:pPr>
          </w:p>
        </w:tc>
      </w:tr>
      <w:tr>
        <w:trPr>
          <w:trHeight w:val="183"/>
        </w:trPr>
        <w:tc>
          <w:tcPr>
            <w:tcW w:w="980" w:type="dxa"/>
            <w:vAlign w:val="bottom"/>
          </w:tcPr>
          <w:p>
            <w:pPr>
              <w:ind w:left="20"/>
              <w:spacing w:after="0"/>
              <w:rPr>
                <w:sz w:val="20"/>
                <w:szCs w:val="20"/>
                <w:color w:val="auto"/>
              </w:rPr>
            </w:pPr>
            <w:r>
              <w:rPr>
                <w:rFonts w:ascii="Arial" w:cs="Arial" w:eastAsia="Arial" w:hAnsi="Arial"/>
                <w:sz w:val="14"/>
                <w:szCs w:val="14"/>
                <w:color w:val="auto"/>
              </w:rPr>
              <w:t>Total portfolio</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13,127,419</w:t>
            </w:r>
          </w:p>
        </w:tc>
        <w:tc>
          <w:tcPr>
            <w:tcW w:w="16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14,835,377</w:t>
            </w:r>
          </w:p>
        </w:tc>
        <w:tc>
          <w:tcPr>
            <w:tcW w:w="1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27,962,796</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92.0 %</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420" w:hanging="412"/>
        <w:spacing w:after="0" w:line="257" w:lineRule="auto"/>
        <w:tabs>
          <w:tab w:leader="none" w:pos="412"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footage divided by the total square footage at acquisition. The weighted average occupancy for residential properties represents the total occupied units divided by the total available units. Properties under construction are not included in the calculation of weighted average occupancy.</w:t>
      </w:r>
    </w:p>
    <w:p>
      <w:pPr>
        <w:spacing w:after="0" w:line="8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June 30, 2021, we also managed two office buildings owned by third parties encompassing approximately 2.1 million square feet (unaudited), and held debt and preferred equity investments with a book value of $1.1 billion, excluding approximately $0.1 billion of debt and preferred equity investments and other financing receivables that are included in other balance sheet line items other than the Debt and preferred equity investments line item.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Refer to the 2020 Annual Report on Form 10-K of the Company and the Operating Partnership for a discussion of our critical accounting policies, which include investment in commercial real estate properties, investment in unconsolidated joint ventures, lease classification, revenue recognition, and debt and preferred equity investments. During the three and six months ended June 30, 2021, there were no material changes to these policies.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COVID-19 pandemic has caused, and continues to cause, severe disruptions with wide ranging impacts to the global economy and everyday life. Our business, results of operations, liquidity, cash flows, prospects, and our ability to achieve forward-looking targets and expectations could be materially and adversely affected. This could also cause significant volatility in the trading prices of our securities. The extent of the impact of the COVID-19 pandemic will depend on future developments, including the duration, severity and spread of the pandemic, health and safety actions taken to contain its spread including vaccination efforts, the impact of new variants, and how quickly and to what extent normal economic and operating conditions can resume. Additionally, the COVID-19 pandemic could increase the magnitude of many of the other risks described in our latest Annual Report on Form 10-K and our other SEC filings and may have other adverse effects on our operations that we are not currently able to predict.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to the three months ended June 30, 2020</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comparison for the three months ended June 30, 2021, or 2021, to the three months ended June 30, 2020, or 2020, makes reference to the effect of the following:</w:t>
      </w:r>
    </w:p>
    <w:p>
      <w:pPr>
        <w:spacing w:after="0" w:line="116" w:lineRule="exact"/>
        <w:rPr>
          <w:sz w:val="20"/>
          <w:szCs w:val="20"/>
          <w:color w:val="auto"/>
        </w:rPr>
      </w:pPr>
    </w:p>
    <w:p>
      <w:pPr>
        <w:ind w:left="660" w:hanging="247"/>
        <w:spacing w:after="0" w:line="258" w:lineRule="auto"/>
        <w:tabs>
          <w:tab w:leader="none" w:pos="6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“Same-Store Properties,” which represents all operating properties owned by us at January 1, 2020 and still owned by us in the same manner at June 30, 2021 (Same-Store Properties totaled 23 of our 32 consolidated operating buildings),</w:t>
      </w:r>
    </w:p>
    <w:p>
      <w:pPr>
        <w:spacing w:after="0" w:line="1" w:lineRule="exact"/>
        <w:rPr>
          <w:rFonts w:ascii="Arial" w:cs="Arial" w:eastAsia="Arial" w:hAnsi="Arial"/>
          <w:sz w:val="18"/>
          <w:szCs w:val="18"/>
          <w:color w:val="auto"/>
        </w:rPr>
      </w:pPr>
    </w:p>
    <w:p>
      <w:pPr>
        <w:ind w:left="660" w:hanging="247"/>
        <w:spacing w:after="0" w:line="250" w:lineRule="auto"/>
        <w:tabs>
          <w:tab w:leader="none" w:pos="6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“Acquisition Properties,” which represents all properties or interests in properties acquired in 2021 and 2020 and all non-Same-Store Properties, including properties that are under development or redevelopment,</w:t>
      </w:r>
    </w:p>
    <w:p>
      <w:pPr>
        <w:ind w:left="640" w:hanging="227"/>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"Disposed Properties," which represents all properties or interests in properties sold in 2021 and 2020, and</w:t>
      </w:r>
    </w:p>
    <w:p>
      <w:pPr>
        <w:spacing w:after="0" w:line="9" w:lineRule="exact"/>
        <w:rPr>
          <w:rFonts w:ascii="Arial" w:cs="Arial" w:eastAsia="Arial" w:hAnsi="Arial"/>
          <w:sz w:val="18"/>
          <w:szCs w:val="18"/>
          <w:color w:val="auto"/>
        </w:rPr>
      </w:pPr>
    </w:p>
    <w:p>
      <w:pPr>
        <w:ind w:left="660" w:hanging="247"/>
        <w:spacing w:after="0" w:line="260"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which represents properties where we sold an interest resulting in deconsolidation and corporate level items not allocable to specific properties, as well as the Service Corporation and eEmerge Inc.</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jc w:val="right"/>
              <w:ind w:right="210"/>
              <w:spacing w:after="0"/>
              <w:rPr>
                <w:sz w:val="20"/>
                <w:szCs w:val="20"/>
                <w:color w:val="auto"/>
              </w:rPr>
            </w:pPr>
            <w:r>
              <w:rPr>
                <w:rFonts w:ascii="Arial" w:cs="Arial" w:eastAsia="Arial" w:hAnsi="Arial"/>
                <w:sz w:val="13"/>
                <w:szCs w:val="13"/>
                <w:b w:val="1"/>
                <w:bCs w:val="1"/>
                <w:color w:val="auto"/>
              </w:rPr>
              <w:t>Same-Store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4"/>
          </w:tcPr>
          <w:p>
            <w:pPr>
              <w:ind w:left="280"/>
              <w:spacing w:after="0"/>
              <w:rPr>
                <w:sz w:val="20"/>
                <w:szCs w:val="20"/>
                <w:color w:val="auto"/>
              </w:rPr>
            </w:pPr>
            <w:r>
              <w:rPr>
                <w:rFonts w:ascii="Arial" w:cs="Arial" w:eastAsia="Arial" w:hAnsi="Arial"/>
                <w:sz w:val="13"/>
                <w:szCs w:val="13"/>
                <w:b w:val="1"/>
                <w:bCs w:val="1"/>
                <w:color w:val="auto"/>
              </w:rPr>
              <w:t>Disposed</w:t>
            </w: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Other</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4"/>
          </w:tcPr>
          <w:p>
            <w:pPr>
              <w:jc w:val="center"/>
              <w:ind w:left="29"/>
              <w:spacing w:after="0"/>
              <w:rPr>
                <w:sz w:val="20"/>
                <w:szCs w:val="20"/>
                <w:color w:val="auto"/>
              </w:rPr>
            </w:pPr>
            <w:r>
              <w:rPr>
                <w:rFonts w:ascii="Arial" w:cs="Arial" w:eastAsia="Arial" w:hAnsi="Arial"/>
                <w:sz w:val="13"/>
                <w:szCs w:val="13"/>
                <w:b w:val="1"/>
                <w:bCs w:val="1"/>
                <w:color w:val="auto"/>
                <w:w w:val="87"/>
              </w:rPr>
              <w:t>Consolidated</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680" w:type="dxa"/>
            <w:vAlign w:val="bottom"/>
            <w:tcBorders>
              <w:top w:val="single" w:sz="8" w:color="auto"/>
            </w:tcBorders>
            <w:vMerge w:val="restart"/>
          </w:tcPr>
          <w:p>
            <w:pPr>
              <w:jc w:val="right"/>
              <w:ind w:right="149"/>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190"/>
              <w:spacing w:after="0" w:line="122" w:lineRule="exact"/>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tcBorders>
            <w:gridSpan w:val="2"/>
          </w:tcPr>
          <w:p>
            <w:pPr>
              <w:jc w:val="right"/>
              <w:ind w:right="330"/>
              <w:spacing w:after="0" w:line="122"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4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4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229"/>
              <w:spacing w:after="0" w:line="122" w:lineRule="exact"/>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tcBorders>
            <w:gridSpan w:val="2"/>
          </w:tcPr>
          <w:p>
            <w:pPr>
              <w:jc w:val="right"/>
              <w:ind w:right="353"/>
              <w:spacing w:after="0" w:line="122"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1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30"/>
              <w:spacing w:after="0"/>
              <w:rPr>
                <w:sz w:val="20"/>
                <w:szCs w:val="20"/>
                <w:color w:val="auto"/>
              </w:rPr>
            </w:pPr>
            <w:r>
              <w:rPr>
                <w:rFonts w:ascii="Arial" w:cs="Arial" w:eastAsia="Arial" w:hAnsi="Arial"/>
                <w:sz w:val="13"/>
                <w:szCs w:val="13"/>
                <w:b w:val="1"/>
                <w:bCs w:val="1"/>
                <w:color w:val="auto"/>
                <w:w w:val="83"/>
              </w:rPr>
              <w:t>Change</w:t>
            </w:r>
          </w:p>
        </w:tc>
        <w:tc>
          <w:tcPr>
            <w:tcW w:w="120" w:type="dxa"/>
            <w:vAlign w:val="bottom"/>
          </w:tcPr>
          <w:p>
            <w:pPr>
              <w:spacing w:after="0"/>
              <w:rPr>
                <w:sz w:val="14"/>
                <w:szCs w:val="14"/>
                <w:color w:val="auto"/>
              </w:rPr>
            </w:pP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49"/>
              <w:spacing w:after="0"/>
              <w:rPr>
                <w:sz w:val="20"/>
                <w:szCs w:val="20"/>
                <w:color w:val="auto"/>
              </w:rPr>
            </w:pPr>
            <w:r>
              <w:rPr>
                <w:rFonts w:ascii="Arial" w:cs="Arial" w:eastAsia="Arial" w:hAnsi="Arial"/>
                <w:sz w:val="13"/>
                <w:szCs w:val="13"/>
                <w:b w:val="1"/>
                <w:bCs w:val="1"/>
                <w:color w:val="auto"/>
                <w:w w:val="83"/>
              </w:rPr>
              <w:t>Change</w:t>
            </w:r>
          </w:p>
        </w:tc>
        <w:tc>
          <w:tcPr>
            <w:tcW w:w="100" w:type="dxa"/>
            <w:vAlign w:val="bottom"/>
          </w:tcPr>
          <w:p>
            <w:pPr>
              <w:spacing w:after="0"/>
              <w:rPr>
                <w:sz w:val="14"/>
                <w:szCs w:val="14"/>
                <w:color w:val="auto"/>
              </w:rPr>
            </w:pPr>
          </w:p>
        </w:tc>
        <w:tc>
          <w:tcPr>
            <w:tcW w:w="960" w:type="dxa"/>
            <w:vAlign w:val="bottom"/>
          </w:tcPr>
          <w:p>
            <w:pPr>
              <w:jc w:val="right"/>
              <w:ind w:right="21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Rental revenue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156.6</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155.9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14.0</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23.0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6"/>
        </w:trPr>
        <w:tc>
          <w:tcPr>
            <w:tcW w:w="1740" w:type="dxa"/>
            <w:vAlign w:val="bottom"/>
          </w:tcPr>
          <w:p>
            <w:pPr>
              <w:ind w:left="20"/>
              <w:spacing w:after="0"/>
              <w:rPr>
                <w:sz w:val="20"/>
                <w:szCs w:val="20"/>
                <w:color w:val="auto"/>
              </w:rPr>
            </w:pPr>
            <w:r>
              <w:rPr>
                <w:rFonts w:ascii="Arial" w:cs="Arial" w:eastAsia="Arial" w:hAnsi="Arial"/>
                <w:sz w:val="13"/>
                <w:szCs w:val="13"/>
                <w:color w:val="auto"/>
              </w:rPr>
              <w:t>Investment income</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79"/>
        </w:trPr>
        <w:tc>
          <w:tcPr>
            <w:tcW w:w="1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157.8</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166.7</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53.2</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253.7</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91"/>
        </w:trPr>
        <w:tc>
          <w:tcPr>
            <w:tcW w:w="17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740" w:type="dxa"/>
            <w:vAlign w:val="bottom"/>
          </w:tcPr>
          <w:p>
            <w:pPr>
              <w:ind w:left="20"/>
              <w:spacing w:after="0"/>
              <w:rPr>
                <w:sz w:val="20"/>
                <w:szCs w:val="20"/>
                <w:color w:val="auto"/>
              </w:rPr>
            </w:pPr>
            <w:r>
              <w:rPr>
                <w:rFonts w:ascii="Arial" w:cs="Arial" w:eastAsia="Arial" w:hAnsi="Arial"/>
                <w:sz w:val="13"/>
                <w:szCs w:val="13"/>
                <w:color w:val="auto"/>
              </w:rPr>
              <w:t>Property operating expenses</w:t>
            </w:r>
          </w:p>
        </w:tc>
        <w:tc>
          <w:tcPr>
            <w:tcW w:w="680" w:type="dxa"/>
            <w:vAlign w:val="bottom"/>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related costs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Arial" w:cs="Arial" w:eastAsia="Arial" w:hAnsi="Arial"/>
                <w:sz w:val="13"/>
                <w:szCs w:val="13"/>
                <w:color w:val="auto"/>
              </w:rPr>
              <w:t>Marketing, general and</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91"/>
        </w:trPr>
        <w:tc>
          <w:tcPr>
            <w:tcW w:w="1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(expenses):</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Arial" w:cs="Arial" w:eastAsia="Arial" w:hAnsi="Arial"/>
                <w:sz w:val="13"/>
                <w:szCs w:val="13"/>
                <w:color w:val="auto"/>
              </w:rPr>
              <w:t>Interest expense and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3"/>
                <w:szCs w:val="13"/>
                <w:color w:val="auto"/>
              </w:rPr>
              <w:t>amortization of deferred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Arial" w:cs="Arial" w:eastAsia="Arial" w:hAnsi="Arial"/>
                <w:sz w:val="13"/>
                <w:szCs w:val="13"/>
                <w:color w:val="auto"/>
                <w:w w:val="98"/>
              </w:rPr>
              <w:t>financing costs, net of interest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income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Depreciation and amortization</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3"/>
                <w:szCs w:val="13"/>
                <w:color w:val="auto"/>
              </w:rPr>
              <w:t>Equity in net loss from</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490.9 %</w:t>
            </w: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unconsolidated joint ventures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Equity in net gain on sale of</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7"/>
              </w:rPr>
              <w:t>interest in unconsolidated joint</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venture/real estate</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40" w:type="dxa"/>
            <w:vAlign w:val="bottom"/>
          </w:tcPr>
          <w:p>
            <w:pPr>
              <w:ind w:left="20"/>
              <w:spacing w:after="0" w:line="122" w:lineRule="exact"/>
              <w:rPr>
                <w:sz w:val="20"/>
                <w:szCs w:val="20"/>
                <w:color w:val="auto"/>
              </w:rPr>
            </w:pPr>
            <w:r>
              <w:rPr>
                <w:rFonts w:ascii="Arial" w:cs="Arial" w:eastAsia="Arial" w:hAnsi="Arial"/>
                <w:sz w:val="13"/>
                <w:szCs w:val="13"/>
                <w:color w:val="auto"/>
              </w:rPr>
              <w:t>Purchase price and other fair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69"/>
        </w:trPr>
        <w:tc>
          <w:tcPr>
            <w:tcW w:w="1740" w:type="dxa"/>
            <w:vAlign w:val="bottom"/>
          </w:tcPr>
          <w:p>
            <w:pPr>
              <w:ind w:left="20"/>
              <w:spacing w:after="0"/>
              <w:rPr>
                <w:sz w:val="20"/>
                <w:szCs w:val="20"/>
                <w:color w:val="auto"/>
              </w:rPr>
            </w:pPr>
            <w:r>
              <w:rPr>
                <w:rFonts w:ascii="Arial" w:cs="Arial" w:eastAsia="Arial" w:hAnsi="Arial"/>
                <w:sz w:val="13"/>
                <w:szCs w:val="13"/>
                <w:color w:val="auto"/>
              </w:rPr>
              <w:t>value adjustments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Gain on sale of real estate, net</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52.5 %</w:t>
            </w:r>
          </w:p>
        </w:tc>
        <w:tc>
          <w:tcPr>
            <w:tcW w:w="0" w:type="dxa"/>
            <w:vAlign w:val="bottom"/>
          </w:tcPr>
          <w:p>
            <w:pPr>
              <w:spacing w:after="0"/>
              <w:rPr>
                <w:sz w:val="1"/>
                <w:szCs w:val="1"/>
                <w:color w:val="auto"/>
              </w:rPr>
            </w:pPr>
          </w:p>
        </w:tc>
      </w:tr>
      <w:tr>
        <w:trPr>
          <w:trHeight w:val="121"/>
        </w:trPr>
        <w:tc>
          <w:tcPr>
            <w:tcW w:w="1740" w:type="dxa"/>
            <w:vAlign w:val="bottom"/>
          </w:tcPr>
          <w:p>
            <w:pPr>
              <w:ind w:left="20"/>
              <w:spacing w:after="0" w:line="122" w:lineRule="exact"/>
              <w:rPr>
                <w:sz w:val="20"/>
                <w:szCs w:val="20"/>
                <w:color w:val="auto"/>
              </w:rPr>
            </w:pPr>
            <w:r>
              <w:rPr>
                <w:rFonts w:ascii="Arial" w:cs="Arial" w:eastAsia="Arial" w:hAnsi="Arial"/>
                <w:sz w:val="13"/>
                <w:szCs w:val="13"/>
                <w:color w:val="auto"/>
              </w:rPr>
              <w:t>Depreciable real estate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reserves and impairment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94"/>
              </w:rPr>
              <w:t>Loan loss and other investment</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reserves, net of recoveries</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75.8 %</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Revenue</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Rental revenues decreased primarily due to properties moved into redevelopment ($12.6 million) and our Disposed Properties ($9.0 million), partially offset by the addition of 885 Third Avenue to the consolidated portfolio in the first quarter of 2021 ($10.8 million).</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presents a summary of the commenced leasing activity for the three months ended June 30, 2021 in our Manhattan portfolio: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Prev.</w:t>
            </w:r>
          </w:p>
        </w:tc>
        <w:tc>
          <w:tcPr>
            <w:tcW w:w="16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TI/LC</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New Cash</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Escalated</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Free</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Usable</w:t>
            </w:r>
          </w:p>
        </w:tc>
        <w:tc>
          <w:tcPr>
            <w:tcW w:w="10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Rentable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Rent (per</w:t>
            </w: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per</w:t>
            </w:r>
          </w:p>
        </w:tc>
        <w:tc>
          <w:tcPr>
            <w:tcW w:w="1080" w:type="dxa"/>
            <w:vAlign w:val="bottom"/>
            <w:gridSpan w:val="2"/>
            <w:vMerge w:val="continue"/>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Rent (per</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rentable</w:t>
            </w: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rentable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Rent (in</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Term (in</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SF</w:t>
            </w:r>
          </w:p>
        </w:tc>
        <w:tc>
          <w:tcPr>
            <w:tcW w:w="1020" w:type="dxa"/>
            <w:vAlign w:val="bottom"/>
          </w:tcPr>
          <w:p>
            <w:pPr>
              <w:jc w:val="right"/>
              <w:ind w:right="368"/>
              <w:spacing w:after="0"/>
              <w:rPr>
                <w:sz w:val="20"/>
                <w:szCs w:val="20"/>
                <w:color w:val="auto"/>
              </w:rPr>
            </w:pPr>
            <w:r>
              <w:rPr>
                <w:rFonts w:ascii="Arial" w:cs="Arial" w:eastAsia="Arial" w:hAnsi="Arial"/>
                <w:sz w:val="14"/>
                <w:szCs w:val="14"/>
                <w:b w:val="1"/>
                <w:bCs w:val="1"/>
                <w:color w:val="auto"/>
              </w:rPr>
              <w:t>SF</w:t>
            </w:r>
          </w:p>
        </w:tc>
        <w:tc>
          <w:tcPr>
            <w:tcW w:w="100" w:type="dxa"/>
            <w:vAlign w:val="bottom"/>
          </w:tcPr>
          <w:p>
            <w:pPr>
              <w:spacing w:after="0"/>
              <w:rPr>
                <w:sz w:val="16"/>
                <w:szCs w:val="16"/>
                <w:color w:val="auto"/>
              </w:rPr>
            </w:pPr>
          </w:p>
        </w:tc>
        <w:tc>
          <w:tcPr>
            <w:tcW w:w="1100" w:type="dxa"/>
            <w:vAlign w:val="bottom"/>
            <w:gridSpan w:val="3"/>
          </w:tcPr>
          <w:p>
            <w:pPr>
              <w:jc w:val="center"/>
              <w:ind w:right="100"/>
              <w:spacing w:after="0" w:line="189" w:lineRule="exact"/>
              <w:rPr>
                <w:sz w:val="20"/>
                <w:szCs w:val="20"/>
                <w:color w:val="auto"/>
              </w:rPr>
            </w:pPr>
            <w:r>
              <w:rPr>
                <w:rFonts w:ascii="Arial" w:cs="Arial" w:eastAsia="Arial" w:hAnsi="Arial"/>
                <w:sz w:val="14"/>
                <w:szCs w:val="14"/>
                <w:b w:val="1"/>
                <w:bCs w:val="1"/>
                <w:color w:val="auto"/>
                <w:w w:val="92"/>
              </w:rPr>
              <w:t xml:space="preserve">rentable SF) </w:t>
            </w:r>
            <w:r>
              <w:rPr>
                <w:rFonts w:ascii="Arial" w:cs="Arial" w:eastAsia="Arial" w:hAnsi="Arial"/>
                <w:sz w:val="18"/>
                <w:szCs w:val="18"/>
                <w:b w:val="1"/>
                <w:bCs w:val="1"/>
                <w:color w:val="auto"/>
                <w:w w:val="92"/>
                <w:vertAlign w:val="superscript"/>
              </w:rPr>
              <w:t>(1)</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87"/>
              </w:rPr>
              <w:t xml:space="preserve">SF) </w:t>
            </w:r>
            <w:r>
              <w:rPr>
                <w:rFonts w:ascii="Arial" w:cs="Arial" w:eastAsia="Arial" w:hAnsi="Arial"/>
                <w:sz w:val="18"/>
                <w:szCs w:val="18"/>
                <w:b w:val="1"/>
                <w:bCs w:val="1"/>
                <w:color w:val="auto"/>
                <w:w w:val="87"/>
                <w:vertAlign w:val="superscript"/>
              </w:rPr>
              <w:t>(2)</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SF</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months)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Manhattan</w:t>
            </w: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Space available at beginning of the period</w:t>
            </w:r>
          </w:p>
        </w:tc>
        <w:tc>
          <w:tcPr>
            <w:tcW w:w="1100" w:type="dxa"/>
            <w:vAlign w:val="bottom"/>
          </w:tcPr>
          <w:p>
            <w:pPr>
              <w:jc w:val="right"/>
              <w:spacing w:after="0"/>
              <w:rPr>
                <w:sz w:val="20"/>
                <w:szCs w:val="20"/>
                <w:color w:val="auto"/>
              </w:rPr>
            </w:pPr>
            <w:r>
              <w:rPr>
                <w:rFonts w:ascii="Arial" w:cs="Arial" w:eastAsia="Arial" w:hAnsi="Arial"/>
                <w:sz w:val="14"/>
                <w:szCs w:val="14"/>
                <w:color w:val="auto"/>
              </w:rPr>
              <w:t>1,414,540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gridSpan w:val="3"/>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Space which became available during the period </w:t>
            </w:r>
            <w:r>
              <w:rPr>
                <w:rFonts w:ascii="Arial" w:cs="Arial" w:eastAsia="Arial" w:hAnsi="Arial"/>
                <w:sz w:val="18"/>
                <w:szCs w:val="18"/>
                <w:color w:val="auto"/>
                <w:vertAlign w:val="superscript"/>
              </w:rPr>
              <w:t>(3)</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580" w:type="dxa"/>
            <w:vAlign w:val="bottom"/>
          </w:tcPr>
          <w:p>
            <w:pPr>
              <w:ind w:left="280"/>
              <w:spacing w:after="0"/>
              <w:rPr>
                <w:sz w:val="20"/>
                <w:szCs w:val="20"/>
                <w:color w:val="auto"/>
              </w:rPr>
            </w:pPr>
            <w:r>
              <w:rPr>
                <w:rFonts w:ascii="Arial" w:cs="Arial" w:eastAsia="Arial" w:hAnsi="Arial"/>
                <w:sz w:val="14"/>
                <w:szCs w:val="14"/>
                <w:color w:val="auto"/>
              </w:rPr>
              <w:t>•</w:t>
            </w:r>
          </w:p>
        </w:tc>
        <w:tc>
          <w:tcPr>
            <w:tcW w:w="2660" w:type="dxa"/>
            <w:vAlign w:val="bottom"/>
          </w:tcPr>
          <w:p>
            <w:pPr>
              <w:spacing w:after="0"/>
              <w:rPr>
                <w:sz w:val="20"/>
                <w:szCs w:val="20"/>
                <w:color w:val="auto"/>
              </w:rPr>
            </w:pPr>
            <w:r>
              <w:rPr>
                <w:rFonts w:ascii="Arial" w:cs="Arial" w:eastAsia="Arial" w:hAnsi="Arial"/>
                <w:sz w:val="14"/>
                <w:szCs w:val="14"/>
                <w:color w:val="auto"/>
              </w:rPr>
              <w:t>Office</w:t>
            </w:r>
          </w:p>
        </w:tc>
        <w:tc>
          <w:tcPr>
            <w:tcW w:w="1100" w:type="dxa"/>
            <w:vAlign w:val="bottom"/>
          </w:tcPr>
          <w:p>
            <w:pPr>
              <w:jc w:val="right"/>
              <w:spacing w:after="0"/>
              <w:rPr>
                <w:sz w:val="20"/>
                <w:szCs w:val="20"/>
                <w:color w:val="auto"/>
              </w:rPr>
            </w:pPr>
            <w:r>
              <w:rPr>
                <w:rFonts w:ascii="Arial" w:cs="Arial" w:eastAsia="Arial" w:hAnsi="Arial"/>
                <w:sz w:val="14"/>
                <w:szCs w:val="14"/>
                <w:color w:val="auto"/>
              </w:rPr>
              <w:t>181,190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Retail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6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182,574</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Total space available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1,597,114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Leased space commenced during the period:</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660" w:type="dxa"/>
            <w:vAlign w:val="bottom"/>
            <w:shd w:val="clear" w:color="auto" w:fill="CCEEFF"/>
          </w:tcPr>
          <w:p>
            <w:pPr>
              <w:spacing w:after="0" w:line="193" w:lineRule="exact"/>
              <w:rPr>
                <w:sz w:val="20"/>
                <w:szCs w:val="20"/>
                <w:color w:val="auto"/>
              </w:rPr>
            </w:pPr>
            <w:r>
              <w:rPr>
                <w:rFonts w:ascii="Arial" w:cs="Arial" w:eastAsia="Arial" w:hAnsi="Arial"/>
                <w:sz w:val="14"/>
                <w:szCs w:val="14"/>
                <w:color w:val="auto"/>
              </w:rPr>
              <w:t>Office</w:t>
            </w:r>
            <w:r>
              <w:rPr>
                <w:rFonts w:ascii="Arial" w:cs="Arial" w:eastAsia="Arial" w:hAnsi="Arial"/>
                <w:sz w:val="18"/>
                <w:szCs w:val="18"/>
                <w:color w:val="auto"/>
                <w:vertAlign w:val="superscript"/>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99,482</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580" w:type="dxa"/>
            <w:vAlign w:val="bottom"/>
          </w:tcPr>
          <w:p>
            <w:pPr>
              <w:ind w:left="280"/>
              <w:spacing w:after="0"/>
              <w:rPr>
                <w:sz w:val="20"/>
                <w:szCs w:val="20"/>
                <w:color w:val="auto"/>
              </w:rPr>
            </w:pPr>
            <w:r>
              <w:rPr>
                <w:rFonts w:ascii="Arial" w:cs="Arial" w:eastAsia="Arial" w:hAnsi="Arial"/>
                <w:sz w:val="14"/>
                <w:szCs w:val="14"/>
                <w:color w:val="auto"/>
              </w:rPr>
              <w:t>•</w:t>
            </w:r>
          </w:p>
        </w:tc>
        <w:tc>
          <w:tcPr>
            <w:tcW w:w="2660" w:type="dxa"/>
            <w:vAlign w:val="bottom"/>
          </w:tcPr>
          <w:p>
            <w:pPr>
              <w:spacing w:after="0"/>
              <w:rPr>
                <w:sz w:val="20"/>
                <w:szCs w:val="20"/>
                <w:color w:val="auto"/>
              </w:rPr>
            </w:pPr>
            <w:r>
              <w:rPr>
                <w:rFonts w:ascii="Arial" w:cs="Arial" w:eastAsia="Arial" w:hAnsi="Arial"/>
                <w:sz w:val="14"/>
                <w:szCs w:val="14"/>
                <w:color w:val="auto"/>
              </w:rPr>
              <w:t>Retail</w:t>
            </w:r>
          </w:p>
        </w:tc>
        <w:tc>
          <w:tcPr>
            <w:tcW w:w="1100" w:type="dxa"/>
            <w:vAlign w:val="bottom"/>
          </w:tcPr>
          <w:p>
            <w:pPr>
              <w:jc w:val="right"/>
              <w:spacing w:after="0"/>
              <w:rPr>
                <w:sz w:val="20"/>
                <w:szCs w:val="20"/>
                <w:color w:val="auto"/>
              </w:rPr>
            </w:pPr>
            <w:r>
              <w:rPr>
                <w:rFonts w:ascii="Arial" w:cs="Arial" w:eastAsia="Arial" w:hAnsi="Arial"/>
                <w:sz w:val="14"/>
                <w:szCs w:val="14"/>
                <w:color w:val="auto"/>
              </w:rPr>
              <w:t>12,306</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14,845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79.42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159.83</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31.32</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2"/>
        </w:trPr>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Storage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9"/>
        </w:trPr>
        <w:tc>
          <w:tcPr>
            <w:tcW w:w="12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leased space commenced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112,411</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126,182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69.67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73.01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43.87</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53"/>
        </w:trPr>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Total available space at end of period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1,484,703</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Early renewals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8"/>
              </w:rPr>
              <w:t>Office</w:t>
            </w:r>
          </w:p>
        </w:tc>
        <w:tc>
          <w:tcPr>
            <w:tcW w:w="26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124,147</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ind w:left="200"/>
              <w:spacing w:after="0"/>
              <w:rPr>
                <w:sz w:val="20"/>
                <w:szCs w:val="20"/>
                <w:color w:val="auto"/>
              </w:rPr>
            </w:pPr>
            <w:r>
              <w:rPr>
                <w:rFonts w:ascii="Arial" w:cs="Arial" w:eastAsia="Arial" w:hAnsi="Arial"/>
                <w:sz w:val="14"/>
                <w:szCs w:val="14"/>
                <w:color w:val="auto"/>
              </w:rPr>
              <w:t>Retail</w:t>
            </w:r>
          </w:p>
        </w:tc>
        <w:tc>
          <w:tcPr>
            <w:tcW w:w="2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2,364</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2,551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226.06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226.06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9"/>
        </w:trPr>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Storage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Total early renewals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128,759</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139,362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84.18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86.47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240" w:type="dxa"/>
            <w:vAlign w:val="bottom"/>
            <w:gridSpan w:val="2"/>
          </w:tcPr>
          <w:p>
            <w:pPr>
              <w:ind w:left="60"/>
              <w:spacing w:after="0" w:line="135" w:lineRule="exact"/>
              <w:rPr>
                <w:sz w:val="20"/>
                <w:szCs w:val="20"/>
                <w:color w:val="auto"/>
              </w:rPr>
            </w:pPr>
            <w:r>
              <w:rPr>
                <w:rFonts w:ascii="Arial" w:cs="Arial" w:eastAsia="Arial" w:hAnsi="Arial"/>
                <w:sz w:val="14"/>
                <w:szCs w:val="14"/>
                <w:color w:val="auto"/>
                <w:w w:val="94"/>
              </w:rPr>
              <w:t>Total commenced leases, including replaced previous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w w:val="97"/>
              </w:rPr>
              <w:t>vacancy</w:t>
            </w:r>
          </w:p>
        </w:tc>
        <w:tc>
          <w:tcPr>
            <w:tcW w:w="2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8"/>
              </w:rPr>
              <w:t>Office</w:t>
            </w:r>
          </w:p>
        </w:tc>
        <w:tc>
          <w:tcPr>
            <w:tcW w:w="26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6"/>
        </w:trPr>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ind w:left="200"/>
              <w:spacing w:after="0"/>
              <w:rPr>
                <w:sz w:val="20"/>
                <w:szCs w:val="20"/>
                <w:color w:val="auto"/>
              </w:rPr>
            </w:pPr>
            <w:r>
              <w:rPr>
                <w:rFonts w:ascii="Arial" w:cs="Arial" w:eastAsia="Arial" w:hAnsi="Arial"/>
                <w:sz w:val="14"/>
                <w:szCs w:val="14"/>
                <w:color w:val="auto"/>
              </w:rPr>
              <w:t>Retail</w:t>
            </w:r>
          </w:p>
        </w:tc>
        <w:tc>
          <w:tcPr>
            <w:tcW w:w="2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17,396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100.92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182.94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26.73</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9"/>
        </w:trPr>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Storage</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Total commenced leases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265,544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77.28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81.99</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21.13</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Annual initial base rent.</w:t>
      </w:r>
    </w:p>
    <w:p>
      <w:pPr>
        <w:spacing w:after="0" w:line="13" w:lineRule="exact"/>
        <w:rPr>
          <w:rFonts w:ascii="Arial" w:cs="Arial" w:eastAsia="Arial" w:hAnsi="Arial"/>
          <w:sz w:val="14"/>
          <w:szCs w:val="14"/>
          <w:color w:val="auto"/>
        </w:rPr>
      </w:pPr>
    </w:p>
    <w:p>
      <w:pPr>
        <w:ind w:left="420" w:right="20" w:hanging="412"/>
        <w:spacing w:after="0" w:line="241" w:lineRule="auto"/>
        <w:tabs>
          <w:tab w:leader="none" w:pos="412" w:val="left"/>
        </w:tabs>
        <w:numPr>
          <w:ilvl w:val="0"/>
          <w:numId w:val="37"/>
        </w:numPr>
        <w:rPr>
          <w:rFonts w:ascii="Arial" w:cs="Arial" w:eastAsia="Arial" w:hAnsi="Arial"/>
          <w:sz w:val="14"/>
          <w:szCs w:val="14"/>
          <w:color w:val="auto"/>
        </w:rPr>
      </w:pPr>
      <w:r>
        <w:rPr>
          <w:rFonts w:ascii="Arial" w:cs="Arial" w:eastAsia="Arial" w:hAnsi="Arial"/>
          <w:sz w:val="14"/>
          <w:szCs w:val="14"/>
          <w:color w:val="auto"/>
        </w:rPr>
        <w:t>Escalated rent includes base rent plus all additional amounts paid by the tenant in the form of real estate taxes, operating expenses, porters wage or a consumer price index (CPI) adjustment.</w:t>
      </w:r>
    </w:p>
    <w:p>
      <w:pPr>
        <w:ind w:left="400" w:hanging="392"/>
        <w:spacing w:after="0"/>
        <w:tabs>
          <w:tab w:leader="none" w:pos="4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expiring space, relocating tenants and move-outs where tenants vacated. Excludes lease expirations where tenants held over.</w:t>
      </w:r>
    </w:p>
    <w:p>
      <w:pPr>
        <w:spacing w:after="0" w:line="1" w:lineRule="exact"/>
        <w:rPr>
          <w:rFonts w:ascii="Arial" w:cs="Arial" w:eastAsia="Arial" w:hAnsi="Arial"/>
          <w:sz w:val="14"/>
          <w:szCs w:val="14"/>
          <w:color w:val="auto"/>
        </w:rPr>
      </w:pPr>
    </w:p>
    <w:p>
      <w:pPr>
        <w:ind w:left="420" w:hanging="412"/>
        <w:spacing w:after="0" w:line="255" w:lineRule="auto"/>
        <w:tabs>
          <w:tab w:leader="none" w:pos="412" w:val="left"/>
        </w:tabs>
        <w:numPr>
          <w:ilvl w:val="0"/>
          <w:numId w:val="37"/>
        </w:numPr>
        <w:rPr>
          <w:rFonts w:ascii="Arial" w:cs="Arial" w:eastAsia="Arial" w:hAnsi="Arial"/>
          <w:sz w:val="14"/>
          <w:szCs w:val="14"/>
          <w:color w:val="auto"/>
        </w:rPr>
      </w:pPr>
      <w:r>
        <w:rPr>
          <w:rFonts w:ascii="Arial" w:cs="Arial" w:eastAsia="Arial" w:hAnsi="Arial"/>
          <w:sz w:val="14"/>
          <w:szCs w:val="14"/>
          <w:color w:val="auto"/>
        </w:rPr>
        <w:t>Average starting office rent excluding new tenants replacing vacancies was $67.01 per rentable square feet for 64,792 rentable square feet. Average starting office rent for office space (leased and early renewals, excluding new tenants replacing vacancies) was $77.42 per rentable square feet for 199,341 rentable square feet.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 the three months ended June 30, 2021, investment income decreased primarily as a result of a decrease in the weighted average balance and weighted average yield of our debt and preferred equity investments. For the three months ended June 30, 2021 and 2020, the weighted average debt and preferred equity investment balance outstanding and weighted average yield were $1.2 billion and 7.1% compared to $1.6 billion and 8.4%,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income decreased primarily due to a decrease in lease termination income for the three months ended June 30, 2021 as compared to the same period in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Operating Expenses</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Property operating expenses increased primarily due to the addition of 885 Third Avenue to the consolidated portfolio ($6.1 million), rising variable operating expenses, such as utilities, cleaning, and security, and real estate taxes at our Same-Store Properties as a result of higher physical occupancy at the properties during the second quarter of 2021 ($1.6 million and $1.3 million, respectively). These increases were partially offset by decreased operating expenses and real estate taxes at our Disposed Properties ($1.6 million and $1.5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Marketing, general and administrative expenses decreased to $22.1 million for the three months ended June 30, 2021, compared to $23.5 million for the same period in 2020 due to reduced compensation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Financing Costs, Net of Interest Income</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Interest expense and amortization of deferred financing costs, net of interest income, decreased primarily due to lower interest expense from the 2017 revolving credit facility ($3.7 million) and term loans ($1.7 million) resulting from a decrease in the average LIBOR rate during the three months ended June 30, 2021 as compared to the three months ended June 30, 2020, and interest capitalization in connection with properties that are under development ($3.5 million). The weighted average consolidated debt balance outstanding was $5.3 billion for the three months ended June 30, 2021, compared to $6.2 billion for the three months ended June 30, 2020. The consolidated weighted average interest rate was 2.82% for the three months ended June 30, 2021, as compared to 2.77% for the three months ended June 30,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Depreciation and amortization decreased in the first half of 2021 primarily due to accelerated depreciation at One Madison Avenue in the second quarter of 2020 related to the property's redevelopment ($36.1 million) and decreased depreciation and amortization at our Same Store Properties ($6.0 million) and Disposed Properties ($1.0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loss from unconsolidated joint ventures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Equity in net loss from unconsolidated joint ventures increased primarily as a result of higher depreciation expense at One Vanderbilt Avenue ($9.8 million), which went into service during the fourth quarter of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gain on sale of interest in unconsolidated joint venture/real estate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June 30, 2021, we recognized a gain on sale related to the sale of our interest in 605 West 42nd Street ($8.9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2020, we did not sell any joint venture interests or properties.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and other fair value adjustments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June 30, 2021, we recorded a $1.9 million fair value adjustment related to equity marketable securities. During the three months ended June 30, 2020, we did not record any purchase price and other fair value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June 30, 2021, we recognized a gain from the sale of 635-641 Sixth Avenue ($99.4 million). During the three months ended June 30, 2020, we recognized a gain from the sale of the retail condominium at 609 Fifth Avenue ($65.4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Depreciable real estate reserves and impairment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June 30, 2021, we recognized depreciable real estate reserves and impairment related to 106 Spring Street ($2.8 million). During the three months ended June 30, 2020, we did not recognize any depreciable real estate reserves.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and other investment reserves, net of recoveries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three months ended June 30, 2021 we did not recognize any loan loss and other investment reserves. During the three months ended June 30, 2020, we recorded $3.4 million of losses related to certain Debt and Preferred Equity investments that were sold and $3.4 million of loan loss and other investment reserves in conjunction with recording other financing receivables at the net amount expected to be collected.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to the six months ended June 30, 2020</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comparison for the six months ended June 30, 2021, or 2021, to the six months ended June 30, 2020, or 2020, makes reference to the effect of the following:</w:t>
      </w:r>
    </w:p>
    <w:p>
      <w:pPr>
        <w:spacing w:after="0" w:line="116" w:lineRule="exact"/>
        <w:rPr>
          <w:sz w:val="20"/>
          <w:szCs w:val="20"/>
          <w:color w:val="auto"/>
        </w:rPr>
      </w:pPr>
    </w:p>
    <w:p>
      <w:pPr>
        <w:ind w:left="660" w:hanging="247"/>
        <w:spacing w:after="0" w:line="258" w:lineRule="auto"/>
        <w:tabs>
          <w:tab w:leader="none" w:pos="6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“Same-Store Properties,” which represents all operating properties owned by us at January 1, 2020 and still owned by us in the same manner at June 30, 2021 (Same-Store Properties totaled 23 of our 32 consolidated operating properties),</w:t>
      </w:r>
    </w:p>
    <w:p>
      <w:pPr>
        <w:spacing w:after="0" w:line="1" w:lineRule="exact"/>
        <w:rPr>
          <w:rFonts w:ascii="Arial" w:cs="Arial" w:eastAsia="Arial" w:hAnsi="Arial"/>
          <w:sz w:val="18"/>
          <w:szCs w:val="18"/>
          <w:color w:val="auto"/>
        </w:rPr>
      </w:pPr>
    </w:p>
    <w:p>
      <w:pPr>
        <w:ind w:left="660" w:hanging="247"/>
        <w:spacing w:after="0" w:line="250" w:lineRule="auto"/>
        <w:tabs>
          <w:tab w:leader="none" w:pos="6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“Acquisition Properties,” which represents all properties or interests in properties acquired in 2021 and 2020 and all non-Same-Store Properties, including properties that are under development, redevelopment or were deconsolidated during the period,</w:t>
      </w:r>
    </w:p>
    <w:p>
      <w:pPr>
        <w:ind w:left="640" w:hanging="227"/>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"Disposed Properties," which represents all properties or interests in properties sold or partially sold in 2021 and 2020, and</w:t>
      </w:r>
    </w:p>
    <w:p>
      <w:pPr>
        <w:spacing w:after="0" w:line="9" w:lineRule="exact"/>
        <w:rPr>
          <w:rFonts w:ascii="Arial" w:cs="Arial" w:eastAsia="Arial" w:hAnsi="Arial"/>
          <w:sz w:val="18"/>
          <w:szCs w:val="18"/>
          <w:color w:val="auto"/>
        </w:rPr>
      </w:pPr>
    </w:p>
    <w:p>
      <w:pPr>
        <w:ind w:left="660" w:hanging="247"/>
        <w:spacing w:after="0" w:line="260" w:lineRule="auto"/>
        <w:tabs>
          <w:tab w:leader="none" w:pos="6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which represents properties that were partially sold resulting in deconsolidation and corporate level items not allocable to specific properties, as well as the Service Corporation and eEmerge Inc.</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right"/>
              <w:ind w:right="250"/>
              <w:spacing w:after="0"/>
              <w:rPr>
                <w:sz w:val="20"/>
                <w:szCs w:val="20"/>
                <w:color w:val="auto"/>
              </w:rPr>
            </w:pPr>
            <w:r>
              <w:rPr>
                <w:rFonts w:ascii="Arial" w:cs="Arial" w:eastAsia="Arial" w:hAnsi="Arial"/>
                <w:sz w:val="13"/>
                <w:szCs w:val="13"/>
                <w:b w:val="1"/>
                <w:bCs w:val="1"/>
                <w:color w:val="auto"/>
              </w:rPr>
              <w:t>Same-Store</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4"/>
          </w:tcPr>
          <w:p>
            <w:pPr>
              <w:ind w:left="400"/>
              <w:spacing w:after="0"/>
              <w:rPr>
                <w:sz w:val="20"/>
                <w:szCs w:val="20"/>
                <w:color w:val="auto"/>
              </w:rPr>
            </w:pPr>
            <w:r>
              <w:rPr>
                <w:rFonts w:ascii="Arial" w:cs="Arial" w:eastAsia="Arial" w:hAnsi="Arial"/>
                <w:sz w:val="13"/>
                <w:szCs w:val="13"/>
                <w:b w:val="1"/>
                <w:bCs w:val="1"/>
                <w:color w:val="auto"/>
              </w:rPr>
              <w:t>Disposed</w:t>
            </w: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rPr>
              <w:t>Other</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4"/>
          </w:tcPr>
          <w:p>
            <w:pPr>
              <w:jc w:val="center"/>
              <w:ind w:left="49"/>
              <w:spacing w:after="0"/>
              <w:rPr>
                <w:sz w:val="20"/>
                <w:szCs w:val="20"/>
                <w:color w:val="auto"/>
              </w:rPr>
            </w:pPr>
            <w:r>
              <w:rPr>
                <w:rFonts w:ascii="Arial" w:cs="Arial" w:eastAsia="Arial" w:hAnsi="Arial"/>
                <w:sz w:val="13"/>
                <w:szCs w:val="13"/>
                <w:b w:val="1"/>
                <w:bCs w:val="1"/>
                <w:color w:val="auto"/>
                <w:w w:val="84"/>
              </w:rPr>
              <w:t>Consolidated</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4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10"/>
              <w:spacing w:after="0" w:line="122" w:lineRule="exact"/>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auto"/>
            </w:tcBorders>
            <w:gridSpan w:val="2"/>
          </w:tcPr>
          <w:p>
            <w:pPr>
              <w:jc w:val="right"/>
              <w:ind w:right="290"/>
              <w:spacing w:after="0" w:line="122"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0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4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4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209"/>
              <w:spacing w:after="0" w:line="122" w:lineRule="exact"/>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tcBorders>
            <w:gridSpan w:val="2"/>
          </w:tcPr>
          <w:p>
            <w:pPr>
              <w:jc w:val="right"/>
              <w:ind w:right="353"/>
              <w:spacing w:after="0" w:line="122"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1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30"/>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4"/>
                <w:szCs w:val="14"/>
                <w:color w:val="auto"/>
              </w:rPr>
            </w:pP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Change</w:t>
            </w: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49"/>
              <w:spacing w:after="0"/>
              <w:rPr>
                <w:sz w:val="20"/>
                <w:szCs w:val="20"/>
                <w:color w:val="auto"/>
              </w:rPr>
            </w:pPr>
            <w:r>
              <w:rPr>
                <w:rFonts w:ascii="Arial" w:cs="Arial" w:eastAsia="Arial" w:hAnsi="Arial"/>
                <w:sz w:val="13"/>
                <w:szCs w:val="13"/>
                <w:b w:val="1"/>
                <w:bCs w:val="1"/>
                <w:color w:val="auto"/>
                <w:w w:val="83"/>
              </w:rPr>
              <w:t>Change</w:t>
            </w:r>
          </w:p>
        </w:tc>
        <w:tc>
          <w:tcPr>
            <w:tcW w:w="120" w:type="dxa"/>
            <w:vAlign w:val="bottom"/>
          </w:tcPr>
          <w:p>
            <w:pPr>
              <w:spacing w:after="0"/>
              <w:rPr>
                <w:sz w:val="14"/>
                <w:szCs w:val="14"/>
                <w:color w:val="auto"/>
              </w:rPr>
            </w:pPr>
          </w:p>
        </w:tc>
        <w:tc>
          <w:tcPr>
            <w:tcW w:w="960" w:type="dxa"/>
            <w:vAlign w:val="bottom"/>
          </w:tcPr>
          <w:p>
            <w:pPr>
              <w:jc w:val="right"/>
              <w:ind w:right="21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Rental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311.4</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322.9</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(11.5)</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12.3</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   37.7</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49.0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6"/>
        </w:trPr>
        <w:tc>
          <w:tcPr>
            <w:tcW w:w="1760" w:type="dxa"/>
            <w:vAlign w:val="bottom"/>
          </w:tcPr>
          <w:p>
            <w:pPr>
              <w:ind w:left="20"/>
              <w:spacing w:after="0"/>
              <w:rPr>
                <w:sz w:val="20"/>
                <w:szCs w:val="20"/>
                <w:color w:val="auto"/>
              </w:rPr>
            </w:pPr>
            <w:r>
              <w:rPr>
                <w:rFonts w:ascii="Arial" w:cs="Arial" w:eastAsia="Arial" w:hAnsi="Arial"/>
                <w:sz w:val="13"/>
                <w:szCs w:val="13"/>
                <w:color w:val="auto"/>
              </w:rPr>
              <w:t>Investment income</w:t>
            </w:r>
          </w:p>
        </w:tc>
        <w:tc>
          <w:tcPr>
            <w:tcW w:w="1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92"/>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79"/>
        </w:trPr>
        <w:tc>
          <w:tcPr>
            <w:tcW w:w="17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revenues</w:t>
            </w: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312.7</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334.1</w:t>
            </w:r>
          </w:p>
        </w:tc>
        <w:tc>
          <w:tcPr>
            <w:tcW w:w="12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196.2</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568.0</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(123.8)</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91"/>
        </w:trPr>
        <w:tc>
          <w:tcPr>
            <w:tcW w:w="1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760" w:type="dxa"/>
            <w:vAlign w:val="bottom"/>
          </w:tcPr>
          <w:p>
            <w:pPr>
              <w:ind w:left="20"/>
              <w:spacing w:after="0"/>
              <w:rPr>
                <w:sz w:val="20"/>
                <w:szCs w:val="20"/>
                <w:color w:val="auto"/>
              </w:rPr>
            </w:pPr>
            <w:r>
              <w:rPr>
                <w:rFonts w:ascii="Arial" w:cs="Arial" w:eastAsia="Arial" w:hAnsi="Arial"/>
                <w:sz w:val="13"/>
                <w:szCs w:val="13"/>
                <w:color w:val="auto"/>
              </w:rPr>
              <w:t>Property operating expenses</w:t>
            </w:r>
          </w:p>
        </w:tc>
        <w:tc>
          <w:tcPr>
            <w:tcW w:w="16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147.1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150.6</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2"/>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related costs</w:t>
            </w: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Arial" w:cs="Arial" w:eastAsia="Arial" w:hAnsi="Arial"/>
                <w:sz w:val="13"/>
                <w:szCs w:val="13"/>
                <w:color w:val="auto"/>
              </w:rPr>
              <w:t>Marketing, general and</w:t>
            </w:r>
          </w:p>
        </w:tc>
        <w:tc>
          <w:tcPr>
            <w:tcW w:w="160" w:type="dxa"/>
            <w:vAlign w:val="bottom"/>
          </w:tcPr>
          <w:p>
            <w:pPr>
              <w:spacing w:after="0"/>
              <w:rPr>
                <w:sz w:val="10"/>
                <w:szCs w:val="10"/>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 %</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69"/>
        </w:trPr>
        <w:tc>
          <w:tcPr>
            <w:tcW w:w="176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147.1</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9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14.9</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91"/>
        </w:trPr>
        <w:tc>
          <w:tcPr>
            <w:tcW w:w="1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(expenses):</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Arial" w:cs="Arial" w:eastAsia="Arial" w:hAnsi="Arial"/>
                <w:sz w:val="13"/>
                <w:szCs w:val="13"/>
                <w:color w:val="auto"/>
              </w:rPr>
              <w:t>Interest expense and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Arial" w:cs="Arial" w:eastAsia="Arial" w:hAnsi="Arial"/>
                <w:sz w:val="13"/>
                <w:szCs w:val="13"/>
                <w:color w:val="auto"/>
              </w:rPr>
              <w:t>amortization of deferred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Arial" w:cs="Arial" w:eastAsia="Arial" w:hAnsi="Arial"/>
                <w:sz w:val="13"/>
                <w:szCs w:val="13"/>
                <w:color w:val="auto"/>
                <w:w w:val="99"/>
              </w:rPr>
              <w:t>financing costs, net of interest</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(72.7)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23.2</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69"/>
        </w:trPr>
        <w:tc>
          <w:tcPr>
            <w:tcW w:w="1760" w:type="dxa"/>
            <w:vAlign w:val="bottom"/>
          </w:tcPr>
          <w:p>
            <w:pPr>
              <w:ind w:left="20"/>
              <w:spacing w:after="0"/>
              <w:rPr>
                <w:sz w:val="20"/>
                <w:szCs w:val="20"/>
                <w:color w:val="auto"/>
              </w:rPr>
            </w:pPr>
            <w:r>
              <w:rPr>
                <w:rFonts w:ascii="Arial" w:cs="Arial" w:eastAsia="Arial" w:hAnsi="Arial"/>
                <w:sz w:val="13"/>
                <w:szCs w:val="13"/>
                <w:color w:val="auto"/>
              </w:rPr>
              <w:t>income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Depreciation and amortization</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Arial" w:cs="Arial" w:eastAsia="Arial" w:hAnsi="Arial"/>
                <w:sz w:val="13"/>
                <w:szCs w:val="13"/>
                <w:color w:val="auto"/>
              </w:rPr>
              <w:t>Equity in net loss from</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169"/>
        </w:trPr>
        <w:tc>
          <w:tcPr>
            <w:tcW w:w="1760" w:type="dxa"/>
            <w:vAlign w:val="bottom"/>
          </w:tcPr>
          <w:p>
            <w:pPr>
              <w:ind w:left="20"/>
              <w:spacing w:after="0"/>
              <w:rPr>
                <w:sz w:val="20"/>
                <w:szCs w:val="20"/>
                <w:color w:val="auto"/>
              </w:rPr>
            </w:pPr>
            <w:r>
              <w:rPr>
                <w:rFonts w:ascii="Arial" w:cs="Arial" w:eastAsia="Arial" w:hAnsi="Arial"/>
                <w:sz w:val="13"/>
                <w:szCs w:val="13"/>
                <w:color w:val="auto"/>
              </w:rPr>
              <w:t>unconsolidated joint ventures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Equity in net loss on sale of</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8"/>
              </w:rPr>
              <w:t>interest in unconsolidated joint</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75"/>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venture/real estate</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Arial" w:cs="Arial" w:eastAsia="Arial" w:hAnsi="Arial"/>
                <w:sz w:val="13"/>
                <w:szCs w:val="13"/>
                <w:color w:val="auto"/>
              </w:rPr>
              <w:t>Purchase price and other fair</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Arial" w:cs="Arial" w:eastAsia="Arial" w:hAnsi="Arial"/>
                <w:sz w:val="13"/>
                <w:szCs w:val="13"/>
                <w:color w:val="auto"/>
              </w:rPr>
              <w:t>value adjustments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Gain on sale of real estate, net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21"/>
        </w:trPr>
        <w:tc>
          <w:tcPr>
            <w:tcW w:w="1760" w:type="dxa"/>
            <w:vAlign w:val="bottom"/>
          </w:tcPr>
          <w:p>
            <w:pPr>
              <w:ind w:left="20"/>
              <w:spacing w:after="0" w:line="122" w:lineRule="exact"/>
              <w:rPr>
                <w:sz w:val="20"/>
                <w:szCs w:val="20"/>
                <w:color w:val="auto"/>
              </w:rPr>
            </w:pPr>
            <w:r>
              <w:rPr>
                <w:rFonts w:ascii="Arial" w:cs="Arial" w:eastAsia="Arial" w:hAnsi="Arial"/>
                <w:sz w:val="13"/>
                <w:szCs w:val="13"/>
                <w:color w:val="auto"/>
                <w:w w:val="91"/>
              </w:rPr>
              <w:t>Depreciable real estate reserves</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Arial" w:cs="Arial" w:eastAsia="Arial" w:hAnsi="Arial"/>
                <w:sz w:val="13"/>
                <w:szCs w:val="13"/>
                <w:color w:val="auto"/>
              </w:rPr>
              <w:t>and impairment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95"/>
              </w:rPr>
              <w:t>Loan loss and other investment</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5"/>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reserves, net of recoveries</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Revenue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Rental revenue decreased primarily due to our Disposed Properties ($25.5 million), properties moved into redevelopment ($23.9 million), and a lower contribution from our Same-Store Properties ($11.5 million) driven by increased vacancy at 1185 Avenue of the Americas ($5.8 million) and 485 Lexington Avenue ($2.6 million). This was partially offset by the addition of 885 Third Avenue to the consolidated portfolio in the first quarter of 2021 ($20.2 million).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a summary of the commenced leasing activity for the six months ended June 30, 2021 in our Manhattan and Suburban portfolio:</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New</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Prev.</w:t>
            </w:r>
          </w:p>
        </w:tc>
        <w:tc>
          <w:tcPr>
            <w:tcW w:w="16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TI/LC</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Cash</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Escalated</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Free</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Usable</w:t>
            </w:r>
          </w:p>
        </w:tc>
        <w:tc>
          <w:tcPr>
            <w:tcW w:w="10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Rentable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Rent (per</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Rent (per</w:t>
            </w: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per</w:t>
            </w:r>
          </w:p>
        </w:tc>
        <w:tc>
          <w:tcPr>
            <w:tcW w:w="1080" w:type="dxa"/>
            <w:vAlign w:val="bottom"/>
            <w:gridSpan w:val="2"/>
            <w:vMerge w:val="continue"/>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rentable</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rentable</w:t>
            </w: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rentable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Rent (in</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Term (in</w:t>
            </w: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SF</w:t>
            </w:r>
          </w:p>
        </w:tc>
        <w:tc>
          <w:tcPr>
            <w:tcW w:w="1020" w:type="dxa"/>
            <w:vAlign w:val="bottom"/>
          </w:tcPr>
          <w:p>
            <w:pPr>
              <w:jc w:val="right"/>
              <w:ind w:right="368"/>
              <w:spacing w:after="0"/>
              <w:rPr>
                <w:sz w:val="20"/>
                <w:szCs w:val="20"/>
                <w:color w:val="auto"/>
              </w:rPr>
            </w:pPr>
            <w:r>
              <w:rPr>
                <w:rFonts w:ascii="Arial" w:cs="Arial" w:eastAsia="Arial" w:hAnsi="Arial"/>
                <w:sz w:val="14"/>
                <w:szCs w:val="14"/>
                <w:b w:val="1"/>
                <w:bCs w:val="1"/>
                <w:color w:val="auto"/>
              </w:rPr>
              <w:t>SF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87"/>
              </w:rPr>
              <w:t xml:space="preserve">SF) </w:t>
            </w:r>
            <w:r>
              <w:rPr>
                <w:rFonts w:ascii="Arial" w:cs="Arial" w:eastAsia="Arial" w:hAnsi="Arial"/>
                <w:sz w:val="18"/>
                <w:szCs w:val="18"/>
                <w:b w:val="1"/>
                <w:bCs w:val="1"/>
                <w:color w:val="auto"/>
                <w:w w:val="87"/>
                <w:vertAlign w:val="superscript"/>
              </w:rPr>
              <w:t>(1)</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87"/>
              </w:rPr>
              <w:t xml:space="preserve">SF) </w:t>
            </w:r>
            <w:r>
              <w:rPr>
                <w:rFonts w:ascii="Arial" w:cs="Arial" w:eastAsia="Arial" w:hAnsi="Arial"/>
                <w:sz w:val="18"/>
                <w:szCs w:val="18"/>
                <w:b w:val="1"/>
                <w:bCs w:val="1"/>
                <w:color w:val="auto"/>
                <w:w w:val="87"/>
                <w:vertAlign w:val="superscript"/>
              </w:rPr>
              <w:t>(2)</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SF</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months)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183"/>
        </w:trPr>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Manhattan</w:t>
            </w: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Space available at beginning of the period</w:t>
            </w:r>
          </w:p>
        </w:tc>
        <w:tc>
          <w:tcPr>
            <w:tcW w:w="1100" w:type="dxa"/>
            <w:vAlign w:val="bottom"/>
          </w:tcPr>
          <w:p>
            <w:pPr>
              <w:jc w:val="right"/>
              <w:spacing w:after="0"/>
              <w:rPr>
                <w:sz w:val="20"/>
                <w:szCs w:val="20"/>
                <w:color w:val="auto"/>
              </w:rPr>
            </w:pPr>
            <w:r>
              <w:rPr>
                <w:rFonts w:ascii="Arial" w:cs="Arial" w:eastAsia="Arial" w:hAnsi="Arial"/>
                <w:sz w:val="14"/>
                <w:szCs w:val="14"/>
                <w:color w:val="auto"/>
              </w:rPr>
              <w:t>1,717,735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Sold Vacancies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Property in redevelopment</w:t>
            </w:r>
          </w:p>
        </w:tc>
        <w:tc>
          <w:tcPr>
            <w:tcW w:w="1100" w:type="dxa"/>
            <w:vAlign w:val="bottom"/>
          </w:tcPr>
          <w:p>
            <w:pPr>
              <w:jc w:val="right"/>
              <w:spacing w:after="0"/>
              <w:rPr>
                <w:sz w:val="20"/>
                <w:szCs w:val="20"/>
                <w:color w:val="auto"/>
              </w:rPr>
            </w:pPr>
            <w:r>
              <w:rPr>
                <w:rFonts w:ascii="Arial" w:cs="Arial" w:eastAsia="Arial" w:hAnsi="Arial"/>
                <w:sz w:val="14"/>
                <w:szCs w:val="14"/>
                <w:color w:val="auto"/>
              </w:rPr>
              <w:t>(257,789)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Space which became available during the period </w:t>
            </w:r>
            <w:r>
              <w:rPr>
                <w:rFonts w:ascii="Arial" w:cs="Arial" w:eastAsia="Arial" w:hAnsi="Arial"/>
                <w:sz w:val="18"/>
                <w:szCs w:val="18"/>
                <w:color w:val="auto"/>
                <w:vertAlign w:val="superscript"/>
              </w:rPr>
              <w:t>(3)</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Pr>
          <w:p>
            <w:pPr>
              <w:jc w:val="right"/>
              <w:spacing w:after="0"/>
              <w:rPr>
                <w:sz w:val="20"/>
                <w:szCs w:val="20"/>
                <w:color w:val="auto"/>
              </w:rPr>
            </w:pPr>
            <w:r>
              <w:rPr>
                <w:rFonts w:ascii="Arial" w:cs="Arial" w:eastAsia="Arial" w:hAnsi="Arial"/>
                <w:sz w:val="14"/>
                <w:szCs w:val="14"/>
                <w:color w:val="auto"/>
              </w:rPr>
              <w:t>525,980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8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46,192</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tcPr>
          <w:p>
            <w:pPr>
              <w:ind w:left="20"/>
              <w:spacing w:after="0"/>
              <w:rPr>
                <w:sz w:val="20"/>
                <w:szCs w:val="20"/>
                <w:color w:val="auto"/>
              </w:rPr>
            </w:pPr>
            <w:r>
              <w:rPr>
                <w:rFonts w:ascii="Arial" w:cs="Arial" w:eastAsia="Arial" w:hAnsi="Arial"/>
                <w:sz w:val="14"/>
                <w:szCs w:val="14"/>
                <w:color w:val="auto"/>
              </w:rPr>
              <w:t>Storage</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572,172</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Total space available</w:t>
            </w:r>
          </w:p>
        </w:tc>
        <w:tc>
          <w:tcPr>
            <w:tcW w:w="1100" w:type="dxa"/>
            <w:vAlign w:val="bottom"/>
          </w:tcPr>
          <w:p>
            <w:pPr>
              <w:jc w:val="right"/>
              <w:spacing w:after="0"/>
              <w:rPr>
                <w:sz w:val="20"/>
                <w:szCs w:val="20"/>
                <w:color w:val="auto"/>
              </w:rPr>
            </w:pPr>
            <w:r>
              <w:rPr>
                <w:rFonts w:ascii="Arial" w:cs="Arial" w:eastAsia="Arial" w:hAnsi="Arial"/>
                <w:sz w:val="14"/>
                <w:szCs w:val="14"/>
                <w:color w:val="auto"/>
              </w:rPr>
              <w:t>2,003,944</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Leased space commenced during the period:</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tcPr>
          <w:p>
            <w:pPr>
              <w:ind w:left="20"/>
              <w:spacing w:after="0" w:line="189" w:lineRule="exact"/>
              <w:rPr>
                <w:sz w:val="20"/>
                <w:szCs w:val="20"/>
                <w:color w:val="auto"/>
              </w:rPr>
            </w:pPr>
            <w:r>
              <w:rPr>
                <w:rFonts w:ascii="Arial" w:cs="Arial" w:eastAsia="Arial" w:hAnsi="Arial"/>
                <w:sz w:val="14"/>
                <w:szCs w:val="14"/>
                <w:color w:val="auto"/>
              </w:rPr>
              <w:t>Office</w:t>
            </w:r>
            <w:r>
              <w:rPr>
                <w:rFonts w:ascii="Arial" w:cs="Arial" w:eastAsia="Arial" w:hAnsi="Arial"/>
                <w:sz w:val="18"/>
                <w:szCs w:val="18"/>
                <w:color w:val="auto"/>
                <w:vertAlign w:val="superscript"/>
              </w:rPr>
              <w:t>(4)</w:t>
            </w:r>
          </w:p>
        </w:tc>
        <w:tc>
          <w:tcPr>
            <w:tcW w:w="1100" w:type="dxa"/>
            <w:vAlign w:val="bottom"/>
          </w:tcPr>
          <w:p>
            <w:pPr>
              <w:jc w:val="right"/>
              <w:spacing w:after="0"/>
              <w:rPr>
                <w:sz w:val="20"/>
                <w:szCs w:val="20"/>
                <w:color w:val="auto"/>
              </w:rPr>
            </w:pPr>
            <w:r>
              <w:rPr>
                <w:rFonts w:ascii="Arial" w:cs="Arial" w:eastAsia="Arial" w:hAnsi="Arial"/>
                <w:sz w:val="14"/>
                <w:szCs w:val="14"/>
                <w:color w:val="auto"/>
              </w:rPr>
              <w:t>467,061</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498,089</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68.99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66.44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81.68</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9"/>
        </w:trPr>
        <w:tc>
          <w:tcPr>
            <w:tcW w:w="68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51,557</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6"/>
        </w:trPr>
        <w:tc>
          <w:tcPr>
            <w:tcW w:w="680" w:type="dxa"/>
            <w:vAlign w:val="bottom"/>
            <w:tcBorders>
              <w:bottom w:val="single" w:sz="8" w:color="CCEEFF"/>
            </w:tcBorders>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Storage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leased space commenced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519,241</w:t>
            </w:r>
          </w:p>
        </w:tc>
        <w:tc>
          <w:tcPr>
            <w:tcW w:w="1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551,621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74.60</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available space at end of period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1,484,703</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Early renewals</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Pr>
          <w:p>
            <w:pPr>
              <w:jc w:val="right"/>
              <w:spacing w:after="0"/>
              <w:rPr>
                <w:sz w:val="20"/>
                <w:szCs w:val="20"/>
                <w:color w:val="auto"/>
              </w:rPr>
            </w:pPr>
            <w:r>
              <w:rPr>
                <w:rFonts w:ascii="Arial" w:cs="Arial" w:eastAsia="Arial" w:hAnsi="Arial"/>
                <w:sz w:val="14"/>
                <w:szCs w:val="14"/>
                <w:color w:val="auto"/>
              </w:rPr>
              <w:t>245,173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255,981</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68.81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69.16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68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39,013</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6"/>
        </w:trPr>
        <w:tc>
          <w:tcPr>
            <w:tcW w:w="680" w:type="dxa"/>
            <w:vAlign w:val="bottom"/>
            <w:tcBorders>
              <w:bottom w:val="single" w:sz="8" w:color="CCEEFF"/>
            </w:tcBorders>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Storage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2,262</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28.09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28.09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1"/>
        </w:trPr>
        <w:tc>
          <w:tcPr>
            <w:tcW w:w="3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early renewals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286,434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324,473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17"/>
        </w:trPr>
        <w:tc>
          <w:tcPr>
            <w:tcW w:w="6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3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Total commenced leases, including replaced previous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3"/>
              </w:rPr>
              <w:t>vacancy</w:t>
            </w:r>
          </w:p>
        </w:tc>
        <w:tc>
          <w:tcPr>
            <w:tcW w:w="26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tcPr>
          <w:p>
            <w:pPr>
              <w:ind w:left="20"/>
              <w:spacing w:after="0"/>
              <w:rPr>
                <w:sz w:val="20"/>
                <w:szCs w:val="20"/>
                <w:color w:val="auto"/>
              </w:rPr>
            </w:pPr>
            <w:r>
              <w:rPr>
                <w:rFonts w:ascii="Arial" w:cs="Arial" w:eastAsia="Arial" w:hAnsi="Arial"/>
                <w:sz w:val="14"/>
                <w:szCs w:val="14"/>
                <w:color w:val="auto"/>
              </w:rPr>
              <w:t>Office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754,070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68.93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67.86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54.08</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2"/>
        </w:trPr>
        <w:tc>
          <w:tcPr>
            <w:tcW w:w="68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6"/>
        </w:trPr>
        <w:tc>
          <w:tcPr>
            <w:tcW w:w="680" w:type="dxa"/>
            <w:vAlign w:val="bottom"/>
            <w:tcBorders>
              <w:bottom w:val="single" w:sz="8" w:color="CCEEFF"/>
            </w:tcBorders>
          </w:tcPr>
          <w:p>
            <w:pPr>
              <w:jc w:val="center"/>
              <w:ind w:left="88"/>
              <w:spacing w:after="0"/>
              <w:rPr>
                <w:sz w:val="20"/>
                <w:szCs w:val="20"/>
                <w:color w:val="auto"/>
              </w:rPr>
            </w:pPr>
            <w:r>
              <w:rPr>
                <w:rFonts w:ascii="Arial" w:cs="Arial" w:eastAsia="Arial" w:hAnsi="Arial"/>
                <w:sz w:val="14"/>
                <w:szCs w:val="14"/>
                <w:color w:val="auto"/>
                <w:w w:val="80"/>
              </w:rPr>
              <w:t>•</w:t>
            </w:r>
          </w:p>
        </w:tc>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Storage</w:t>
            </w: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2,885</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30.66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28.09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1"/>
        </w:trPr>
        <w:tc>
          <w:tcPr>
            <w:tcW w:w="3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commenced leases</w:t>
            </w: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876,094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69.84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47.08</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Annual initial base rent.</w:t>
      </w:r>
    </w:p>
    <w:p>
      <w:pPr>
        <w:spacing w:after="0" w:line="13" w:lineRule="exact"/>
        <w:rPr>
          <w:rFonts w:ascii="Arial" w:cs="Arial" w:eastAsia="Arial" w:hAnsi="Arial"/>
          <w:sz w:val="14"/>
          <w:szCs w:val="14"/>
          <w:color w:val="auto"/>
        </w:rPr>
      </w:pPr>
    </w:p>
    <w:p>
      <w:pPr>
        <w:ind w:left="420" w:right="20" w:hanging="412"/>
        <w:spacing w:after="0" w:line="241" w:lineRule="auto"/>
        <w:tabs>
          <w:tab w:leader="none" w:pos="412" w:val="left"/>
        </w:tabs>
        <w:numPr>
          <w:ilvl w:val="0"/>
          <w:numId w:val="39"/>
        </w:numPr>
        <w:rPr>
          <w:rFonts w:ascii="Arial" w:cs="Arial" w:eastAsia="Arial" w:hAnsi="Arial"/>
          <w:sz w:val="14"/>
          <w:szCs w:val="14"/>
          <w:color w:val="auto"/>
        </w:rPr>
      </w:pPr>
      <w:r>
        <w:rPr>
          <w:rFonts w:ascii="Arial" w:cs="Arial" w:eastAsia="Arial" w:hAnsi="Arial"/>
          <w:sz w:val="14"/>
          <w:szCs w:val="14"/>
          <w:color w:val="auto"/>
        </w:rPr>
        <w:t>Escalated rent includes base rent plus all additional amounts paid by the tenant in the form of real estate taxes, operating expenses, porters wage or a consumer price index (CPI) adjustment.</w:t>
      </w:r>
    </w:p>
    <w:p>
      <w:pPr>
        <w:ind w:left="400" w:hanging="392"/>
        <w:spacing w:after="0"/>
        <w:tabs>
          <w:tab w:leader="none" w:pos="4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expiring space, relocating tenants and move-outs where tenants vacated. Excludes lease expirations where tenants held over.</w:t>
      </w:r>
    </w:p>
    <w:p>
      <w:pPr>
        <w:spacing w:after="0" w:line="1" w:lineRule="exact"/>
        <w:rPr>
          <w:rFonts w:ascii="Arial" w:cs="Arial" w:eastAsia="Arial" w:hAnsi="Arial"/>
          <w:sz w:val="14"/>
          <w:szCs w:val="14"/>
          <w:color w:val="auto"/>
        </w:rPr>
      </w:pPr>
    </w:p>
    <w:p>
      <w:pPr>
        <w:ind w:left="420" w:hanging="412"/>
        <w:spacing w:after="0" w:line="255" w:lineRule="auto"/>
        <w:tabs>
          <w:tab w:leader="none" w:pos="412" w:val="left"/>
        </w:tabs>
        <w:numPr>
          <w:ilvl w:val="0"/>
          <w:numId w:val="39"/>
        </w:numPr>
        <w:rPr>
          <w:rFonts w:ascii="Arial" w:cs="Arial" w:eastAsia="Arial" w:hAnsi="Arial"/>
          <w:sz w:val="14"/>
          <w:szCs w:val="14"/>
          <w:color w:val="auto"/>
        </w:rPr>
      </w:pPr>
      <w:r>
        <w:rPr>
          <w:rFonts w:ascii="Arial" w:cs="Arial" w:eastAsia="Arial" w:hAnsi="Arial"/>
          <w:sz w:val="14"/>
          <w:szCs w:val="14"/>
          <w:color w:val="auto"/>
        </w:rPr>
        <w:t>Average starting office rent excluding new tenants replacing vacancies was $60.98 per rentable square feet for 235,985 rentable square feet. Average starting office rent for office space (leased and early renewals, excluding new tenants replacing vacancies) was $65.06 per rentable square feet for 491,966 rentable square feet.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 the six months ended June 30, 2021, investment income decreased primarily as a result of a decrease in the weighted average balance and weighted average yield of our debt and preferred equity investments. For the six months ended June 30, 2021 and 2020, the weighted average debt and preferred equity investment balance outstanding and weighted average yield were $1.1 billion and 6.9% compared to $1.7 billion and 8.3%,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Other income decreased primarily due to lower lease termination income for the six months ended June 30, 2021 ($9.9 million) as compared to the same period in 2020 ($56.7 million), offset by an increase in management and leasing income for the six months ended June 30, 2021 ($5.3 million).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Operating Expenses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Property operating expenses decreased primarily due to reduced variable expenses and real estate taxes at our Disposed Properties ($5.2 million and $5.2 million, respectively) and reduced variable expenses at our Same-Store Properties ($4.9 million), partially offset by increased real estate taxes at our Same-Store Properties ($2.6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Marketing, general and administrative expenses increased to $44.9 million for the six months ended June 30, 2021, compared to $43.1 million for the same period in 2020 due to an increase in stock based compensation expense as a result of a higher stock price.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Financing Costs, Net of Interest Income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expense and amortization of deferred financing costs, net of interest income, decreased primarily due to lower interest expense from the 2017 revolving credit facility ($8.2 million), senior unsecured notes ($5.4 million) and term loans ($5.1 million) resulting from a decrease in the average LIBOR rate during the six months ended June 30, 2021 as compared to the six months ended June 30, 2020. In addition, interest decreased as a result of interest capitalization in connection with properties that are under development ($4.9 million). These reductions were partially offset by higher interest expense at 220 East 42nd Street ($6.8 million) during the six months ended June 30, 2021. The weighted average consolidated debt balance outstanding was $5.3 billion for the six months ended June 30, 2021, compared to $6.2 billion for the six months ended June 30, 2020. The consolidated weighted average interest rate was 2.85% for the six months ended June 30, 2021, as compared to 3.20% for the six months ended June 30,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Depreciation and amortization decreased primarily due to accelerated depreciation in the first half of 2020 at One Madison Avenue related to the redevelopment of the property ($37.6 million) and decreased depreciation and amortization at our Same-Store Properties ($12.6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loss from unconsolidated joint ventures</w:t>
      </w:r>
    </w:p>
    <w:p>
      <w:pPr>
        <w:spacing w:after="0" w:line="117"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Equity in net loss from unconsolidated joint ventures increased primarily as a result of higher depreciation expense at One Vanderbilt Avenue ($13.8 million), partially offset by an increase in income from operations primarily at 2 Herald Square ($6.1 million) and 280 Park Avenue ($4.0 million).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loss on sale of interest in unconsolidated joint venture/real estate</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six months ended June 30, 2021, we recognized a loss on the sale of our interest in 55 West 46th Street ($15.2 million) offset by a gain on the sale of our interest in 605 West 42nd Street ($8.9 million). During the six months ended June 30, 2020, we did not sell any joint venture interests or properties.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and other fair value adjustments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six months ended June 30, 2021, we recorded $2.7 million of purchase price and other fair value adjustment gains related to One Madison Avenue, partially offset by a ($1.9 million) fair value adjustment related to equity marketable securities. During the six months ended June 30, 2020, we did not recorded any purchase price and other fair value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six months ended June 30, 2021, we recognized a gain from the sale of 635-641 Sixth Avenue ($99.4 million). During the six months ended June 30, 2020, we recognized a gain from the sales of 315 West 33rd Street ($72.3 million) and the retail condominium at 609 Fifth Avenue ($65.4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Depreciable real estate reserves and impairment</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6"/>
          <w:szCs w:val="16"/>
          <w:color w:val="auto"/>
        </w:rPr>
        <w:t xml:space="preserve">During the </w:t>
      </w:r>
      <w:r>
        <w:rPr>
          <w:rFonts w:ascii="Arial" w:cs="Arial" w:eastAsia="Arial" w:hAnsi="Arial"/>
          <w:sz w:val="17"/>
          <w:szCs w:val="17"/>
          <w:color w:val="auto"/>
        </w:rPr>
        <w:t>six months ended June 30, 2021, we recognized depreciable real estate reserves and impairments related to 400 East 57th Street</w:t>
      </w:r>
      <w:r>
        <w:rPr>
          <w:rFonts w:ascii="Arial" w:cs="Arial" w:eastAsia="Arial" w:hAnsi="Arial"/>
          <w:sz w:val="16"/>
          <w:szCs w:val="16"/>
          <w:color w:val="auto"/>
        </w:rPr>
        <w:t xml:space="preserve"> </w:t>
      </w:r>
      <w:r>
        <w:rPr>
          <w:rFonts w:ascii="Arial" w:cs="Arial" w:eastAsia="Arial" w:hAnsi="Arial"/>
          <w:sz w:val="17"/>
          <w:szCs w:val="17"/>
          <w:color w:val="auto"/>
        </w:rPr>
        <w:t>($5.7 million). During the six months ended June 30, 2020, we did not recognize any depreciable real estate reserves.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and other investment reserves, net of recoveries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six months ended June 30, 2021 we did not record any loan losses. During the six months ended June 30, 2020 we recorded $3.4 million of losses related to certain Debt and Preferred Equity investments that were sold and $14.7 million of loan loss and other investment reserves in conjunction with recording debt and preferred equity investments and other financing receivables at the net amount expected to be collected.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currently expect that our principal sources of funds to meet our short-term and long-term liquidity requirements for working capital, acquisitions, development or redevelopment of properties, tenant improvements, leasing costs, share repurchases, dividends to shareholders, distributions to unitholders, repurchases or repayments of outstanding indebtedness and for debt and preferred equity investments will include:</w:t>
      </w:r>
    </w:p>
    <w:p>
      <w:pPr>
        <w:spacing w:after="0" w:line="57" w:lineRule="exact"/>
        <w:rPr>
          <w:sz w:val="20"/>
          <w:szCs w:val="20"/>
          <w:color w:val="auto"/>
        </w:rPr>
      </w:pPr>
    </w:p>
    <w:p>
      <w:pPr>
        <w:ind w:left="1300" w:hanging="7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23" w:lineRule="exact"/>
        <w:rPr>
          <w:rFonts w:ascii="Arial" w:cs="Arial" w:eastAsia="Arial" w:hAnsi="Arial"/>
          <w:sz w:val="18"/>
          <w:szCs w:val="18"/>
          <w:color w:val="auto"/>
        </w:rPr>
      </w:pPr>
    </w:p>
    <w:p>
      <w:pPr>
        <w:ind w:left="1300" w:hanging="7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9" w:lineRule="exact"/>
        <w:rPr>
          <w:rFonts w:ascii="Arial" w:cs="Arial" w:eastAsia="Arial" w:hAnsi="Arial"/>
          <w:sz w:val="18"/>
          <w:szCs w:val="18"/>
          <w:color w:val="auto"/>
        </w:rPr>
      </w:pPr>
    </w:p>
    <w:p>
      <w:pPr>
        <w:ind w:left="1300" w:hanging="725"/>
        <w:spacing w:after="0" w:line="250" w:lineRule="auto"/>
        <w:tabs>
          <w:tab w:leader="none" w:pos="12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proceeds from divestitures of properties and redemptions, participations, dispositions and repayments of debt and preferred equity investments;</w:t>
      </w:r>
    </w:p>
    <w:p>
      <w:pPr>
        <w:ind w:left="1300" w:hanging="7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Borrowings under the revolving credit facility;</w:t>
      </w:r>
    </w:p>
    <w:p>
      <w:pPr>
        <w:spacing w:after="0" w:line="9" w:lineRule="exact"/>
        <w:rPr>
          <w:rFonts w:ascii="Arial" w:cs="Arial" w:eastAsia="Arial" w:hAnsi="Arial"/>
          <w:sz w:val="18"/>
          <w:szCs w:val="18"/>
          <w:color w:val="auto"/>
        </w:rPr>
      </w:pPr>
    </w:p>
    <w:p>
      <w:pPr>
        <w:ind w:left="1300" w:hanging="7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forms of secured or unsecured financing; and</w:t>
      </w:r>
    </w:p>
    <w:p>
      <w:pPr>
        <w:spacing w:after="0" w:line="9" w:lineRule="exact"/>
        <w:rPr>
          <w:rFonts w:ascii="Arial" w:cs="Arial" w:eastAsia="Arial" w:hAnsi="Arial"/>
          <w:sz w:val="18"/>
          <w:szCs w:val="18"/>
          <w:color w:val="auto"/>
        </w:rPr>
      </w:pPr>
    </w:p>
    <w:p>
      <w:pPr>
        <w:ind w:left="1300" w:hanging="725"/>
        <w:spacing w:after="0" w:line="260" w:lineRule="auto"/>
        <w:tabs>
          <w:tab w:leader="none" w:pos="12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Proceeds from common or preferred equity or debt offerings by the Company or the Operating Partnership (including issuances of units of limited partnership interest in the Operating Partnership and Trust preferred securities).</w:t>
      </w:r>
    </w:p>
    <w:p>
      <w:pPr>
        <w:spacing w:after="0" w:line="7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Cash flow from operations is primarily dependent upon the collectability of rent, the occupancy level of our portfolio, the net effective rental rates achieved on our leases, the collectability of rent, operating escalations and recoveries from our tenants and the level of operating and other costs. Additionally, we believe that our debt and preferred equity investment program will continue to serve as a source of operating cash flow.</w:t>
      </w:r>
    </w:p>
    <w:p>
      <w:pPr>
        <w:spacing w:after="0" w:line="5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combined aggregate principal maturities of our property mortgages and other loans payable, Master Repurchase Agreement ("MRA"), corporate obligations and our share of joint venture debt, including as-of-right extension options, as of June 30, 2021 were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6"/>
                <w:szCs w:val="16"/>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mortgages and other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264,189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566,583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278,018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581,458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1,874,592</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MRA</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obligations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2,850,000</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Joint venture debt-our share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212,756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491,064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622,408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1,424,406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2,580,425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5,558,662</w:t>
            </w:r>
          </w:p>
        </w:tc>
        <w:tc>
          <w:tcPr>
            <w:tcW w:w="0" w:type="dxa"/>
            <w:vAlign w:val="bottom"/>
          </w:tcPr>
          <w:p>
            <w:pPr>
              <w:spacing w:after="0"/>
              <w:rPr>
                <w:sz w:val="1"/>
                <w:szCs w:val="1"/>
                <w:color w:val="auto"/>
              </w:rPr>
            </w:pPr>
          </w:p>
        </w:tc>
      </w:tr>
      <w:tr>
        <w:trPr>
          <w:trHeight w:val="23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746,288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1,291,792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2,357,647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1,100,426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1,525,218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3,261,883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10,283,254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As of June 30, 2021, we had liquidity of $1.8 billion, comprised of $1.5 billion of availability under our revolving credit facility and $0.3 billion of consolidated cash on hand, inclusive of $32.3 million of marketable securities. This liquidity excludes $395.5 million representing our share of cash at unconsolidated joint venture properties. We may seek to divest of properties, interests in properties or debt and preferred equity investments or access private and public debt and equity capital when the opportunity presents itself, although there is no guarantee that this capital will be made available to us at efficient levels or at all. Management believes that these sources of liquidity, if we are able to access them, along with potential refinancing opportunities for secured and unsecured debt, will allow us to satisfy our debt obligations, as described above, upon maturity, if not before.</w:t>
      </w:r>
    </w:p>
    <w:p>
      <w:pPr>
        <w:spacing w:after="0" w:line="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have investments in several real estate joint ventures with various partners who we consider to be financially stable and who have the ability to fund a capital call when needed. Most of our joint ventures are financed with non-recourse debt. We believe that property level cash flows along with unfunded committed indebtedness and proceeds from the refinancing of outstanding secured indebtedness will be sufficient to fund the capital needs of our joint venture properties.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summary discussion of our cash flows is based on our consolidated statements of cash flows in "Item 1. Financial Statements" and is not meant to be an all-inclusive discussion of the changes in our cash flows for the periods presented below.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Cash, restricted cash, and cash equivalents were $316.5 million and $1.1 billion at June 30, 2021 and 2020, respectively, representing a decrease of $784.8 million. The decrease was a result of the following changes in cash flows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7"/>
              </w:rPr>
              <w:t>Six Months Ended June 30,</w:t>
            </w: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0"/>
        </w:trPr>
        <w:tc>
          <w:tcPr>
            <w:tcW w:w="50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Change</w:t>
            </w:r>
          </w:p>
        </w:tc>
      </w:tr>
      <w:tr>
        <w:trPr>
          <w:trHeight w:val="212"/>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89"/>
              </w:rPr>
              <w:t>103,264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(121,041)</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1240" w:type="dxa"/>
            <w:vAlign w:val="bottom"/>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641,521</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403,819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237,702</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(801,079)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(1,032,808)</w:t>
            </w:r>
          </w:p>
        </w:tc>
      </w:tr>
    </w:tbl>
    <w:p>
      <w:pPr>
        <w:spacing w:after="0" w:line="18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principal sources of operating cash flow are the properties in our consolidated and joint venture portfolios and our debt and preferred equity portfolio. These sources generate a relatively consistent stream of cash flow that provides us with resources to pay operating expenses, debt service and fund dividend and distribution requirements.</w:t>
      </w:r>
    </w:p>
    <w:p>
      <w:pPr>
        <w:spacing w:after="0" w:line="7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six months ended June 30, 2021, when compared to the six months ended June 30, 2020, we used cash primarily for the following investing activities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of real estate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58,158</w:t>
            </w:r>
          </w:p>
        </w:tc>
      </w:tr>
      <w:tr>
        <w:trPr>
          <w:trHeight w:val="213"/>
        </w:trPr>
        <w:tc>
          <w:tcPr>
            <w:tcW w:w="9760" w:type="dxa"/>
            <w:vAlign w:val="bottom"/>
          </w:tcPr>
          <w:p>
            <w:pPr>
              <w:ind w:left="20"/>
              <w:spacing w:after="0"/>
              <w:rPr>
                <w:sz w:val="20"/>
                <w:szCs w:val="20"/>
                <w:color w:val="auto"/>
              </w:rPr>
            </w:pPr>
            <w:r>
              <w:rPr>
                <w:rFonts w:ascii="Arial" w:cs="Arial" w:eastAsia="Arial" w:hAnsi="Arial"/>
                <w:sz w:val="16"/>
                <w:szCs w:val="16"/>
                <w:color w:val="auto"/>
              </w:rPr>
              <w:t>Capital expenditures and capitalized interest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65,221</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Joint venture investments</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(19,880)</w:t>
            </w:r>
          </w:p>
        </w:tc>
      </w:tr>
      <w:tr>
        <w:trPr>
          <w:trHeight w:val="213"/>
        </w:trPr>
        <w:tc>
          <w:tcPr>
            <w:tcW w:w="9760" w:type="dxa"/>
            <w:vAlign w:val="bottom"/>
          </w:tcPr>
          <w:p>
            <w:pPr>
              <w:ind w:left="20"/>
              <w:spacing w:after="0"/>
              <w:rPr>
                <w:sz w:val="20"/>
                <w:szCs w:val="20"/>
                <w:color w:val="auto"/>
              </w:rPr>
            </w:pPr>
            <w:r>
              <w:rPr>
                <w:rFonts w:ascii="Arial" w:cs="Arial" w:eastAsia="Arial" w:hAnsi="Arial"/>
                <w:sz w:val="16"/>
                <w:szCs w:val="16"/>
                <w:color w:val="auto"/>
              </w:rPr>
              <w:t>Distributions from joint ventures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341,366</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real estate/partial interest in property</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148,353</w:t>
            </w:r>
          </w:p>
        </w:tc>
      </w:tr>
      <w:tr>
        <w:trPr>
          <w:trHeight w:val="213"/>
        </w:trPr>
        <w:tc>
          <w:tcPr>
            <w:tcW w:w="9760" w:type="dxa"/>
            <w:vAlign w:val="bottom"/>
          </w:tcPr>
          <w:p>
            <w:pPr>
              <w:ind w:left="20"/>
              <w:spacing w:after="0"/>
              <w:rPr>
                <w:sz w:val="20"/>
                <w:szCs w:val="20"/>
                <w:color w:val="auto"/>
              </w:rPr>
            </w:pPr>
            <w:r>
              <w:rPr>
                <w:rFonts w:ascii="Arial" w:cs="Arial" w:eastAsia="Arial" w:hAnsi="Arial"/>
                <w:sz w:val="16"/>
                <w:szCs w:val="16"/>
                <w:color w:val="auto"/>
              </w:rPr>
              <w:t>Cash assumed from consolidation of real estate investment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9,475</w:t>
            </w:r>
          </w:p>
        </w:tc>
      </w:t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and preferred equity and other investments</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(364,991)</w:t>
            </w:r>
          </w:p>
        </w:tc>
      </w:tr>
      <w:tr>
        <w:trPr>
          <w:trHeight w:val="213"/>
        </w:trPr>
        <w:tc>
          <w:tcPr>
            <w:tcW w:w="9760" w:type="dxa"/>
            <w:vAlign w:val="bottom"/>
          </w:tcPr>
          <w:p>
            <w:pPr>
              <w:ind w:left="20"/>
              <w:spacing w:after="0"/>
              <w:rPr>
                <w:sz w:val="20"/>
                <w:szCs w:val="20"/>
                <w:color w:val="auto"/>
              </w:rPr>
            </w:pPr>
            <w:r>
              <w:rPr>
                <w:rFonts w:ascii="Arial" w:cs="Arial" w:eastAsia="Arial" w:hAnsi="Arial"/>
                <w:sz w:val="16"/>
                <w:szCs w:val="16"/>
                <w:color w:val="auto"/>
              </w:rPr>
              <w:t>Increase in net cash provided by investing activities</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237,702</w:t>
            </w:r>
          </w:p>
        </w:tc>
      </w:tr>
      <w:tr>
        <w:trPr>
          <w:trHeight w:val="20"/>
        </w:trPr>
        <w:tc>
          <w:tcPr>
            <w:tcW w:w="9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Funds spent on capital expenditures, which are comprised of building and tenant improvements, decreased from $183.3 million for the six months ended June 30, 2020 to $118.1 million for the six months ended June 30, 2021 due to decreased spending on development and redevelopment projects.</w:t>
      </w:r>
    </w:p>
    <w:p>
      <w:pPr>
        <w:spacing w:after="0" w:line="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generally fund our investment activity through the sale of real estate, the sale of debt and preferred equity investments, property-level financing, our credit facilities, senior unsecured notes, and construction loans. From time to time, the Company may issue common or preferred stock, or the Operating Partnership may issue common or preferred units of limited partnership interest.</w:t>
      </w:r>
    </w:p>
    <w:p>
      <w:pPr>
        <w:spacing w:after="0" w:line="7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During the six months ended June 30, 2021, when compared to the six months ended June 30, 2020, we used cash for the following financing activities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our debt obligations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(1,327,424)</w:t>
            </w:r>
          </w:p>
        </w:tc>
      </w:tr>
      <w:tr>
        <w:trPr>
          <w:trHeight w:val="213"/>
        </w:trPr>
        <w:tc>
          <w:tcPr>
            <w:tcW w:w="9760" w:type="dxa"/>
            <w:vAlign w:val="bottom"/>
          </w:tcPr>
          <w:p>
            <w:pPr>
              <w:ind w:left="20"/>
              <w:spacing w:after="0"/>
              <w:rPr>
                <w:sz w:val="20"/>
                <w:szCs w:val="20"/>
                <w:color w:val="auto"/>
              </w:rPr>
            </w:pPr>
            <w:r>
              <w:rPr>
                <w:rFonts w:ascii="Arial" w:cs="Arial" w:eastAsia="Arial" w:hAnsi="Arial"/>
                <w:sz w:val="16"/>
                <w:szCs w:val="16"/>
                <w:color w:val="auto"/>
              </w:rPr>
              <w:t>Repayments of our debt obligations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36,801</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 to noncontrolling interests</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w:t>
            </w:r>
          </w:p>
        </w:tc>
      </w:tr>
      <w:tr>
        <w:trPr>
          <w:trHeight w:val="213"/>
        </w:trPr>
        <w:tc>
          <w:tcPr>
            <w:tcW w:w="976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21,982</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options exercised and DRSPP issuance</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976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173,382</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stock</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56,169</w:t>
            </w:r>
          </w:p>
        </w:tc>
      </w:tr>
      <w:tr>
        <w:trPr>
          <w:trHeight w:val="213"/>
        </w:trPr>
        <w:tc>
          <w:tcPr>
            <w:tcW w:w="9760" w:type="dxa"/>
            <w:vAlign w:val="bottom"/>
          </w:tcPr>
          <w:p>
            <w:pPr>
              <w:ind w:left="20"/>
              <w:spacing w:after="0"/>
              <w:rPr>
                <w:sz w:val="20"/>
                <w:szCs w:val="20"/>
                <w:color w:val="auto"/>
              </w:rPr>
            </w:pPr>
            <w:r>
              <w:rPr>
                <w:rFonts w:ascii="Arial" w:cs="Arial" w:eastAsia="Arial" w:hAnsi="Arial"/>
                <w:sz w:val="16"/>
                <w:szCs w:val="16"/>
                <w:color w:val="auto"/>
              </w:rPr>
              <w:t>Acquisition of subsidiary interest from noncontrolling interest</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1,536</w:t>
            </w:r>
          </w:p>
        </w:tc>
      </w:t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and distributions paid</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15,101</w:t>
            </w:r>
          </w:p>
        </w:tc>
      </w:tr>
      <w:tr>
        <w:trPr>
          <w:trHeight w:val="212"/>
        </w:trPr>
        <w:tc>
          <w:tcPr>
            <w:tcW w:w="9760" w:type="dxa"/>
            <w:vAlign w:val="bottom"/>
          </w:tcPr>
          <w:p>
            <w:pPr>
              <w:ind w:left="20"/>
              <w:spacing w:after="0"/>
              <w:rPr>
                <w:sz w:val="20"/>
                <w:szCs w:val="20"/>
                <w:color w:val="auto"/>
              </w:rPr>
            </w:pPr>
            <w:r>
              <w:rPr>
                <w:rFonts w:ascii="Arial" w:cs="Arial" w:eastAsia="Arial" w:hAnsi="Arial"/>
                <w:sz w:val="16"/>
                <w:szCs w:val="16"/>
                <w:color w:val="auto"/>
              </w:rPr>
              <w:t>Decrease in net cash provided by financing activities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(1,032,808)</w:t>
            </w:r>
          </w:p>
        </w:tc>
      </w:tr>
      <w:tr>
        <w:trPr>
          <w:trHeight w:val="21"/>
        </w:trPr>
        <w:tc>
          <w:tcPr>
            <w:tcW w:w="9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authorized capital stock consists of 260,000,000 shares, $0.01 par value per share, consisting of 160,000,000 shares of common stock, $0.01 par value per share, 75,000,000 shares of excess stock, at $0.01 par value per share, and 25,000,000 shares of preferred stock, $0.01 par value per share. As of June 30, 2021, 67,879,802 shares of common stock and no shares of excess stock were issued and outstanding.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December 4, 2020, our Board of Directors declared an ordinary dividend and a special dividend (together, "the Total Dividend"). The Total Dividend was paid on January 15, 2021 to shareholders of record at the close of business on December 15, 2020 ("the Record Date"). Shareholders had the opportunity to elect to receive the Total Dividend in the form of all cash or all stock, subject to proration if either option was oversubscribed. Shareholders who elected to receive cash received, for each share of common stock they owned as of the Record Date, approximately $0.3735 in cash and 0.0279 shares of common stock. Shareholders who elected to receive shares received, for each share of common stock they owned as of the Record Date, approximately 0.0343 shares of common stock. The number of shares issued was calculated based on the volume weighted average trading price of SLG's common stock between January 5-7, 2021, of $58.15 per share.</w:t>
      </w:r>
    </w:p>
    <w:p>
      <w:pPr>
        <w:spacing w:after="0" w:line="6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To mitigate the dilutive impact of the common stock issued in the special dividend, the Board of Directors also authorized a reverse stock split, which was effective after markets closed on January 20, 2021. On January 8, 2021, a committee of the Board of Directors calculated the ratio for the reverse stock split of our issued and outstanding shares of common stock as 1.02918-for-1. After the issuance of the dividend and the completion of the reverse stock split, the number of shares of our common stock outstanding was equivalent to the number of total shares outstanding on the Record Date (not including any issuances or repurchases that occurred following the Record Date, as well as any fractional shares that would have been issued but for which cash-in-lieu was paid). However, on a relative basis, some individual shareholders may have more shares of SLG’s common stock, and some individual shareholders may have fewer shares of our common stock, depending on their individual elections to receive cash or stock and as a result of the cash option being oversubscribed.</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All share-related references and measurements including the number of shares outstanding, share prices, number of shares repurchased, earnings per share, dividends per share, and share-based compensation awards, have been retroactively adjusted to reflect the reverse stock split for all periods presented in this Quarterly Report on Form 10-Q.</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August 2016, our Board of Directors approved a $1.0 billion share repurchase program under which we can buy shares of our common stock. The Board of Directors has since authorized five separate $500.0 million increases to the size of the share repurchase program in the fourth quarter of 2017, second quarter of 2018, fourth quarter of 2018, fourth quarter of 2019, and fourth quarter of 2020 bringing the total program size to $3.5 billion.</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2021, share repurchases, excluding the redemption of OP units, executed under the program were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1"/>
              </w:rPr>
              <w:t>Cumulative number of shares</w:t>
            </w:r>
          </w:p>
        </w:tc>
        <w:tc>
          <w:tcPr>
            <w:tcW w:w="0" w:type="dxa"/>
            <w:vAlign w:val="bottom"/>
          </w:tcPr>
          <w:p>
            <w:pPr>
              <w:spacing w:after="0"/>
              <w:rPr>
                <w:sz w:val="1"/>
                <w:szCs w:val="1"/>
                <w:color w:val="auto"/>
              </w:rPr>
            </w:pPr>
          </w:p>
        </w:tc>
      </w:tr>
      <w:tr>
        <w:trPr>
          <w:trHeight w:val="162"/>
        </w:trPr>
        <w:tc>
          <w:tcPr>
            <w:tcW w:w="378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Period</w:t>
            </w:r>
          </w:p>
        </w:tc>
        <w:tc>
          <w:tcPr>
            <w:tcW w:w="2860" w:type="dxa"/>
            <w:vAlign w:val="bottom"/>
            <w:vMerge w:val="restart"/>
          </w:tcPr>
          <w:p>
            <w:pPr>
              <w:jc w:val="center"/>
              <w:ind w:left="939"/>
              <w:spacing w:after="0"/>
              <w:rPr>
                <w:sz w:val="20"/>
                <w:szCs w:val="20"/>
                <w:color w:val="auto"/>
              </w:rPr>
            </w:pPr>
            <w:r>
              <w:rPr>
                <w:rFonts w:ascii="Arial" w:cs="Arial" w:eastAsia="Arial" w:hAnsi="Arial"/>
                <w:sz w:val="16"/>
                <w:szCs w:val="16"/>
                <w:b w:val="1"/>
                <w:bCs w:val="1"/>
                <w:color w:val="auto"/>
                <w:w w:val="88"/>
              </w:rPr>
              <w:t>Shares repurchased</w:t>
            </w:r>
          </w:p>
        </w:tc>
        <w:tc>
          <w:tcPr>
            <w:tcW w:w="2340" w:type="dxa"/>
            <w:vAlign w:val="bottom"/>
            <w:vMerge w:val="restart"/>
          </w:tcPr>
          <w:p>
            <w:pPr>
              <w:ind w:left="260"/>
              <w:spacing w:after="0"/>
              <w:rPr>
                <w:sz w:val="20"/>
                <w:szCs w:val="20"/>
                <w:color w:val="auto"/>
              </w:rPr>
            </w:pPr>
            <w:r>
              <w:rPr>
                <w:rFonts w:ascii="Arial" w:cs="Arial" w:eastAsia="Arial" w:hAnsi="Arial"/>
                <w:sz w:val="16"/>
                <w:szCs w:val="16"/>
                <w:b w:val="1"/>
                <w:bCs w:val="1"/>
                <w:color w:val="auto"/>
                <w:w w:val="93"/>
              </w:rPr>
              <w:t>Average price paid per share</w:t>
            </w:r>
          </w:p>
        </w:tc>
        <w:tc>
          <w:tcPr>
            <w:tcW w:w="2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repurchased as part of the</w:t>
            </w: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0"/>
              </w:rPr>
              <w:t>repurchase plan or programs</w:t>
            </w: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Year ended 2017</w:t>
            </w:r>
          </w:p>
        </w:tc>
        <w:tc>
          <w:tcPr>
            <w:tcW w:w="286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2"/>
              </w:rPr>
              <w:t>8,105,881</w:t>
            </w:r>
          </w:p>
        </w:tc>
        <w:tc>
          <w:tcPr>
            <w:tcW w:w="23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$104.61</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8,105,881</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Year ended 2018</w:t>
            </w:r>
          </w:p>
        </w:tc>
        <w:tc>
          <w:tcPr>
            <w:tcW w:w="2860" w:type="dxa"/>
            <w:vAlign w:val="bottom"/>
          </w:tcPr>
          <w:p>
            <w:pPr>
              <w:jc w:val="center"/>
              <w:ind w:left="919"/>
              <w:spacing w:after="0"/>
              <w:rPr>
                <w:sz w:val="20"/>
                <w:szCs w:val="20"/>
                <w:color w:val="auto"/>
              </w:rPr>
            </w:pPr>
            <w:r>
              <w:rPr>
                <w:rFonts w:ascii="Arial" w:cs="Arial" w:eastAsia="Arial" w:hAnsi="Arial"/>
                <w:sz w:val="16"/>
                <w:szCs w:val="16"/>
                <w:color w:val="auto"/>
                <w:w w:val="92"/>
              </w:rPr>
              <w:t>9,468,617</w:t>
            </w:r>
          </w:p>
        </w:tc>
        <w:tc>
          <w:tcPr>
            <w:tcW w:w="2340" w:type="dxa"/>
            <w:vAlign w:val="bottom"/>
          </w:tcPr>
          <w:p>
            <w:pPr>
              <w:jc w:val="center"/>
              <w:ind w:left="99"/>
              <w:spacing w:after="0"/>
              <w:rPr>
                <w:sz w:val="20"/>
                <w:szCs w:val="20"/>
                <w:color w:val="auto"/>
              </w:rPr>
            </w:pPr>
            <w:r>
              <w:rPr>
                <w:rFonts w:ascii="Arial" w:cs="Arial" w:eastAsia="Arial" w:hAnsi="Arial"/>
                <w:sz w:val="16"/>
                <w:szCs w:val="16"/>
                <w:color w:val="auto"/>
                <w:w w:val="89"/>
              </w:rPr>
              <w:t>$99.03</w:t>
            </w: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17,574,498</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Year ended 2019</w:t>
            </w:r>
          </w:p>
        </w:tc>
        <w:tc>
          <w:tcPr>
            <w:tcW w:w="286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2"/>
              </w:rPr>
              <w:t>4,465,857</w:t>
            </w:r>
          </w:p>
        </w:tc>
        <w:tc>
          <w:tcPr>
            <w:tcW w:w="23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$86.06</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22,040,355</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Year Ended 2020</w:t>
            </w:r>
          </w:p>
        </w:tc>
        <w:tc>
          <w:tcPr>
            <w:tcW w:w="2860" w:type="dxa"/>
            <w:vAlign w:val="bottom"/>
          </w:tcPr>
          <w:p>
            <w:pPr>
              <w:jc w:val="center"/>
              <w:ind w:left="919"/>
              <w:spacing w:after="0"/>
              <w:rPr>
                <w:sz w:val="20"/>
                <w:szCs w:val="20"/>
                <w:color w:val="auto"/>
              </w:rPr>
            </w:pPr>
            <w:r>
              <w:rPr>
                <w:rFonts w:ascii="Arial" w:cs="Arial" w:eastAsia="Arial" w:hAnsi="Arial"/>
                <w:sz w:val="16"/>
                <w:szCs w:val="16"/>
                <w:color w:val="auto"/>
                <w:w w:val="92"/>
              </w:rPr>
              <w:t>8,529,279</w:t>
            </w:r>
          </w:p>
        </w:tc>
        <w:tc>
          <w:tcPr>
            <w:tcW w:w="2340" w:type="dxa"/>
            <w:vAlign w:val="bottom"/>
          </w:tcPr>
          <w:p>
            <w:pPr>
              <w:jc w:val="center"/>
              <w:ind w:left="99"/>
              <w:spacing w:after="0"/>
              <w:rPr>
                <w:sz w:val="20"/>
                <w:szCs w:val="20"/>
                <w:color w:val="auto"/>
              </w:rPr>
            </w:pPr>
            <w:r>
              <w:rPr>
                <w:rFonts w:ascii="Arial" w:cs="Arial" w:eastAsia="Arial" w:hAnsi="Arial"/>
                <w:sz w:val="16"/>
                <w:szCs w:val="16"/>
                <w:color w:val="auto"/>
                <w:w w:val="89"/>
              </w:rPr>
              <w:t>$62.39</w:t>
            </w: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30,569,634</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 xml:space="preserve">Six months ended June 30, 2021 </w:t>
            </w:r>
            <w:r>
              <w:rPr>
                <w:rFonts w:ascii="Arial" w:cs="Arial" w:eastAsia="Arial" w:hAnsi="Arial"/>
                <w:sz w:val="21"/>
                <w:szCs w:val="21"/>
                <w:color w:val="auto"/>
                <w:vertAlign w:val="superscript"/>
              </w:rPr>
              <w:t>(1)</w:t>
            </w:r>
          </w:p>
        </w:tc>
        <w:tc>
          <w:tcPr>
            <w:tcW w:w="286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2"/>
              </w:rPr>
              <w:t>2,780,667</w:t>
            </w:r>
          </w:p>
        </w:tc>
        <w:tc>
          <w:tcPr>
            <w:tcW w:w="23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$71.51</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33,350,301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(1) Includes 296,424 shares of common stock repurchased by the Company in June 2021 that were settled in July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 ("DRSPP")</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following table summarizes SL Green common stock issued, and proceeds received from dividend reinvestments and/or stock purchases under the DRSPP for the three and six months ended June 30, 2021 and 2020, respectively (dollars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r>
      <w:tr>
        <w:trPr>
          <w:trHeight w:val="210"/>
        </w:trPr>
        <w:tc>
          <w:tcPr>
            <w:tcW w:w="46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common stock issued</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3,791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7,034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w:t>
            </w:r>
          </w:p>
        </w:tc>
      </w:tr>
      <w:tr>
        <w:trPr>
          <w:trHeight w:val="210"/>
        </w:trPr>
        <w:tc>
          <w:tcPr>
            <w:tcW w:w="4680" w:type="dxa"/>
            <w:vAlign w:val="bottom"/>
          </w:tcPr>
          <w:p>
            <w:pPr>
              <w:ind w:left="20"/>
              <w:spacing w:after="0"/>
              <w:rPr>
                <w:sz w:val="20"/>
                <w:szCs w:val="20"/>
                <w:color w:val="auto"/>
              </w:rPr>
            </w:pPr>
            <w:r>
              <w:rPr>
                <w:rFonts w:ascii="Arial" w:cs="Arial" w:eastAsia="Arial" w:hAnsi="Arial"/>
                <w:sz w:val="16"/>
                <w:szCs w:val="16"/>
                <w:color w:val="auto"/>
              </w:rPr>
              <w:t>Dividend reinvestments/stock purchases under the DRSPP</w:t>
            </w:r>
          </w:p>
        </w:tc>
        <w:tc>
          <w:tcPr>
            <w:tcW w:w="1020" w:type="dxa"/>
            <w:vAlign w:val="bottom"/>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467</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364</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Amended and Restated 2005 Stock Option and Incentive Plan</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Fourth Amended and Restated 2005 Stock Option and Incentive Plan, or the 2005 Plan, was approved by the Company's Board of Directors in April 2016 and its stockholders in June 2016 at the Company's annual meeting of stockholders. Subject to adjustments upon certain corporate transactions or events, awards with respect to up to a maximum of 27,030,000 fungible units may be granted as options, restricted stock, phantom shares, dividend equivalent rights and other equity-based awards under the 2005 Plan. As of June 30, 2021, 2.3 million fungible units were available for issuance under the 2005 Plan after reserving for shares underlying outstanding restricted stock units, phantom stock units granted pursuant to our Non-Employee Directors' Deferral Program and LTIP Units.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for Directors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During the six months ended June 30, 2021, 20,363 phantom stock units and 12,150 shares of common stock were issued to our Board of Directors. We recorded compensation expense of $0.2 million and $2.0 million during the three and six months ended June 30, 2021, respectively, related to the Deferred Compensation Plan. We recorded compensation expense of $0.2 million and $2.0 million during the three and six months ended June 30, 2020, respectively, related to the Deferred Compensation Plan.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2021, there were 161,139 phantom stock units outstanding pursuant to our Non-Employee Director's Deferral Program.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table below summarizes our consolidated mortgages and other loans payable, 2017 credit facility, senior unsecured notes and trust preferred securities outstanding at June 30, 2021 and December 31, 2020, (amounts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Debt Summary:</w:t>
            </w:r>
          </w:p>
        </w:tc>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9"/>
              </w:rPr>
              <w:t>December 31, 2020</w:t>
            </w:r>
          </w:p>
        </w:tc>
      </w:tr>
      <w:tr>
        <w:trPr>
          <w:trHeight w:val="19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w:t>
            </w: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Fixed rate</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1,980,094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1,985,572</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rate—hedged</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1,950,000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1,150,000</w:t>
            </w:r>
          </w:p>
        </w:tc>
      </w:tr>
      <w:tr>
        <w:trPr>
          <w:trHeight w:val="207"/>
        </w:trPr>
        <w:tc>
          <w:tcPr>
            <w:tcW w:w="6900" w:type="dxa"/>
            <w:vAlign w:val="bottom"/>
          </w:tcPr>
          <w:p>
            <w:pPr>
              <w:ind w:left="140"/>
              <w:spacing w:after="0"/>
              <w:rPr>
                <w:sz w:val="20"/>
                <w:szCs w:val="20"/>
                <w:color w:val="auto"/>
              </w:rPr>
            </w:pPr>
            <w:r>
              <w:rPr>
                <w:rFonts w:ascii="Arial" w:cs="Arial" w:eastAsia="Arial" w:hAnsi="Arial"/>
                <w:sz w:val="16"/>
                <w:szCs w:val="16"/>
                <w:color w:val="auto"/>
              </w:rPr>
              <w:t>Total fixed rate</w:t>
            </w:r>
          </w:p>
        </w:tc>
        <w:tc>
          <w:tcPr>
            <w:tcW w:w="340" w:type="dxa"/>
            <w:vAlign w:val="bottom"/>
          </w:tcPr>
          <w:p>
            <w:pPr>
              <w:spacing w:after="0"/>
              <w:rPr>
                <w:sz w:val="17"/>
                <w:szCs w:val="17"/>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3,930,094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3,135,572</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variable rate</w:t>
            </w:r>
          </w:p>
        </w:tc>
        <w:tc>
          <w:tcPr>
            <w:tcW w:w="3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795,902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1,827,677</w:t>
            </w:r>
          </w:p>
        </w:tc>
      </w:tr>
      <w:tr>
        <w:trPr>
          <w:trHeight w:val="212"/>
        </w:trPr>
        <w:tc>
          <w:tcPr>
            <w:tcW w:w="690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4,725,996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4,963,249</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4"/>
        </w:trPr>
        <w:tc>
          <w:tcPr>
            <w:tcW w:w="6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Debt, preferred equity, and other investments subject to variable rate</w:t>
            </w:r>
          </w:p>
        </w:tc>
        <w:tc>
          <w:tcPr>
            <w:tcW w:w="34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308,351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345,877</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exposure to variable rate debt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7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487,551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1,481,800</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Percent of Total Debt</w:t>
            </w:r>
            <w:r>
              <w:rPr>
                <w:rFonts w:ascii="Arial" w:cs="Arial" w:eastAsia="Arial" w:hAnsi="Arial"/>
                <w:sz w:val="16"/>
                <w:szCs w:val="16"/>
                <w:color w:val="auto"/>
              </w:rPr>
              <w: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Fixed rate</w:t>
            </w: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83.2 %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63.2 %</w:t>
            </w:r>
          </w:p>
        </w:tc>
      </w:tr>
      <w:tr>
        <w:trPr>
          <w:trHeight w:val="219"/>
        </w:trPr>
        <w:tc>
          <w:tcPr>
            <w:tcW w:w="69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Variable rate </w:t>
            </w:r>
            <w:r>
              <w:rPr>
                <w:rFonts w:ascii="Arial" w:cs="Arial" w:eastAsia="Arial" w:hAnsi="Arial"/>
                <w:sz w:val="21"/>
                <w:szCs w:val="21"/>
                <w:color w:val="auto"/>
                <w:vertAlign w:val="superscript"/>
              </w:rPr>
              <w:t>(1)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16.8 %</w:t>
            </w:r>
          </w:p>
        </w:tc>
        <w:tc>
          <w:tcPr>
            <w:tcW w:w="10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36.8 %</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Total</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100.0 %</w:t>
            </w:r>
          </w:p>
        </w:tc>
        <w:tc>
          <w:tcPr>
            <w:tcW w:w="10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8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Effective Interest Rate for the Year:</w:t>
            </w: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Fixed rate</w:t>
            </w: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3.08 %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3.65 %</w:t>
            </w: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Variable rate</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2.30 %</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Effective interest rate</w:t>
            </w: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2.80 %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2.91 %</w:t>
            </w:r>
          </w:p>
        </w:tc>
      </w:tr>
    </w:tbl>
    <w:p>
      <w:pPr>
        <w:spacing w:after="0" w:line="189" w:lineRule="exact"/>
        <w:rPr>
          <w:sz w:val="20"/>
          <w:szCs w:val="20"/>
          <w:color w:val="auto"/>
        </w:rPr>
      </w:pPr>
    </w:p>
    <w:p>
      <w:pPr>
        <w:ind w:left="420" w:hanging="412"/>
        <w:spacing w:after="0" w:line="273" w:lineRule="auto"/>
        <w:tabs>
          <w:tab w:leader="none" w:pos="33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Inclusive of the mitigating effect of our debt, preferred equity, and other investments subject to variable rate, the percent of total debt of our net exposure to variable rate debt was 11.0% and 32.1% as of June 30, 2021 and December 31, 2020, respectively.</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variable rate debt shown above generally bears interest at an interest rate based on 30-day LIBOR (0.10% and 0.14% at June 30, 2021 and December 31, 2020, respectively). Our consolidated debt at June 30, 2021 had a weighted average term to maturity of 2.48 years.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Certain of our debt and equity investments and other investments, with carrying values of $0.3 billion at June 30, 2021 and $0.3 billion at December 31, 2020, are variable rate investments which mitigate our exposure to interest rate changes on our unhedged variable rate debt. Inclusive of the mitigating effect of these investments, the net percent of our variable rate debt to total debt was 11.0% and 32.1%,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Credit Facility</w:t>
      </w:r>
    </w:p>
    <w:p>
      <w:pPr>
        <w:spacing w:after="0" w:line="121" w:lineRule="exact"/>
        <w:rPr>
          <w:sz w:val="20"/>
          <w:szCs w:val="20"/>
          <w:color w:val="auto"/>
        </w:rPr>
      </w:pPr>
    </w:p>
    <w:p>
      <w:pPr>
        <w:jc w:val="both"/>
        <w:ind w:firstLine="234"/>
        <w:spacing w:after="0" w:line="254" w:lineRule="auto"/>
        <w:rPr>
          <w:sz w:val="20"/>
          <w:szCs w:val="20"/>
          <w:color w:val="auto"/>
        </w:rPr>
      </w:pPr>
      <w:r>
        <w:rPr>
          <w:rFonts w:ascii="Arial" w:cs="Arial" w:eastAsia="Arial" w:hAnsi="Arial"/>
          <w:sz w:val="18"/>
          <w:szCs w:val="18"/>
          <w:color w:val="auto"/>
        </w:rPr>
        <w:t>In November 2017, we entered into an amendment to the credit facility, referred to as the 2017 credit facility, that was originally entered into by the Company in November 2012, or the 2012 credit facility. As of June 30, 2021, the 2017 credit facility consisted of a $1.5 billion revolving credit facility, a $1.3 billion term loan (or "Term Loan A"), and a $200.0 million term loan (or "Term Loan B") with maturity dates of March 31, 2022, March 31, 2023, and November 21, 2024, respectively. The revolving credit facility has two six-month as-of-right extension options to March 31, 2023.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spacing w:after="0" w:line="8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As of June 30, 2021, the 2017 credit facility bore interest at a spread over 30-day LIBOR ranging from (i) 82.5 basis points to 155 basis points for loans under the revolving credit facility, (ii) 90 basis points to 175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At June 30, 2021, the applicable spread was 100 basis points for the revolving credit facility, 110 basis points for Term Loan A, and 100 basis points for Term Loan B. We are required to pay quarterly in arrears a 12.5 to 30 basis point facility fee on the total commitments under the revolving credit facility based on the credit rating assigned to the senior unsecured long term indebtedness of the Company. As of June 30, 2021, the facility fee was 20 basis points.</w:t>
      </w:r>
    </w:p>
    <w:p>
      <w:pPr>
        <w:spacing w:after="0" w:line="7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As of June 30, 2021, we had $16.5 million of outstanding letters of credit, $0.0 million drawn under the revolving credit facility and $1.5 billion outstanding under the term loan facilities, with total undrawn capacity of $1.5 billion under the revolving credit facility. At June 30, 2021 and December 31, 2020, the revolving credit facility had a carrying value of $(3.6) million and $105.3 million, respectively, net of deferred financing costs. At June 30, 2021 and December 31, 2020, the term loan facilities had a carrying value of $1.5 billion and $1.5 billion, respectively, net of deferred financing costs.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Operating Partnership are borrowers jointly and severally obligated under the 2017 credit facility.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2017 credit facility includes certain restrictions and covenants (see Restrictive Covenants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terms of the 2017 credit facility and certain of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June 30, 2021 and December 31, 2020, we were in compliance with all such covenants.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are exposed to changes in interest rates primarily from our variable rate debt. Our exposure to interest rate fluctuations are managed through either the use of interest rate derivative instruments and/or through our variable rate debt and preferred equity investments. Based on the debt outstanding as of June 30, 2021, a hypothetical 100 basis point increase in the floating rate interest rate curve would increase our consolidated annual interest cost, net of interest income from variable rate debt and preferred equity investments, by $4.6 million and would increase our share of joint venture annual interest cost by $11.3 million. At June 30, 2021, 28.7% of our $1.1 billion debt and preferred equity portfolio is indexed to LIBOR.</w:t>
      </w:r>
    </w:p>
    <w:p>
      <w:pPr>
        <w:spacing w:after="0" w:line="6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recognize most derivatives on the balance sheet at fair value. Derivatives that are not hedges are adjusted to fair value through income. If a derivative is considered a hedge, depending on the nature of the hedge, changes in the fair value of the derivative will either be offset against the change in fair value of the hedged asset, liability, or firm commitment through earnings, or recognized in other comprehensive income until the hedged item is recognized in earnings.</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long-term debt of $3.9 billion bears interest at fixed rates, and therefore the fair value of these instruments is affected by changes in the market interest rates. Our variable rate debt and variable rate joint venture debt as of June 30, 2021 bore interest based on a spread of LIBOR plus 100 basis points to LIBOR plus 340 basis points.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Refer to our 2020 Annual Report on Form 10-K for a discussion of our contractual obligations. There have been no material changes, outside the ordinary course of business, to these contractual obligations during the six months ended June 30,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have off-balance sheet investments, including joint ventures and debt and preferred equity investments. These investments all have varying ownership structures. A majority of our joint venture arrangements are accounted for under the equity method of accounting as we have the ability to exercise significant influence, but not control, over the operating and financial decisions of these joint venture arrangements. Our off-balance sheet arrangements are discussed in Note 5, "Debt and Preferred Equity Investments" and Note 6, "Investments in Unconsolidated Joint Ventures"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estimate that for the remainder of the year ending December 31, 2021, we expect to incur $57.1 million of recurring capital expenditures on existing consolidated properties and $91.0 million of development or redevelopment expenditures on existing consolidated properties, of which $5.3 million will be funded by construction financing facilities or loan reserves. We expect our share of capital expenditures at our joint venture properties will be $162.8 million, of which $122.6 million will be funded by construction financing facilities or loan reserves. We expect to fund capital expenditures from operating cash flow, existing liquidity, and borrowings from construction financing facilities. Future property acquisitions may require substantial capital investments for refurbishment and leasing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Dividends/Distributions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expect to pay cash dividends to our stockholders based on the distributions we receive from our Operating Partnership, which are generated by the collection of property revenues, net of operating expenses, and interest on our debt and preferred equity portfolio.</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To maintain our qualification as a REIT, we must pay annual dividends to our stockholders of at least 90% of our REIT taxable income, determined before taking into consideration the dividends paid deduction and net capital gains.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Any dividend we pay may be in the form of cash, stock or a combination thereof, subject to IRS limitations on the use of stock for dividends. Additionally, if our REIT taxable income in a particular year exceeds the amount of cash dividends we pay in that year, we may pay stock dividends in order to maintain our REIT status and avoid certain REIT-level taxes.</w:t>
      </w:r>
    </w:p>
    <w:p>
      <w:pPr>
        <w:spacing w:after="0" w:line="76"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Before we pay any cash dividend, whether for Federal income tax purposes or otherwise, which would only be paid out of available cash to the extent permitted under the 2017 credit facility and senior unsecured notes, we must first meet both our operating requirements and scheduled debt service on our mortgages and loans payable.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maintain “all-risk” property and rental value coverage (including coverage regarding the perils of flood, earthquake and terrorism, excluding nuclear, biological, chemical, and radiological terrorism ("NBCR")), within three property insurance programs and liability insurance. Separate property and liability coverage may be purchased on a stand-alone basis for certain assets, such as development projects. Additionally, one of our captive insurance companies, Belmont Insurance Company, or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w:t>
      </w:r>
    </w:p>
    <w:p>
      <w:pPr>
        <w:spacing w:after="0" w:line="7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FFO is a widely recognized non-GAAP financial measure of REIT performance. The Company computes FFO in accordance with standards established by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our ability to make cash distributions.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FFO for the three and six months ended June 30, 2021 and 2020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8"/>
                <w:szCs w:val="18"/>
                <w:color w:val="auto"/>
              </w:rPr>
            </w:pPr>
          </w:p>
        </w:tc>
        <w:tc>
          <w:tcPr>
            <w:tcW w:w="22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4"/>
              </w:rPr>
              <w:t>Six Months Ended June 30,</w:t>
            </w:r>
          </w:p>
        </w:tc>
      </w:tr>
      <w:tr>
        <w:trPr>
          <w:trHeight w:val="210"/>
        </w:trPr>
        <w:tc>
          <w:tcPr>
            <w:tcW w:w="5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SL Green common stockholders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105,332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97,868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171,245</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Add: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120,257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164,220</w:t>
            </w:r>
          </w:p>
        </w:tc>
      </w:tr>
      <w:tr>
        <w:trPr>
          <w:trHeight w:val="213"/>
        </w:trPr>
        <w:tc>
          <w:tcPr>
            <w:tcW w:w="5900" w:type="dxa"/>
            <w:vAlign w:val="bottom"/>
          </w:tcPr>
          <w:p>
            <w:pPr>
              <w:ind w:left="140"/>
              <w:spacing w:after="0"/>
              <w:rPr>
                <w:sz w:val="20"/>
                <w:szCs w:val="20"/>
                <w:color w:val="auto"/>
              </w:rPr>
            </w:pPr>
            <w:r>
              <w:rPr>
                <w:rFonts w:ascii="Arial" w:cs="Arial" w:eastAsia="Arial" w:hAnsi="Arial"/>
                <w:sz w:val="16"/>
                <w:szCs w:val="16"/>
                <w:color w:val="auto"/>
              </w:rPr>
              <w:t>Joint venture depreciation and noncontrolling interest adjustments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59,485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45,107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115,187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101,425</w:t>
            </w:r>
          </w:p>
        </w:tc>
      </w:tr>
      <w:tr>
        <w:trPr>
          <w:trHeight w:val="219"/>
        </w:trPr>
        <w:tc>
          <w:tcPr>
            <w:tcW w:w="5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10,002</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Less: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Equity in net gain (loss) on sale of interest in unconsolidated joint venture/real estate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00" w:type="dxa"/>
            <w:vAlign w:val="bottom"/>
          </w:tcPr>
          <w:p>
            <w:pPr>
              <w:ind w:left="140"/>
              <w:spacing w:after="0"/>
              <w:rPr>
                <w:sz w:val="20"/>
                <w:szCs w:val="20"/>
                <w:color w:val="auto"/>
              </w:rPr>
            </w:pPr>
            <w:r>
              <w:rPr>
                <w:rFonts w:ascii="Arial" w:cs="Arial" w:eastAsia="Arial" w:hAnsi="Arial"/>
                <w:sz w:val="16"/>
                <w:szCs w:val="16"/>
                <w:color w:val="auto"/>
              </w:rPr>
              <w:t>Depreciable real estate reserves and impairment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2,545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sale of real estate,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98,960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97,572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137,520</w:t>
            </w:r>
          </w:p>
        </w:tc>
      </w:tr>
      <w:tr>
        <w:trPr>
          <w:trHeight w:val="213"/>
        </w:trPr>
        <w:tc>
          <w:tcPr>
            <w:tcW w:w="5900" w:type="dxa"/>
            <w:vAlign w:val="bottom"/>
          </w:tcPr>
          <w:p>
            <w:pPr>
              <w:ind w:left="140"/>
              <w:spacing w:after="0"/>
              <w:rPr>
                <w:sz w:val="20"/>
                <w:szCs w:val="20"/>
                <w:color w:val="auto"/>
              </w:rPr>
            </w:pPr>
            <w:r>
              <w:rPr>
                <w:rFonts w:ascii="Arial" w:cs="Arial" w:eastAsia="Arial" w:hAnsi="Arial"/>
                <w:sz w:val="16"/>
                <w:szCs w:val="16"/>
                <w:color w:val="auto"/>
              </w:rPr>
              <w:t>Purchase price and other fair value adjustments</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2,664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on non-rental real estate assets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r>
      <w:tr>
        <w:trPr>
          <w:trHeight w:val="212"/>
        </w:trPr>
        <w:tc>
          <w:tcPr>
            <w:tcW w:w="5900" w:type="dxa"/>
            <w:vAlign w:val="bottom"/>
          </w:tcPr>
          <w:p>
            <w:pPr>
              <w:ind w:left="20"/>
              <w:spacing w:after="0"/>
              <w:rPr>
                <w:sz w:val="20"/>
                <w:szCs w:val="20"/>
                <w:color w:val="auto"/>
              </w:rPr>
            </w:pPr>
            <w:r>
              <w:rPr>
                <w:rFonts w:ascii="Arial" w:cs="Arial" w:eastAsia="Arial" w:hAnsi="Arial"/>
                <w:sz w:val="16"/>
                <w:szCs w:val="16"/>
                <w:color w:val="auto"/>
              </w:rPr>
              <w:t>Funds from Operations attributable to SL Green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117,672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136,092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245,998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308,113</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103,264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224,305</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Cash flows provided by investing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621,340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533,237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641,521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403,819</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provided by financing activities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(791,108)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(801,079)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231,729</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Substantially all of our office leases provide for separate real estate tax and operating expense escalations as well as operating expense recoveries based on increases in the CPI or other measures such as porters' wage. In addition, many of the leases provide for fixed base rent increases. We believe that inflationary increases will be at least partially offset by the contractual rent increases and expense escalations described above.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Accounting Standards Updates are discussed in Note 2, "Significant Accounting Policies-Accounting Standards Updates"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58" w:lineRule="exact"/>
        <w:rPr>
          <w:sz w:val="20"/>
          <w:szCs w:val="20"/>
          <w:color w:val="auto"/>
        </w:rPr>
      </w:pPr>
    </w:p>
    <w:p>
      <w:pPr>
        <w:jc w:val="both"/>
        <w:ind w:right="20" w:firstLine="445"/>
        <w:spacing w:after="0" w:line="286" w:lineRule="auto"/>
        <w:rPr>
          <w:sz w:val="20"/>
          <w:szCs w:val="20"/>
          <w:color w:val="auto"/>
        </w:rPr>
      </w:pPr>
      <w:r>
        <w:rPr>
          <w:rFonts w:ascii="Arial" w:cs="Arial" w:eastAsia="Arial" w:hAnsi="Arial"/>
          <w:sz w:val="17"/>
          <w:szCs w:val="17"/>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5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76"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effect of general economic, business and financial conditions, and their effect on the New York City real estate market in particular;</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effect of the on-going COVID-19 pandemic and the duration of the impact it will have on our business and the industry as a whole;</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dependence upon certain geographic markets;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of real estate acquisitions, dispositions, development and redevelopment, including the cost of construction delays and cost overruns;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relating to debt and preferred equity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availability and creditworthiness of prospective tenants and borrowers;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bankruptcy or insolvency of a major tenant or a significant number of smaller tenants or borrowers;</w:t>
      </w:r>
    </w:p>
    <w:p>
      <w:pPr>
        <w:spacing w:after="0" w:line="11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changes in the real estate markets, including reduced demand for office space, increasing vacancy, and increasing availability of sublease space;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availability of capital (debt and equity);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increases in financing and other costs, including a rise in interest rates;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comply with financial covenants in our debt instruments;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of investing through joint venture structures, including the fulfillment by our partners of their financial obligations;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threat of terrorist attacks;</w:t>
      </w:r>
    </w:p>
    <w:p>
      <w:pPr>
        <w:spacing w:after="0" w:line="11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adequate insurance coverage at a reasonable cost and the potential for losses in excess of our insurance coverage, including as a result of environmental contamination; and</w:t>
      </w:r>
    </w:p>
    <w:p>
      <w:pPr>
        <w:spacing w:after="0" w:line="62"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Other factors and risks to our business, many of which are beyond our control, are described in other sections of this report and in our other filings with the SEC. Except to the extent required by law, we undertake no obligation to publicly update or revise any forward-looking statements, whether as a result of future events, new information or otherwise.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4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For quantitative and qualitative disclosure about market risk, see Item 2, "Management's Discussion and Analysis of Financial Condition and Results of Operation - Interest Rate Risk" in this Quarterly Report on Form 10-Q for the three and six months ended June 30, 2021 for the Company and the Operating Partnership and Item 7, "Management's Discussion and Analysis of Financial Condition and Results of Operations - Interest Rate Risk" in the Annual Report on Form 10-K for the year ended December 31, 2020 for the Company and the Operating Partnership. Our exposures to market risk have not changed materially since December 31,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 GREEN REALTY 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significant changes in the Company's internal control over financial reporting during the quarter ended June 30, 2021 that have materially affected, or are reasonably likely to materially affect, its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 GREEN OPERATING PARTNERSHIP,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There have been no significant changes in the Operating Partnership's internal control over financial reporting during the quarter ended June 30, 2021 that have materially affected, or are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445"/>
        <w:spacing w:after="0" w:line="308" w:lineRule="auto"/>
        <w:rPr>
          <w:sz w:val="20"/>
          <w:szCs w:val="20"/>
          <w:color w:val="auto"/>
        </w:rPr>
      </w:pPr>
      <w:r>
        <w:rPr>
          <w:rFonts w:ascii="Arial" w:cs="Arial" w:eastAsia="Arial" w:hAnsi="Arial"/>
          <w:sz w:val="17"/>
          <w:szCs w:val="17"/>
          <w:color w:val="auto"/>
        </w:rPr>
        <w:t>As of June 30, 2021,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As of June 30, 2021 there have been no material changes to the Risk Factors disclosed in "Part I. Item 1A. Risk Factors" in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August 2016, our Board of Directors approved a $1.0 billion share repurchase program under which we can buy shares of our common stock. The Board of Directors has since authorized five separate $500.0 million increases to the size of the share repurchase program in the fourth quarter of 2017, second quarter of 2018, fourth quarter of 2018, fourth quarter of 2019, and fourth quarter of 2020 bringing the total program size to $3.5 billion.</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2021, share repurchases, excluding the redemption of OP units, executed under the program were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0" w:type="dxa"/>
            <w:vAlign w:val="bottom"/>
          </w:tcPr>
          <w:p>
            <w:pPr>
              <w:spacing w:after="0"/>
              <w:rPr>
                <w:sz w:val="1"/>
                <w:szCs w:val="1"/>
                <w:color w:val="auto"/>
              </w:rPr>
            </w:pPr>
          </w:p>
        </w:tc>
      </w:tr>
      <w:tr>
        <w:trPr>
          <w:trHeight w:val="162"/>
        </w:trPr>
        <w:tc>
          <w:tcPr>
            <w:tcW w:w="378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Period</w:t>
            </w:r>
          </w:p>
        </w:tc>
        <w:tc>
          <w:tcPr>
            <w:tcW w:w="2860" w:type="dxa"/>
            <w:vAlign w:val="bottom"/>
            <w:vMerge w:val="restart"/>
          </w:tcPr>
          <w:p>
            <w:pPr>
              <w:jc w:val="center"/>
              <w:ind w:left="939"/>
              <w:spacing w:after="0"/>
              <w:rPr>
                <w:sz w:val="20"/>
                <w:szCs w:val="20"/>
                <w:color w:val="auto"/>
              </w:rPr>
            </w:pPr>
            <w:r>
              <w:rPr>
                <w:rFonts w:ascii="Arial" w:cs="Arial" w:eastAsia="Arial" w:hAnsi="Arial"/>
                <w:sz w:val="16"/>
                <w:szCs w:val="16"/>
                <w:b w:val="1"/>
                <w:bCs w:val="1"/>
                <w:color w:val="auto"/>
                <w:w w:val="88"/>
              </w:rPr>
              <w:t>Shares repurchased</w:t>
            </w:r>
          </w:p>
        </w:tc>
        <w:tc>
          <w:tcPr>
            <w:tcW w:w="2340" w:type="dxa"/>
            <w:vAlign w:val="bottom"/>
            <w:vMerge w:val="restart"/>
          </w:tcPr>
          <w:p>
            <w:pPr>
              <w:ind w:left="260"/>
              <w:spacing w:after="0"/>
              <w:rPr>
                <w:sz w:val="20"/>
                <w:szCs w:val="20"/>
                <w:color w:val="auto"/>
              </w:rPr>
            </w:pPr>
            <w:r>
              <w:rPr>
                <w:rFonts w:ascii="Arial" w:cs="Arial" w:eastAsia="Arial" w:hAnsi="Arial"/>
                <w:sz w:val="16"/>
                <w:szCs w:val="16"/>
                <w:b w:val="1"/>
                <w:bCs w:val="1"/>
                <w:color w:val="auto"/>
                <w:w w:val="93"/>
              </w:rPr>
              <w:t>Average price paid per share</w:t>
            </w:r>
          </w:p>
        </w:tc>
        <w:tc>
          <w:tcPr>
            <w:tcW w:w="2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repurchased as part of the</w:t>
            </w: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0"/>
              </w:rPr>
              <w:t>repurchase plan or programs</w:t>
            </w: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Year ended 2017</w:t>
            </w:r>
          </w:p>
        </w:tc>
        <w:tc>
          <w:tcPr>
            <w:tcW w:w="286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2"/>
              </w:rPr>
              <w:t>8,105,881</w:t>
            </w:r>
          </w:p>
        </w:tc>
        <w:tc>
          <w:tcPr>
            <w:tcW w:w="23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$104.61</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8,105,881</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Year ended 2018</w:t>
            </w:r>
          </w:p>
        </w:tc>
        <w:tc>
          <w:tcPr>
            <w:tcW w:w="2860" w:type="dxa"/>
            <w:vAlign w:val="bottom"/>
          </w:tcPr>
          <w:p>
            <w:pPr>
              <w:jc w:val="center"/>
              <w:ind w:left="919"/>
              <w:spacing w:after="0"/>
              <w:rPr>
                <w:sz w:val="20"/>
                <w:szCs w:val="20"/>
                <w:color w:val="auto"/>
              </w:rPr>
            </w:pPr>
            <w:r>
              <w:rPr>
                <w:rFonts w:ascii="Arial" w:cs="Arial" w:eastAsia="Arial" w:hAnsi="Arial"/>
                <w:sz w:val="16"/>
                <w:szCs w:val="16"/>
                <w:color w:val="auto"/>
                <w:w w:val="92"/>
              </w:rPr>
              <w:t>9,468,617</w:t>
            </w:r>
          </w:p>
        </w:tc>
        <w:tc>
          <w:tcPr>
            <w:tcW w:w="2340" w:type="dxa"/>
            <w:vAlign w:val="bottom"/>
          </w:tcPr>
          <w:p>
            <w:pPr>
              <w:jc w:val="center"/>
              <w:ind w:left="99"/>
              <w:spacing w:after="0"/>
              <w:rPr>
                <w:sz w:val="20"/>
                <w:szCs w:val="20"/>
                <w:color w:val="auto"/>
              </w:rPr>
            </w:pPr>
            <w:r>
              <w:rPr>
                <w:rFonts w:ascii="Arial" w:cs="Arial" w:eastAsia="Arial" w:hAnsi="Arial"/>
                <w:sz w:val="16"/>
                <w:szCs w:val="16"/>
                <w:color w:val="auto"/>
                <w:w w:val="89"/>
              </w:rPr>
              <w:t>$99.03</w:t>
            </w: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17,574,498</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Year ended 2019</w:t>
            </w:r>
          </w:p>
        </w:tc>
        <w:tc>
          <w:tcPr>
            <w:tcW w:w="286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2"/>
              </w:rPr>
              <w:t>4,465,857</w:t>
            </w:r>
          </w:p>
        </w:tc>
        <w:tc>
          <w:tcPr>
            <w:tcW w:w="23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$86.06</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22,040,355</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Year Ended 2020</w:t>
            </w:r>
          </w:p>
        </w:tc>
        <w:tc>
          <w:tcPr>
            <w:tcW w:w="2860" w:type="dxa"/>
            <w:vAlign w:val="bottom"/>
          </w:tcPr>
          <w:p>
            <w:pPr>
              <w:jc w:val="center"/>
              <w:ind w:left="919"/>
              <w:spacing w:after="0"/>
              <w:rPr>
                <w:sz w:val="20"/>
                <w:szCs w:val="20"/>
                <w:color w:val="auto"/>
              </w:rPr>
            </w:pPr>
            <w:r>
              <w:rPr>
                <w:rFonts w:ascii="Arial" w:cs="Arial" w:eastAsia="Arial" w:hAnsi="Arial"/>
                <w:sz w:val="16"/>
                <w:szCs w:val="16"/>
                <w:color w:val="auto"/>
                <w:w w:val="92"/>
              </w:rPr>
              <w:t>8,529,279</w:t>
            </w:r>
          </w:p>
        </w:tc>
        <w:tc>
          <w:tcPr>
            <w:tcW w:w="2340" w:type="dxa"/>
            <w:vAlign w:val="bottom"/>
          </w:tcPr>
          <w:p>
            <w:pPr>
              <w:jc w:val="center"/>
              <w:ind w:left="99"/>
              <w:spacing w:after="0"/>
              <w:rPr>
                <w:sz w:val="20"/>
                <w:szCs w:val="20"/>
                <w:color w:val="auto"/>
              </w:rPr>
            </w:pPr>
            <w:r>
              <w:rPr>
                <w:rFonts w:ascii="Arial" w:cs="Arial" w:eastAsia="Arial" w:hAnsi="Arial"/>
                <w:sz w:val="16"/>
                <w:szCs w:val="16"/>
                <w:color w:val="auto"/>
                <w:w w:val="89"/>
              </w:rPr>
              <w:t>$62.39</w:t>
            </w:r>
          </w:p>
        </w:tc>
        <w:tc>
          <w:tcPr>
            <w:tcW w:w="2200" w:type="dxa"/>
            <w:vAlign w:val="bottom"/>
          </w:tcPr>
          <w:p>
            <w:pPr>
              <w:jc w:val="center"/>
              <w:spacing w:after="0"/>
              <w:rPr>
                <w:sz w:val="20"/>
                <w:szCs w:val="20"/>
                <w:color w:val="auto"/>
              </w:rPr>
            </w:pPr>
            <w:r>
              <w:rPr>
                <w:rFonts w:ascii="Arial" w:cs="Arial" w:eastAsia="Arial" w:hAnsi="Arial"/>
                <w:sz w:val="16"/>
                <w:szCs w:val="16"/>
                <w:color w:val="auto"/>
                <w:w w:val="92"/>
              </w:rPr>
              <w:t>30,569,634</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 xml:space="preserve">Six months ended June 30, 2021 </w:t>
            </w:r>
            <w:r>
              <w:rPr>
                <w:rFonts w:ascii="Arial" w:cs="Arial" w:eastAsia="Arial" w:hAnsi="Arial"/>
                <w:sz w:val="21"/>
                <w:szCs w:val="21"/>
                <w:color w:val="auto"/>
                <w:vertAlign w:val="superscript"/>
              </w:rPr>
              <w:t>(1)</w:t>
            </w:r>
          </w:p>
        </w:tc>
        <w:tc>
          <w:tcPr>
            <w:tcW w:w="286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2"/>
              </w:rPr>
              <w:t>2,780,667</w:t>
            </w:r>
          </w:p>
        </w:tc>
        <w:tc>
          <w:tcPr>
            <w:tcW w:w="23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$71.51</w:t>
            </w: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33,350,301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(1) Includes 296,424 shares of common stock repurchased by the Company in June 2021 that were settled in July 2021.</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Exhibits required by Item 601 of Regulation S-K are filed herewith or incorporated herein by reference and are listed in the attached Exhibit Index.</w:t>
      </w:r>
    </w:p>
    <w:p>
      <w:pPr>
        <w:spacing w:after="0" w:line="305" w:lineRule="exact"/>
        <w:rPr>
          <w:sz w:val="20"/>
          <w:szCs w:val="20"/>
          <w:color w:val="auto"/>
        </w:rPr>
      </w:pPr>
    </w:p>
    <w:p>
      <w:pPr>
        <w:ind w:left="360"/>
        <w:spacing w:after="0"/>
        <w:tabs>
          <w:tab w:leader="none" w:pos="58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860"/>
        <w:spacing w:after="0"/>
        <w:tabs>
          <w:tab w:leader="none" w:pos="1280" w:val="left"/>
        </w:tabs>
        <w:rPr>
          <w:rFonts w:ascii="Arial" w:cs="Arial" w:eastAsia="Arial" w:hAnsi="Arial"/>
          <w:sz w:val="16"/>
          <w:szCs w:val="16"/>
          <w:color w:val="0000FF"/>
        </w:rPr>
      </w:pPr>
      <w:hyperlink w:anchor="page90">
        <w:r>
          <w:rPr>
            <w:rFonts w:ascii="Arial" w:cs="Arial" w:eastAsia="Arial" w:hAnsi="Arial"/>
            <w:sz w:val="16"/>
            <w:szCs w:val="16"/>
            <w:u w:val="single" w:color="auto"/>
            <w:color w:val="0000FF"/>
          </w:rPr>
          <w:t>31.1</w:t>
        </w:r>
      </w:hyperlink>
      <w:r>
        <w:rPr>
          <w:rFonts w:ascii="Arial" w:cs="Arial" w:eastAsia="Arial" w:hAnsi="Arial"/>
          <w:sz w:val="16"/>
          <w:szCs w:val="16"/>
          <w:color w:val="0000FF"/>
        </w:rPr>
        <w:tab/>
      </w:r>
      <w:r>
        <w:rPr>
          <w:rFonts w:ascii="Arial" w:cs="Arial" w:eastAsia="Arial" w:hAnsi="Arial"/>
          <w:sz w:val="14"/>
          <w:szCs w:val="14"/>
          <w:color w:val="0000FF"/>
        </w:rPr>
        <w:t>Certification by the Chairman and Chief Executive Officer of the Company pursuant to Section 302 of the Sarbanes-Oxley Act of 2002, filed herewith.</w:t>
      </w:r>
    </w:p>
    <w:p>
      <w:pPr>
        <w:spacing w:after="0" w:line="32" w:lineRule="exact"/>
        <w:rPr>
          <w:sz w:val="20"/>
          <w:szCs w:val="20"/>
          <w:color w:val="auto"/>
        </w:rPr>
      </w:pPr>
    </w:p>
    <w:p>
      <w:pPr>
        <w:ind w:left="860"/>
        <w:spacing w:after="0"/>
        <w:tabs>
          <w:tab w:leader="none" w:pos="1280" w:val="left"/>
        </w:tabs>
        <w:rPr>
          <w:rFonts w:ascii="Arial" w:cs="Arial" w:eastAsia="Arial" w:hAnsi="Arial"/>
          <w:sz w:val="16"/>
          <w:szCs w:val="16"/>
          <w:color w:val="0000FF"/>
        </w:rPr>
      </w:pPr>
      <w:hyperlink w:anchor="page91">
        <w:r>
          <w:rPr>
            <w:rFonts w:ascii="Arial" w:cs="Arial" w:eastAsia="Arial" w:hAnsi="Arial"/>
            <w:sz w:val="16"/>
            <w:szCs w:val="16"/>
            <w:u w:val="single" w:color="auto"/>
            <w:color w:val="0000FF"/>
          </w:rPr>
          <w:t>31.2</w:t>
        </w:r>
      </w:hyperlink>
      <w:r>
        <w:rPr>
          <w:rFonts w:ascii="Arial" w:cs="Arial" w:eastAsia="Arial" w:hAnsi="Arial"/>
          <w:sz w:val="16"/>
          <w:szCs w:val="16"/>
          <w:color w:val="0000FF"/>
        </w:rPr>
        <w:tab/>
      </w:r>
      <w:r>
        <w:rPr>
          <w:rFonts w:ascii="Arial" w:cs="Arial" w:eastAsia="Arial" w:hAnsi="Arial"/>
          <w:sz w:val="14"/>
          <w:szCs w:val="14"/>
          <w:color w:val="0000FF"/>
        </w:rPr>
        <w:t>Certification by the Chief Financial Officer of the Company pursuant to Section 302 of the Sarbanes-Oxley Act of 2002, filed herewith.</w:t>
      </w:r>
    </w:p>
    <w:p>
      <w:pPr>
        <w:spacing w:after="0" w:line="24" w:lineRule="exact"/>
        <w:rPr>
          <w:sz w:val="20"/>
          <w:szCs w:val="20"/>
          <w:color w:val="auto"/>
        </w:rPr>
      </w:pPr>
    </w:p>
    <w:p>
      <w:pPr>
        <w:ind w:left="860"/>
        <w:spacing w:after="0"/>
        <w:tabs>
          <w:tab w:leader="none" w:pos="1280" w:val="left"/>
        </w:tabs>
        <w:rPr>
          <w:rFonts w:ascii="Arial" w:cs="Arial" w:eastAsia="Arial" w:hAnsi="Arial"/>
          <w:sz w:val="16"/>
          <w:szCs w:val="16"/>
          <w:color w:val="0000FF"/>
        </w:rPr>
      </w:pPr>
      <w:hyperlink w:anchor="page92">
        <w:r>
          <w:rPr>
            <w:rFonts w:ascii="Arial" w:cs="Arial" w:eastAsia="Arial" w:hAnsi="Arial"/>
            <w:sz w:val="16"/>
            <w:szCs w:val="16"/>
            <w:u w:val="single" w:color="auto"/>
            <w:color w:val="0000FF"/>
          </w:rPr>
          <w:t>31.3</w:t>
        </w:r>
      </w:hyperlink>
      <w:r>
        <w:rPr>
          <w:rFonts w:ascii="Arial" w:cs="Arial" w:eastAsia="Arial" w:hAnsi="Arial"/>
          <w:sz w:val="16"/>
          <w:szCs w:val="16"/>
          <w:color w:val="0000FF"/>
        </w:rPr>
        <w:tab/>
      </w:r>
      <w:r>
        <w:rPr>
          <w:rFonts w:ascii="Arial" w:cs="Arial" w:eastAsia="Arial" w:hAnsi="Arial"/>
          <w:sz w:val="14"/>
          <w:szCs w:val="14"/>
          <w:color w:val="0000FF"/>
        </w:rPr>
        <w:t>Certification by the Chairman and Chief Executive Officer of the Company, the sole general partner of the Operating Partnership pursuant to Section</w:t>
      </w:r>
    </w:p>
    <w:p>
      <w:pPr>
        <w:ind w:left="1300"/>
        <w:spacing w:after="0"/>
        <w:rPr>
          <w:sz w:val="20"/>
          <w:szCs w:val="20"/>
          <w:color w:val="auto"/>
        </w:rPr>
      </w:pPr>
      <w:r>
        <w:rPr>
          <w:rFonts w:ascii="Arial" w:cs="Arial" w:eastAsia="Arial" w:hAnsi="Arial"/>
          <w:sz w:val="16"/>
          <w:szCs w:val="16"/>
          <w:color w:val="auto"/>
        </w:rPr>
        <w:t>302 of the Sarbanes-Oxley Act of 2002, filed herewith.</w:t>
      </w:r>
    </w:p>
    <w:p>
      <w:pPr>
        <w:spacing w:after="0" w:line="18" w:lineRule="exact"/>
        <w:rPr>
          <w:sz w:val="20"/>
          <w:szCs w:val="20"/>
          <w:color w:val="auto"/>
        </w:rPr>
      </w:pPr>
    </w:p>
    <w:p>
      <w:pPr>
        <w:ind w:left="1300" w:right="540" w:hanging="426"/>
        <w:spacing w:after="0"/>
        <w:tabs>
          <w:tab w:leader="none" w:pos="1280" w:val="left"/>
        </w:tabs>
        <w:rPr>
          <w:rFonts w:ascii="Arial" w:cs="Arial" w:eastAsia="Arial" w:hAnsi="Arial"/>
          <w:sz w:val="16"/>
          <w:szCs w:val="16"/>
          <w:color w:val="0000FF"/>
        </w:rPr>
      </w:pPr>
      <w:hyperlink w:anchor="page93">
        <w:r>
          <w:rPr>
            <w:rFonts w:ascii="Arial" w:cs="Arial" w:eastAsia="Arial" w:hAnsi="Arial"/>
            <w:sz w:val="16"/>
            <w:szCs w:val="16"/>
            <w:u w:val="single" w:color="auto"/>
            <w:color w:val="0000FF"/>
          </w:rPr>
          <w:t>31.4</w:t>
        </w:r>
      </w:hyperlink>
      <w:r>
        <w:rPr>
          <w:rFonts w:ascii="Arial" w:cs="Arial" w:eastAsia="Arial" w:hAnsi="Arial"/>
          <w:sz w:val="16"/>
          <w:szCs w:val="16"/>
          <w:color w:val="0000FF"/>
        </w:rPr>
        <w:tab/>
        <w:t>Certification by the Chief Financial Officer of the Company, the sole general partner of the Operating Partnership pursuant to Section 302 of the Sarbanes-Oxley Act of 2002, filed herewith.</w:t>
      </w:r>
    </w:p>
    <w:p>
      <w:pPr>
        <w:spacing w:after="0" w:line="10" w:lineRule="exact"/>
        <w:rPr>
          <w:sz w:val="20"/>
          <w:szCs w:val="20"/>
          <w:color w:val="auto"/>
        </w:rPr>
      </w:pPr>
    </w:p>
    <w:p>
      <w:pPr>
        <w:ind w:left="1300" w:right="340" w:hanging="426"/>
        <w:spacing w:after="0"/>
        <w:tabs>
          <w:tab w:leader="none" w:pos="1280" w:val="left"/>
        </w:tabs>
        <w:rPr>
          <w:rFonts w:ascii="Arial" w:cs="Arial" w:eastAsia="Arial" w:hAnsi="Arial"/>
          <w:sz w:val="16"/>
          <w:szCs w:val="16"/>
          <w:color w:val="0000FF"/>
        </w:rPr>
      </w:pPr>
      <w:hyperlink w:anchor="page94">
        <w:r>
          <w:rPr>
            <w:rFonts w:ascii="Arial" w:cs="Arial" w:eastAsia="Arial" w:hAnsi="Arial"/>
            <w:sz w:val="16"/>
            <w:szCs w:val="16"/>
            <w:u w:val="single" w:color="auto"/>
            <w:color w:val="0000FF"/>
          </w:rPr>
          <w:t>32.1</w:t>
        </w:r>
      </w:hyperlink>
      <w:r>
        <w:rPr>
          <w:rFonts w:ascii="Arial" w:cs="Arial" w:eastAsia="Arial" w:hAnsi="Arial"/>
          <w:sz w:val="16"/>
          <w:szCs w:val="16"/>
          <w:color w:val="0000FF"/>
        </w:rPr>
        <w:tab/>
        <w:t>Certification by the Chairman and Chief Executive Officer pursuant to 18 U.S.C. section 1350, as adopted pursuant to Section 906 of the Sarbanes-Oxley Act of 2002, filed herewith.</w:t>
      </w:r>
    </w:p>
    <w:p>
      <w:pPr>
        <w:spacing w:after="0" w:line="10" w:lineRule="exact"/>
        <w:rPr>
          <w:sz w:val="20"/>
          <w:szCs w:val="20"/>
          <w:color w:val="auto"/>
        </w:rPr>
      </w:pPr>
    </w:p>
    <w:p>
      <w:pPr>
        <w:ind w:left="1300" w:right="80" w:hanging="426"/>
        <w:spacing w:after="0"/>
        <w:tabs>
          <w:tab w:leader="none" w:pos="1280" w:val="left"/>
        </w:tabs>
        <w:rPr>
          <w:rFonts w:ascii="Arial" w:cs="Arial" w:eastAsia="Arial" w:hAnsi="Arial"/>
          <w:sz w:val="16"/>
          <w:szCs w:val="16"/>
          <w:color w:val="0000FF"/>
        </w:rPr>
      </w:pPr>
      <w:hyperlink w:anchor="page95">
        <w:r>
          <w:rPr>
            <w:rFonts w:ascii="Arial" w:cs="Arial" w:eastAsia="Arial" w:hAnsi="Arial"/>
            <w:sz w:val="16"/>
            <w:szCs w:val="16"/>
            <w:u w:val="single" w:color="auto"/>
            <w:color w:val="0000FF"/>
          </w:rPr>
          <w:t>32.2</w:t>
        </w:r>
      </w:hyperlink>
      <w:r>
        <w:rPr>
          <w:rFonts w:ascii="Arial" w:cs="Arial" w:eastAsia="Arial" w:hAnsi="Arial"/>
          <w:sz w:val="16"/>
          <w:szCs w:val="16"/>
          <w:color w:val="0000FF"/>
        </w:rPr>
        <w:tab/>
        <w:t>Certification by the Chief Financial Officer pursuant to 18 U.S.C. section 1350, as adopted pursuant to Section 906 of the Sarbanes-Oxley Act of 2002, filed herewith.</w:t>
      </w:r>
    </w:p>
    <w:p>
      <w:pPr>
        <w:spacing w:after="0" w:line="2" w:lineRule="exact"/>
        <w:rPr>
          <w:sz w:val="20"/>
          <w:szCs w:val="20"/>
          <w:color w:val="auto"/>
        </w:rPr>
      </w:pPr>
    </w:p>
    <w:p>
      <w:pPr>
        <w:ind w:left="860"/>
        <w:spacing w:after="0"/>
        <w:tabs>
          <w:tab w:leader="none" w:pos="1280" w:val="left"/>
        </w:tabs>
        <w:rPr>
          <w:rFonts w:ascii="Arial" w:cs="Arial" w:eastAsia="Arial" w:hAnsi="Arial"/>
          <w:sz w:val="16"/>
          <w:szCs w:val="16"/>
          <w:color w:val="0000FF"/>
        </w:rPr>
      </w:pPr>
      <w:hyperlink w:anchor="page96">
        <w:r>
          <w:rPr>
            <w:rFonts w:ascii="Arial" w:cs="Arial" w:eastAsia="Arial" w:hAnsi="Arial"/>
            <w:sz w:val="16"/>
            <w:szCs w:val="16"/>
            <w:u w:val="single" w:color="auto"/>
            <w:color w:val="0000FF"/>
          </w:rPr>
          <w:t>32.3</w:t>
        </w:r>
      </w:hyperlink>
      <w:r>
        <w:rPr>
          <w:rFonts w:ascii="Arial" w:cs="Arial" w:eastAsia="Arial" w:hAnsi="Arial"/>
          <w:sz w:val="16"/>
          <w:szCs w:val="16"/>
          <w:color w:val="0000FF"/>
        </w:rPr>
        <w:tab/>
      </w:r>
      <w:r>
        <w:rPr>
          <w:rFonts w:ascii="Arial" w:cs="Arial" w:eastAsia="Arial" w:hAnsi="Arial"/>
          <w:sz w:val="14"/>
          <w:szCs w:val="14"/>
          <w:color w:val="0000FF"/>
        </w:rPr>
        <w:t>Certification by the Chairman and Chief Executive Officer of the Company, the sole general partner of the Operating Partnership pursuant to 18 U.S.C.</w:t>
      </w:r>
    </w:p>
    <w:p>
      <w:pPr>
        <w:ind w:left="1300"/>
        <w:spacing w:after="0"/>
        <w:rPr>
          <w:sz w:val="20"/>
          <w:szCs w:val="20"/>
          <w:color w:val="auto"/>
        </w:rPr>
      </w:pPr>
      <w:r>
        <w:rPr>
          <w:rFonts w:ascii="Arial" w:cs="Arial" w:eastAsia="Arial" w:hAnsi="Arial"/>
          <w:sz w:val="16"/>
          <w:szCs w:val="16"/>
          <w:color w:val="auto"/>
        </w:rPr>
        <w:t>section 1350, as adopted pursuant to Section 906 of the Sarbanes-Oxley Act of 2002, filed herewith.</w:t>
      </w:r>
    </w:p>
    <w:p>
      <w:pPr>
        <w:spacing w:after="0" w:line="18" w:lineRule="exact"/>
        <w:rPr>
          <w:sz w:val="20"/>
          <w:szCs w:val="20"/>
          <w:color w:val="auto"/>
        </w:rPr>
      </w:pPr>
    </w:p>
    <w:p>
      <w:pPr>
        <w:ind w:left="1300" w:hanging="426"/>
        <w:spacing w:after="0"/>
        <w:tabs>
          <w:tab w:leader="none" w:pos="1280" w:val="left"/>
        </w:tabs>
        <w:rPr>
          <w:rFonts w:ascii="Arial" w:cs="Arial" w:eastAsia="Arial" w:hAnsi="Arial"/>
          <w:sz w:val="16"/>
          <w:szCs w:val="16"/>
          <w:color w:val="0000FF"/>
        </w:rPr>
      </w:pPr>
      <w:hyperlink w:anchor="page97">
        <w:r>
          <w:rPr>
            <w:rFonts w:ascii="Arial" w:cs="Arial" w:eastAsia="Arial" w:hAnsi="Arial"/>
            <w:sz w:val="16"/>
            <w:szCs w:val="16"/>
            <w:u w:val="single" w:color="auto"/>
            <w:color w:val="0000FF"/>
          </w:rPr>
          <w:t>32.4</w:t>
        </w:r>
      </w:hyperlink>
      <w:r>
        <w:rPr>
          <w:rFonts w:ascii="Arial" w:cs="Arial" w:eastAsia="Arial" w:hAnsi="Arial"/>
          <w:sz w:val="16"/>
          <w:szCs w:val="16"/>
          <w:color w:val="0000FF"/>
        </w:rPr>
        <w:tab/>
        <w:t>Certification by the Chief Financial Officer of the Company, the sole general partner of the Operating Partnership pursuant to 18 U.S.C. section 1350, as adopted pursuant to Section 906 of the Sarbanes-Oxley Act of 2002, filed herewith.</w:t>
      </w:r>
    </w:p>
    <w:p>
      <w:pPr>
        <w:spacing w:after="0" w:line="10" w:lineRule="exact"/>
        <w:rPr>
          <w:sz w:val="20"/>
          <w:szCs w:val="20"/>
          <w:color w:val="auto"/>
        </w:rPr>
      </w:pPr>
    </w:p>
    <w:p>
      <w:pPr>
        <w:ind w:left="1300" w:right="60" w:hanging="442"/>
        <w:spacing w:after="0" w:line="22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following financial statements from SL Green Realty Corp. and SL Green Operating Partnership L.P.’s Quarterly Report on Form 10-Q for the quarter ended June 30, 2021, formatted in Inline XBRL: (i) Consolidated Balance Sheets (unaudited), (ii) Consolidated Statements of Operations (unaudited), (iii) Consolidated Statements of Comprehensive Income (unaudited), (iv) Consolidated Statements of Equity (unaudited), (v) Consolidated Statements of Capital (unaudited) (vi) Consolidated Statements of Cash Flows (unaudited), and (vii) Notes to Consolidated Financial Statements (unaudited), detail tagged and filed herewith.</w:t>
      </w:r>
    </w:p>
    <w:p>
      <w:pPr>
        <w:spacing w:after="0" w:line="13" w:lineRule="exact"/>
        <w:rPr>
          <w:sz w:val="20"/>
          <w:szCs w:val="20"/>
          <w:color w:val="auto"/>
        </w:rPr>
      </w:pPr>
    </w:p>
    <w:p>
      <w:pPr>
        <w:ind w:left="1300" w:hanging="442"/>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1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860" w:type="dxa"/>
            <w:vAlign w:val="bottom"/>
          </w:tcPr>
          <w:p>
            <w:pPr>
              <w:ind w:left="5040"/>
              <w:spacing w:after="0"/>
              <w:rPr>
                <w:sz w:val="20"/>
                <w:szCs w:val="20"/>
                <w:color w:val="auto"/>
              </w:rPr>
            </w:pPr>
            <w:r>
              <w:rPr>
                <w:rFonts w:ascii="Arial" w:cs="Arial" w:eastAsia="Arial" w:hAnsi="Arial"/>
                <w:sz w:val="18"/>
                <w:szCs w:val="18"/>
                <w:color w:val="auto"/>
              </w:rPr>
              <w:t>By:</w:t>
            </w:r>
          </w:p>
        </w:tc>
        <w:tc>
          <w:tcPr>
            <w:tcW w:w="4340" w:type="dxa"/>
            <w:vAlign w:val="bottom"/>
          </w:tcPr>
          <w:p>
            <w:pPr>
              <w:ind w:left="500"/>
              <w:spacing w:after="0"/>
              <w:rPr>
                <w:sz w:val="20"/>
                <w:szCs w:val="20"/>
                <w:color w:val="auto"/>
              </w:rPr>
            </w:pPr>
            <w:r>
              <w:rPr>
                <w:rFonts w:ascii="Arial" w:cs="Arial" w:eastAsia="Arial" w:hAnsi="Arial"/>
                <w:sz w:val="18"/>
                <w:szCs w:val="18"/>
                <w:color w:val="auto"/>
              </w:rPr>
              <w:t>SL Green Realty Corp.</w:t>
            </w:r>
          </w:p>
        </w:tc>
        <w:tc>
          <w:tcPr>
            <w:tcW w:w="0" w:type="dxa"/>
            <w:vAlign w:val="bottom"/>
          </w:tcPr>
          <w:p>
            <w:pPr>
              <w:spacing w:after="0"/>
              <w:rPr>
                <w:sz w:val="1"/>
                <w:szCs w:val="1"/>
                <w:color w:val="auto"/>
              </w:rPr>
            </w:pPr>
          </w:p>
        </w:tc>
      </w:tr>
      <w:tr>
        <w:trPr>
          <w:trHeight w:val="391"/>
        </w:trPr>
        <w:tc>
          <w:tcPr>
            <w:tcW w:w="5860" w:type="dxa"/>
            <w:vAlign w:val="bottom"/>
            <w:vMerge w:val="restart"/>
          </w:tcPr>
          <w:p>
            <w:pPr>
              <w:ind w:left="504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4"/>
              </w:rPr>
              <w:t>/s/ Matthew J. DiLiberto</w:t>
            </w:r>
          </w:p>
        </w:tc>
        <w:tc>
          <w:tcPr>
            <w:tcW w:w="0" w:type="dxa"/>
            <w:vAlign w:val="bottom"/>
          </w:tcPr>
          <w:p>
            <w:pPr>
              <w:spacing w:after="0"/>
              <w:rPr>
                <w:sz w:val="1"/>
                <w:szCs w:val="1"/>
                <w:color w:val="auto"/>
              </w:rPr>
            </w:pPr>
          </w:p>
        </w:tc>
      </w:tr>
      <w:tr>
        <w:trPr>
          <w:trHeight w:val="169"/>
        </w:trPr>
        <w:tc>
          <w:tcPr>
            <w:tcW w:w="5860" w:type="dxa"/>
            <w:vAlign w:val="bottom"/>
            <w:vMerge w:val="continue"/>
          </w:tcPr>
          <w:p>
            <w:pPr>
              <w:spacing w:after="0"/>
              <w:rPr>
                <w:sz w:val="14"/>
                <w:szCs w:val="14"/>
                <w:color w:val="auto"/>
              </w:rPr>
            </w:pPr>
          </w:p>
        </w:tc>
        <w:tc>
          <w:tcPr>
            <w:tcW w:w="4340" w:type="dxa"/>
            <w:vAlign w:val="bottom"/>
          </w:tcPr>
          <w:p>
            <w:pPr>
              <w:jc w:val="center"/>
              <w:ind w:left="350"/>
              <w:spacing w:after="0" w:line="169" w:lineRule="exact"/>
              <w:rPr>
                <w:sz w:val="20"/>
                <w:szCs w:val="20"/>
                <w:color w:val="auto"/>
              </w:rPr>
            </w:pPr>
            <w:r>
              <w:rPr>
                <w:rFonts w:ascii="Arial" w:cs="Arial" w:eastAsia="Arial" w:hAnsi="Arial"/>
                <w:sz w:val="18"/>
                <w:szCs w:val="18"/>
                <w:color w:val="auto"/>
                <w:w w:val="93"/>
              </w:rPr>
              <w:t>Matthew J. DiLiberto</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Dated: August 6, 2021</w:t>
            </w:r>
          </w:p>
        </w:tc>
        <w:tc>
          <w:tcPr>
            <w:tcW w:w="4340" w:type="dxa"/>
            <w:vAlign w:val="bottom"/>
          </w:tcPr>
          <w:p>
            <w:pPr>
              <w:jc w:val="center"/>
              <w:ind w:left="390"/>
              <w:spacing w:after="0"/>
              <w:rPr>
                <w:sz w:val="20"/>
                <w:szCs w:val="20"/>
                <w:color w:val="auto"/>
              </w:rPr>
            </w:pPr>
            <w:r>
              <w:rPr>
                <w:rFonts w:ascii="Arial" w:cs="Arial" w:eastAsia="Arial" w:hAnsi="Arial"/>
                <w:sz w:val="18"/>
                <w:szCs w:val="18"/>
                <w:i w:val="1"/>
                <w:iCs w:val="1"/>
                <w:color w:val="auto"/>
                <w:w w:val="95"/>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2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48" w:lineRule="exact"/>
        <w:rPr>
          <w:sz w:val="20"/>
          <w:szCs w:val="20"/>
          <w:color w:val="auto"/>
        </w:rPr>
      </w:pPr>
    </w:p>
    <w:p>
      <w:pPr>
        <w:ind w:left="2080"/>
        <w:spacing w:after="0"/>
        <w:tabs>
          <w:tab w:leader="none" w:pos="6360" w:val="left"/>
          <w:tab w:leader="none" w:pos="996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140"/>
          </w:cols>
          <w:pgMar w:left="320" w:top="125" w:right="439" w:bottom="1440" w:gutter="0" w:footer="0" w:header="0"/>
        </w:sectPr>
      </w:pPr>
    </w:p>
    <w:p>
      <w:pPr>
        <w:spacing w:after="0" w:line="387"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22028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51"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Marc Holliday</w:t>
      </w:r>
    </w:p>
    <w:p>
      <w:pPr>
        <w:spacing w:after="0" w:line="266" w:lineRule="exact"/>
        <w:rPr>
          <w:sz w:val="20"/>
          <w:szCs w:val="20"/>
          <w:color w:val="auto"/>
        </w:rPr>
      </w:pPr>
    </w:p>
    <w:p>
      <w:pPr>
        <w:jc w:val="center"/>
        <w:ind w:left="1520"/>
        <w:spacing w:after="0"/>
        <w:rPr>
          <w:sz w:val="20"/>
          <w:szCs w:val="20"/>
          <w:color w:val="auto"/>
        </w:rPr>
      </w:pPr>
      <w:r>
        <w:rPr>
          <w:rFonts w:ascii="Arial" w:cs="Arial" w:eastAsia="Arial" w:hAnsi="Arial"/>
          <w:sz w:val="17"/>
          <w:szCs w:val="17"/>
          <w:color w:val="auto"/>
        </w:rPr>
        <w:t>/s/ Andrew 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22225</wp:posOffset>
            </wp:positionV>
            <wp:extent cx="22028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5"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Andrew W. Mathias</w:t>
      </w:r>
    </w:p>
    <w:p>
      <w:pPr>
        <w:spacing w:after="0" w:line="374" w:lineRule="exact"/>
        <w:rPr>
          <w:sz w:val="20"/>
          <w:szCs w:val="20"/>
          <w:color w:val="auto"/>
        </w:rPr>
      </w:pPr>
    </w:p>
    <w:p>
      <w:pPr>
        <w:jc w:val="center"/>
        <w:ind w:left="1520"/>
        <w:spacing w:after="0"/>
        <w:rPr>
          <w:sz w:val="20"/>
          <w:szCs w:val="20"/>
          <w:color w:val="auto"/>
        </w:rPr>
      </w:pPr>
      <w:r>
        <w:rPr>
          <w:rFonts w:ascii="Arial" w:cs="Arial" w:eastAsia="Arial" w:hAnsi="Arial"/>
          <w:sz w:val="17"/>
          <w:szCs w:val="17"/>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22225</wp:posOffset>
            </wp:positionV>
            <wp:extent cx="22028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63"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Matthew J. DiLiberto</w:t>
      </w:r>
    </w:p>
    <w:p>
      <w:pPr>
        <w:spacing w:after="0" w:line="266"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/s/ Stephen 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22028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43"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Stephen L. Green</w:t>
      </w:r>
    </w:p>
    <w:p>
      <w:pPr>
        <w:spacing w:after="0" w:line="333" w:lineRule="exact"/>
        <w:rPr>
          <w:sz w:val="20"/>
          <w:szCs w:val="20"/>
          <w:color w:val="auto"/>
        </w:rPr>
      </w:pPr>
    </w:p>
    <w:p>
      <w:pPr>
        <w:jc w:val="center"/>
        <w:ind w:left="1520"/>
        <w:spacing w:after="0"/>
        <w:rPr>
          <w:sz w:val="20"/>
          <w:szCs w:val="20"/>
          <w:color w:val="auto"/>
        </w:rPr>
      </w:pPr>
      <w:r>
        <w:rPr>
          <w:rFonts w:ascii="Arial" w:cs="Arial" w:eastAsia="Arial" w:hAnsi="Arial"/>
          <w:sz w:val="16"/>
          <w:szCs w:val="16"/>
          <w:color w:val="auto"/>
        </w:rPr>
        <w:t>/s/ John H. Alschuler,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29210</wp:posOffset>
            </wp:positionV>
            <wp:extent cx="22028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66"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John H. Alschuler, Jr.</w:t>
      </w:r>
    </w:p>
    <w:p>
      <w:pPr>
        <w:spacing w:after="0" w:line="266"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/s/ Edwin T. Burton,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22028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43"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Edwin T. Burton, III</w:t>
      </w:r>
    </w:p>
    <w:p>
      <w:pPr>
        <w:spacing w:after="0" w:line="266"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/s/ John S.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22028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43"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John S. Levy</w:t>
      </w:r>
    </w:p>
    <w:p>
      <w:pPr>
        <w:spacing w:after="0" w:line="266"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/s/ Craig M. Hatkoff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22028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43"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Craig M. Hatkoff</w:t>
      </w:r>
    </w:p>
    <w:p>
      <w:pPr>
        <w:spacing w:after="0" w:line="266"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/s/ Betsy S.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22028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43"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Betsy S. Atkins</w:t>
      </w:r>
    </w:p>
    <w:p>
      <w:pPr>
        <w:spacing w:after="0" w:line="333"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/s/ Lauren B.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22028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43"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Lauren B. Dillard</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280" w:firstLine="445"/>
        <w:spacing w:after="0" w:line="237" w:lineRule="auto"/>
        <w:rPr>
          <w:sz w:val="20"/>
          <w:szCs w:val="20"/>
          <w:color w:val="auto"/>
        </w:rPr>
      </w:pPr>
      <w:r>
        <w:rPr>
          <w:rFonts w:ascii="Arial" w:cs="Arial" w:eastAsia="Arial" w:hAnsi="Arial"/>
          <w:sz w:val="17"/>
          <w:szCs w:val="17"/>
          <w:color w:val="auto"/>
        </w:rPr>
        <w:t>Chairman of the Board of Directors and Chief Executive Officer and Director of SL Green, the sole general partner of the Operating Partnership (Principal Executive Officer)</w:t>
      </w:r>
    </w:p>
    <w:p>
      <w:pPr>
        <w:spacing w:after="0" w:line="366" w:lineRule="exact"/>
        <w:rPr>
          <w:sz w:val="20"/>
          <w:szCs w:val="20"/>
          <w:color w:val="auto"/>
        </w:rPr>
      </w:pPr>
    </w:p>
    <w:p>
      <w:pPr>
        <w:ind w:right="700" w:firstLine="445"/>
        <w:spacing w:after="0" w:line="235" w:lineRule="auto"/>
        <w:rPr>
          <w:sz w:val="20"/>
          <w:szCs w:val="20"/>
          <w:color w:val="auto"/>
        </w:rPr>
      </w:pPr>
      <w:r>
        <w:rPr>
          <w:rFonts w:ascii="Arial" w:cs="Arial" w:eastAsia="Arial" w:hAnsi="Arial"/>
          <w:sz w:val="18"/>
          <w:szCs w:val="18"/>
          <w:color w:val="auto"/>
        </w:rPr>
        <w:t>President and Director of SL Green, the sole general partner of the Operating Partnership</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 of</w:t>
      </w:r>
    </w:p>
    <w:p>
      <w:pPr>
        <w:spacing w:after="0" w:line="203" w:lineRule="auto"/>
        <w:rPr>
          <w:sz w:val="20"/>
          <w:szCs w:val="20"/>
          <w:color w:val="auto"/>
        </w:rPr>
      </w:pPr>
      <w:r>
        <w:rPr>
          <w:rFonts w:ascii="Arial" w:cs="Arial" w:eastAsia="Arial" w:hAnsi="Arial"/>
          <w:sz w:val="18"/>
          <w:szCs w:val="18"/>
          <w:color w:val="auto"/>
        </w:rPr>
        <w:t>SL Green, the sole general partner of</w:t>
      </w:r>
    </w:p>
    <w:p>
      <w:pPr>
        <w:ind w:right="420"/>
        <w:spacing w:after="0" w:line="226" w:lineRule="auto"/>
        <w:rPr>
          <w:sz w:val="20"/>
          <w:szCs w:val="20"/>
          <w:color w:val="auto"/>
        </w:rPr>
      </w:pPr>
      <w:r>
        <w:rPr>
          <w:rFonts w:ascii="Arial" w:cs="Arial" w:eastAsia="Arial" w:hAnsi="Arial"/>
          <w:sz w:val="18"/>
          <w:szCs w:val="18"/>
          <w:color w:val="auto"/>
        </w:rPr>
        <w:t>the Operating Partnership (Principal Financial and Accounting Officer)</w:t>
      </w:r>
    </w:p>
    <w:p>
      <w:pPr>
        <w:spacing w:after="0" w:line="269" w:lineRule="exact"/>
        <w:rPr>
          <w:sz w:val="20"/>
          <w:szCs w:val="20"/>
          <w:color w:val="auto"/>
        </w:rPr>
      </w:pPr>
    </w:p>
    <w:p>
      <w:pPr>
        <w:ind w:right="1720" w:firstLine="445"/>
        <w:spacing w:after="0" w:line="289" w:lineRule="auto"/>
        <w:rPr>
          <w:sz w:val="20"/>
          <w:szCs w:val="20"/>
          <w:color w:val="auto"/>
        </w:rPr>
      </w:pPr>
      <w:r>
        <w:rPr>
          <w:rFonts w:ascii="Arial" w:cs="Arial" w:eastAsia="Arial" w:hAnsi="Arial"/>
          <w:sz w:val="16"/>
          <w:szCs w:val="16"/>
          <w:color w:val="auto"/>
        </w:rPr>
        <w:t>Director of SL Green, the sole general partner of the Operating Partnership</w:t>
      </w:r>
    </w:p>
    <w:p>
      <w:pPr>
        <w:spacing w:after="0" w:line="367" w:lineRule="exact"/>
        <w:rPr>
          <w:sz w:val="20"/>
          <w:szCs w:val="20"/>
          <w:color w:val="auto"/>
        </w:rPr>
      </w:pPr>
    </w:p>
    <w:p>
      <w:pPr>
        <w:ind w:right="1720" w:firstLine="445"/>
        <w:spacing w:after="0" w:line="289" w:lineRule="auto"/>
        <w:rPr>
          <w:sz w:val="20"/>
          <w:szCs w:val="20"/>
          <w:color w:val="auto"/>
        </w:rPr>
      </w:pPr>
      <w:r>
        <w:rPr>
          <w:rFonts w:ascii="Arial" w:cs="Arial" w:eastAsia="Arial" w:hAnsi="Arial"/>
          <w:sz w:val="16"/>
          <w:szCs w:val="16"/>
          <w:color w:val="auto"/>
        </w:rPr>
        <w:t>Director of SL Green, the sole general partner of the Operating Partnership</w:t>
      </w:r>
    </w:p>
    <w:p>
      <w:pPr>
        <w:spacing w:after="0" w:line="299" w:lineRule="exact"/>
        <w:rPr>
          <w:sz w:val="20"/>
          <w:szCs w:val="20"/>
          <w:color w:val="auto"/>
        </w:rPr>
      </w:pPr>
    </w:p>
    <w:p>
      <w:pPr>
        <w:ind w:right="1720" w:firstLine="445"/>
        <w:spacing w:after="0" w:line="289" w:lineRule="auto"/>
        <w:rPr>
          <w:sz w:val="20"/>
          <w:szCs w:val="20"/>
          <w:color w:val="auto"/>
        </w:rPr>
      </w:pPr>
      <w:r>
        <w:rPr>
          <w:rFonts w:ascii="Arial" w:cs="Arial" w:eastAsia="Arial" w:hAnsi="Arial"/>
          <w:sz w:val="16"/>
          <w:szCs w:val="16"/>
          <w:color w:val="auto"/>
        </w:rPr>
        <w:t>Director of SL Green, the sole general partner of the Operating Partnership</w:t>
      </w:r>
    </w:p>
    <w:p>
      <w:pPr>
        <w:spacing w:after="0" w:line="299" w:lineRule="exact"/>
        <w:rPr>
          <w:sz w:val="20"/>
          <w:szCs w:val="20"/>
          <w:color w:val="auto"/>
        </w:rPr>
      </w:pPr>
    </w:p>
    <w:p>
      <w:pPr>
        <w:ind w:right="1720" w:firstLine="445"/>
        <w:spacing w:after="0" w:line="289" w:lineRule="auto"/>
        <w:rPr>
          <w:sz w:val="20"/>
          <w:szCs w:val="20"/>
          <w:color w:val="auto"/>
        </w:rPr>
      </w:pPr>
      <w:r>
        <w:rPr>
          <w:rFonts w:ascii="Arial" w:cs="Arial" w:eastAsia="Arial" w:hAnsi="Arial"/>
          <w:sz w:val="16"/>
          <w:szCs w:val="16"/>
          <w:color w:val="auto"/>
        </w:rPr>
        <w:t>Director of SL Green, the sole general partner of the Operating Partnership</w:t>
      </w:r>
    </w:p>
    <w:p>
      <w:pPr>
        <w:spacing w:after="0" w:line="299" w:lineRule="exact"/>
        <w:rPr>
          <w:sz w:val="20"/>
          <w:szCs w:val="20"/>
          <w:color w:val="auto"/>
        </w:rPr>
      </w:pPr>
    </w:p>
    <w:p>
      <w:pPr>
        <w:ind w:right="1720" w:firstLine="445"/>
        <w:spacing w:after="0" w:line="289" w:lineRule="auto"/>
        <w:rPr>
          <w:sz w:val="20"/>
          <w:szCs w:val="20"/>
          <w:color w:val="auto"/>
        </w:rPr>
      </w:pPr>
      <w:r>
        <w:rPr>
          <w:rFonts w:ascii="Arial" w:cs="Arial" w:eastAsia="Arial" w:hAnsi="Arial"/>
          <w:sz w:val="16"/>
          <w:szCs w:val="16"/>
          <w:color w:val="auto"/>
        </w:rPr>
        <w:t>Director of SL Green, the sole general partner of the Operating Partnership</w:t>
      </w:r>
    </w:p>
    <w:p>
      <w:pPr>
        <w:spacing w:after="0" w:line="299" w:lineRule="exact"/>
        <w:rPr>
          <w:sz w:val="20"/>
          <w:szCs w:val="20"/>
          <w:color w:val="auto"/>
        </w:rPr>
      </w:pPr>
    </w:p>
    <w:p>
      <w:pPr>
        <w:ind w:right="1720" w:firstLine="445"/>
        <w:spacing w:after="0" w:line="289" w:lineRule="auto"/>
        <w:rPr>
          <w:sz w:val="20"/>
          <w:szCs w:val="20"/>
          <w:color w:val="auto"/>
        </w:rPr>
      </w:pPr>
      <w:r>
        <w:rPr>
          <w:rFonts w:ascii="Arial" w:cs="Arial" w:eastAsia="Arial" w:hAnsi="Arial"/>
          <w:sz w:val="16"/>
          <w:szCs w:val="16"/>
          <w:color w:val="auto"/>
        </w:rPr>
        <w:t>Director of SL Green, the sole general partner of the Operating Partnership</w:t>
      </w:r>
    </w:p>
    <w:p>
      <w:pPr>
        <w:spacing w:after="0" w:line="367" w:lineRule="exact"/>
        <w:rPr>
          <w:sz w:val="20"/>
          <w:szCs w:val="20"/>
          <w:color w:val="auto"/>
        </w:rPr>
      </w:pPr>
    </w:p>
    <w:p>
      <w:pPr>
        <w:ind w:right="1720" w:firstLine="445"/>
        <w:spacing w:after="0" w:line="289" w:lineRule="auto"/>
        <w:rPr>
          <w:sz w:val="20"/>
          <w:szCs w:val="20"/>
          <w:color w:val="auto"/>
        </w:rPr>
      </w:pPr>
      <w:r>
        <w:rPr>
          <w:rFonts w:ascii="Arial" w:cs="Arial" w:eastAsia="Arial" w:hAnsi="Arial"/>
          <w:sz w:val="16"/>
          <w:szCs w:val="16"/>
          <w:color w:val="auto"/>
        </w:rPr>
        <w:t>Director of SL Green, the sole general partner of the Operating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August 6,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August 6,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August 6,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August 6,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August 6, 2021</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August 6, 2021</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August 6, 2021</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August 6, 2021</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August 6,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August 6, 2021</w:t>
      </w:r>
    </w:p>
    <w:p>
      <w:pPr>
        <w:spacing w:after="0" w:line="384" w:lineRule="exact"/>
        <w:rPr>
          <w:sz w:val="20"/>
          <w:szCs w:val="20"/>
          <w:color w:val="auto"/>
        </w:rPr>
      </w:pPr>
    </w:p>
    <w:p>
      <w:pPr>
        <w:sectPr>
          <w:pgSz w:w="11900" w:h="16838" w:orient="portrait"/>
          <w:cols w:equalWidth="0" w:num="3">
            <w:col w:w="3300" w:space="640"/>
            <w:col w:w="4920" w:space="720"/>
            <w:col w:w="1560"/>
          </w:cols>
          <w:pgMar w:left="320" w:top="12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88" w:name="page89"/>
    <w:bookmarkEnd w:id="88"/>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1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SL GREEN OPERATING PARTNERSHIP, L.P.</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860" w:type="dxa"/>
            <w:vAlign w:val="bottom"/>
          </w:tcPr>
          <w:p>
            <w:pPr>
              <w:ind w:left="504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4"/>
              </w:rPr>
              <w:t>/s/ Matthew J. DiLiberto</w:t>
            </w:r>
          </w:p>
        </w:tc>
        <w:tc>
          <w:tcPr>
            <w:tcW w:w="0" w:type="dxa"/>
            <w:vAlign w:val="bottom"/>
          </w:tcPr>
          <w:p>
            <w:pPr>
              <w:spacing w:after="0"/>
              <w:rPr>
                <w:sz w:val="1"/>
                <w:szCs w:val="1"/>
                <w:color w:val="auto"/>
              </w:rPr>
            </w:pPr>
          </w:p>
        </w:tc>
      </w:tr>
      <w:tr>
        <w:trPr>
          <w:trHeight w:val="169"/>
        </w:trPr>
        <w:tc>
          <w:tcPr>
            <w:tcW w:w="5860" w:type="dxa"/>
            <w:vAlign w:val="bottom"/>
            <w:vMerge w:val="restart"/>
          </w:tcPr>
          <w:p>
            <w:pPr>
              <w:spacing w:after="0"/>
              <w:rPr>
                <w:sz w:val="20"/>
                <w:szCs w:val="20"/>
                <w:color w:val="auto"/>
              </w:rPr>
            </w:pPr>
            <w:r>
              <w:rPr>
                <w:rFonts w:ascii="Arial" w:cs="Arial" w:eastAsia="Arial" w:hAnsi="Arial"/>
                <w:sz w:val="18"/>
                <w:szCs w:val="18"/>
                <w:color w:val="auto"/>
              </w:rPr>
              <w:t>Dated: August 6, 2021</w:t>
            </w:r>
          </w:p>
        </w:tc>
        <w:tc>
          <w:tcPr>
            <w:tcW w:w="4340" w:type="dxa"/>
            <w:vAlign w:val="bottom"/>
          </w:tcPr>
          <w:p>
            <w:pPr>
              <w:jc w:val="center"/>
              <w:ind w:left="350"/>
              <w:spacing w:after="0" w:line="169" w:lineRule="exact"/>
              <w:rPr>
                <w:sz w:val="20"/>
                <w:szCs w:val="20"/>
                <w:color w:val="auto"/>
              </w:rPr>
            </w:pPr>
            <w:r>
              <w:rPr>
                <w:rFonts w:ascii="Arial" w:cs="Arial" w:eastAsia="Arial" w:hAnsi="Arial"/>
                <w:sz w:val="18"/>
                <w:szCs w:val="18"/>
                <w:color w:val="auto"/>
                <w:w w:val="93"/>
              </w:rPr>
              <w:t>Matthew J. DiLiberto</w:t>
            </w:r>
          </w:p>
        </w:tc>
        <w:tc>
          <w:tcPr>
            <w:tcW w:w="0" w:type="dxa"/>
            <w:vAlign w:val="bottom"/>
          </w:tcPr>
          <w:p>
            <w:pPr>
              <w:spacing w:after="0"/>
              <w:rPr>
                <w:sz w:val="1"/>
                <w:szCs w:val="1"/>
                <w:color w:val="auto"/>
              </w:rPr>
            </w:pPr>
          </w:p>
        </w:tc>
      </w:tr>
      <w:tr>
        <w:trPr>
          <w:trHeight w:val="230"/>
        </w:trPr>
        <w:tc>
          <w:tcPr>
            <w:tcW w:w="5860" w:type="dxa"/>
            <w:vAlign w:val="bottom"/>
            <w:vMerge w:val="continue"/>
          </w:tcPr>
          <w:p>
            <w:pPr>
              <w:spacing w:after="0"/>
              <w:rPr>
                <w:sz w:val="20"/>
                <w:szCs w:val="20"/>
                <w:color w:val="auto"/>
              </w:rPr>
            </w:pPr>
          </w:p>
        </w:tc>
        <w:tc>
          <w:tcPr>
            <w:tcW w:w="4340" w:type="dxa"/>
            <w:vAlign w:val="bottom"/>
          </w:tcPr>
          <w:p>
            <w:pPr>
              <w:jc w:val="center"/>
              <w:ind w:left="390"/>
              <w:spacing w:after="0"/>
              <w:rPr>
                <w:sz w:val="20"/>
                <w:szCs w:val="20"/>
                <w:color w:val="auto"/>
              </w:rPr>
            </w:pPr>
            <w:r>
              <w:rPr>
                <w:rFonts w:ascii="Arial" w:cs="Arial" w:eastAsia="Arial" w:hAnsi="Arial"/>
                <w:sz w:val="18"/>
                <w:szCs w:val="18"/>
                <w:i w:val="1"/>
                <w:iCs w:val="1"/>
                <w:color w:val="auto"/>
                <w:w w:val="95"/>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891" w:right="4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Marc Holliday, certify that:</w:t>
      </w:r>
    </w:p>
    <w:p>
      <w:pPr>
        <w:spacing w:after="0" w:line="39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 Green Realty Corp. (the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300" w:hanging="644"/>
        <w:spacing w:after="0" w:line="316"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274" w:lineRule="auto"/>
        <w:tabs>
          <w:tab w:leader="none" w:pos="129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2021</w:t>
      </w:r>
    </w:p>
    <w:p>
      <w:pPr>
        <w:spacing w:after="0" w:line="30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632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36"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and Chief Executive Officer</w:t>
      </w:r>
    </w:p>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Matthew J. DiLiberto, certify that:</w:t>
      </w:r>
    </w:p>
    <w:p>
      <w:pPr>
        <w:spacing w:after="0" w:line="36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 Green Realty Corp. (the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300" w:hanging="644"/>
        <w:spacing w:after="0" w:line="316"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274" w:lineRule="auto"/>
        <w:tabs>
          <w:tab w:leader="none" w:pos="1297"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Matthew J. DiLiberto</w:t>
            </w:r>
          </w:p>
        </w:tc>
      </w:tr>
      <w:tr>
        <w:trPr>
          <w:trHeight w:val="222"/>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Marc Holliday, certify that:</w:t>
      </w:r>
    </w:p>
    <w:p>
      <w:pPr>
        <w:spacing w:after="0" w:line="391"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 Green Operating Partnership, L.P. (the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300" w:hanging="644"/>
        <w:spacing w:after="0" w:line="316" w:lineRule="auto"/>
        <w:tabs>
          <w:tab w:leader="none" w:pos="12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274" w:lineRule="auto"/>
        <w:tabs>
          <w:tab w:leader="none" w:pos="1297"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2021</w:t>
      </w:r>
    </w:p>
    <w:p>
      <w:pPr>
        <w:spacing w:after="0" w:line="30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632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36"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and Chief Executive Officer</w:t>
      </w:r>
    </w:p>
    <w:p>
      <w:pPr>
        <w:spacing w:after="0" w:line="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of SL Green Realty Corp., the</w:t>
      </w:r>
    </w:p>
    <w:p>
      <w:pPr>
        <w:spacing w:after="0" w:line="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general partner of the registrant</w:t>
      </w:r>
    </w:p>
    <w:p>
      <w:pPr>
        <w:sectPr>
          <w:pgSz w:w="11900" w:h="16838" w:orient="portrait"/>
          <w:cols w:equalWidth="0" w:num="1">
            <w:col w:w="11240"/>
          </w:cols>
          <w:pgMar w:left="320" w:top="89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Matthew J. DiLiberto, certify that:</w:t>
      </w:r>
    </w:p>
    <w:p>
      <w:pPr>
        <w:spacing w:after="0" w:line="391"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 Green Operating Partnership, L.P. (the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300" w:hanging="644"/>
        <w:spacing w:after="0" w:line="316" w:lineRule="auto"/>
        <w:tabs>
          <w:tab w:leader="none" w:pos="12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274" w:lineRule="auto"/>
        <w:tabs>
          <w:tab w:leader="none" w:pos="1297"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Matthew J. DiLiberto</w:t>
            </w:r>
          </w:p>
        </w:tc>
      </w:tr>
      <w:tr>
        <w:trPr>
          <w:trHeight w:val="222"/>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29"/>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of SL Green Realty Corp., the</w:t>
            </w:r>
          </w:p>
        </w:tc>
      </w:tr>
      <w:tr>
        <w:trPr>
          <w:trHeight w:val="230"/>
        </w:trPr>
        <w:tc>
          <w:tcPr>
            <w:tcW w:w="7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general partner of the registrant</w:t>
            </w:r>
          </w:p>
        </w:tc>
      </w:tr>
    </w:tbl>
    <w:p>
      <w:pPr>
        <w:sectPr>
          <w:pgSz w:w="11900" w:h="16838" w:orient="portrait"/>
          <w:cols w:equalWidth="0" w:num="1">
            <w:col w:w="11240"/>
          </w:cols>
          <w:pgMar w:left="320" w:top="89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SL Green Realty Corp. (the “Company”) on Form 10-Q as filed with the Securities and Exchange Commission on the date hereof (the “Report”), I, Marc Holliday, Chairman and Chief Executive Officer of the Company, hereby certify, pursuant to 18 U.S.C. Section 1350, as adopted pursuant to Section 906 of the Sarbanes-Oxley Act of 2002, that:</w:t>
      </w:r>
    </w:p>
    <w:p>
      <w:pPr>
        <w:spacing w:after="0" w:line="184"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Marc Holliday</w:t>
            </w:r>
          </w:p>
        </w:tc>
      </w:tr>
      <w:tr>
        <w:trPr>
          <w:trHeight w:val="222"/>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Marc Holliday</w:t>
            </w:r>
          </w:p>
        </w:tc>
      </w:t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Chairman and Chief Executive Officer</w:t>
            </w: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6, 2021</w:t>
      </w:r>
    </w:p>
    <w:p>
      <w:pPr>
        <w:sectPr>
          <w:pgSz w:w="11900" w:h="16838" w:orient="portrait"/>
          <w:cols w:equalWidth="0" w:num="1">
            <w:col w:w="11240"/>
          </w:cols>
          <w:pgMar w:left="320" w:top="89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SL Green Realty Corp. (the “Company”) on Form 10-Q as filed with the Securities and Exchange Commission on the date hereof (the “Report”), I, Matthew J. DiLiberto, Chief Financial Officer of the Company, hereby certify, pursuant to 18 U.S.C. Section 1350, as adopted pursuant to Section 906 of the Sarbanes-Oxley Act of 2002, that:</w:t>
      </w:r>
    </w:p>
    <w:p>
      <w:pPr>
        <w:spacing w:after="0" w:line="184"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Matthew J. DiLiberto</w:t>
            </w:r>
          </w:p>
        </w:tc>
      </w:tr>
      <w:tr>
        <w:trPr>
          <w:trHeight w:val="222"/>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30"/>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6, 2021</w:t>
      </w:r>
    </w:p>
    <w:p>
      <w:pPr>
        <w:sectPr>
          <w:pgSz w:w="11900" w:h="16838" w:orient="portrait"/>
          <w:cols w:equalWidth="0" w:num="1">
            <w:col w:w="11240"/>
          </w:cols>
          <w:pgMar w:left="320" w:top="89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SL Green Operating Partnership, L.P. (the “Operating Partnership”) on Form 10-Q as filed with the Securities and Exchange Commission on the date hereof (the “Report”), I, Marc Holliday, Chairman and Chief Executive Officer of SL Green Realty Corp, the sole general partner of the Operating Partnership, hereby certify, pursuant to 18 U.S.C. Section 1350, as adopted pursuant to Section 906 of the Sarbanes-Oxley Act of 2002, that:</w:t>
      </w:r>
    </w:p>
    <w:p>
      <w:pPr>
        <w:spacing w:after="0" w:line="214"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660" w:hanging="652"/>
        <w:spacing w:after="0" w:line="277" w:lineRule="auto"/>
        <w:tabs>
          <w:tab w:leader="none" w:pos="40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Operating Partnership.</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Marc Holliday</w:t>
            </w:r>
          </w:p>
        </w:tc>
      </w:tr>
      <w:tr>
        <w:trPr>
          <w:trHeight w:val="222"/>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Marc Holliday</w:t>
            </w:r>
          </w:p>
        </w:tc>
      </w:tr>
      <w:tr>
        <w:trPr>
          <w:trHeight w:val="229"/>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of SL Green Realty Corp., the</w:t>
            </w:r>
          </w:p>
        </w:tc>
      </w:tr>
      <w:tr>
        <w:trPr>
          <w:trHeight w:val="230"/>
        </w:trPr>
        <w:tc>
          <w:tcPr>
            <w:tcW w:w="7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general partner of the Operating Partnership</w:t>
            </w: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6, 2021</w:t>
      </w:r>
    </w:p>
    <w:p>
      <w:pPr>
        <w:sectPr>
          <w:pgSz w:w="11900" w:h="16838" w:orient="portrait"/>
          <w:cols w:equalWidth="0" w:num="1">
            <w:col w:w="11240"/>
          </w:cols>
          <w:pgMar w:left="320" w:top="89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SL Green Operating Partnership, L.P. (the “Operating Partnership”) on Form 10-Q as filed with the Securities and Exchange Commission on the date hereof (the “Report”), I, Matthew J. DiLiberto, Chief Financial Officer of SL Green Realty Corp, the sole general partner of the Operating Partnership, hereby certify, pursuant to 18 U.S.C. Section 1350, as adopted pursuant to Section 906 of the Sarbanes-Oxley Act of 2002, that:</w:t>
      </w:r>
    </w:p>
    <w:p>
      <w:pPr>
        <w:spacing w:after="0" w:line="214"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660" w:hanging="652"/>
        <w:spacing w:after="0" w:line="277" w:lineRule="auto"/>
        <w:tabs>
          <w:tab w:leader="none" w:pos="4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Operating Partnership.</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Matthew J. DiLiberto</w:t>
            </w:r>
          </w:p>
        </w:tc>
      </w:tr>
      <w:tr>
        <w:trPr>
          <w:trHeight w:val="222"/>
        </w:trPr>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72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29"/>
        </w:trPr>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7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of SL Green Realty Corp., the</w:t>
            </w:r>
          </w:p>
        </w:tc>
      </w:tr>
      <w:tr>
        <w:trPr>
          <w:trHeight w:val="230"/>
        </w:trPr>
        <w:tc>
          <w:tcPr>
            <w:tcW w:w="7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general partner of the Operating Partnership</w:t>
            </w: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6,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lvl w:ilvl="1">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2"/>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4"/>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9"/>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2"/>
    </w:lvl>
  </w:abstractNum>
  <w:abstractNum w:abstractNumId="25">
    <w:nsid w:val="5E884ADC"/>
    <w:multiLevelType w:val="hybridMultilevel"/>
    <w:lvl w:ilvl="0">
      <w:lvlJc w:val="left"/>
      <w:lvlText w:val="(%1)"/>
      <w:numFmt w:val="decimal"/>
      <w:start w:val="2"/>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9"/>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lowerRoman"/>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lowerRoman"/>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01"/>
    </w:lvl>
  </w:abstractNum>
  <w:abstractNum w:abstractNumId="43">
    <w:nsid w:val="7644A45C"/>
    <w:multiLevelType w:val="hybridMultilevel"/>
    <w:lvl w:ilvl="0">
      <w:lvlJc w:val="left"/>
      <w:lvlText w:val="%1"/>
      <w:numFmt w:val="decimal"/>
      <w:start w:val="104"/>
    </w:lvl>
  </w:abstractNum>
  <w:abstractNum w:abstractNumId="44">
    <w:nsid w:val="32FFF902"/>
    <w:multiLevelType w:val="hybridMultilevel"/>
    <w:lvl w:ilvl="0">
      <w:lvlJc w:val="left"/>
      <w:lvlText w:val="%1."/>
      <w:numFmt w:val="decimal"/>
      <w:start w:val="1"/>
    </w:lvl>
    <w:lvl w:ilvl="1">
      <w:lvlJc w:val="left"/>
      <w:lvlText w:val="(%2)"/>
      <w:numFmt w:val="lowerLetter"/>
      <w:start w:val="1"/>
    </w:lvl>
  </w:abstractNum>
  <w:abstractNum w:abstractNumId="45">
    <w:nsid w:val="684A481A"/>
    <w:multiLevelType w:val="hybridMultilevel"/>
    <w:lvl w:ilvl="0">
      <w:lvlJc w:val="left"/>
      <w:lvlText w:val="%1."/>
      <w:numFmt w:val="decimal"/>
      <w:start w:val="1"/>
    </w:lvl>
    <w:lvl w:ilvl="1">
      <w:lvlJc w:val="left"/>
      <w:lvlText w:val="(%2)"/>
      <w:numFmt w:val="lowerLetter"/>
      <w:start w:val="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2021-08-06T13:32:45Z</dcterms:created>
  <dcterms:modified xsi:type="dcterms:W3CDTF">2021-08-06T13:32:45Z</dcterms:modified>
</cp:coreProperties>
</file>