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SL GREEN REALTY CORP.</w:t>
      </w:r>
    </w:p>
    <w:p>
      <w:pPr>
        <w:jc w:val="center"/>
        <w:spacing w:after="0" w:line="238" w:lineRule="auto"/>
        <w:rPr>
          <w:sz w:val="20"/>
          <w:szCs w:val="20"/>
          <w:color w:val="auto"/>
        </w:rPr>
      </w:pPr>
      <w:r>
        <w:rPr>
          <w:rFonts w:ascii="Arial" w:cs="Arial" w:eastAsia="Arial" w:hAnsi="Arial"/>
          <w:sz w:val="22"/>
          <w:szCs w:val="22"/>
          <w:color w:val="auto"/>
        </w:rPr>
        <w:t>SL GREEN OPERATING PARTNERSHIP, L.P.</w:t>
      </w:r>
    </w:p>
    <w:p>
      <w:pPr>
        <w:jc w:val="center"/>
        <w:spacing w:after="0" w:line="230" w:lineRule="auto"/>
        <w:rPr>
          <w:sz w:val="20"/>
          <w:szCs w:val="20"/>
          <w:color w:val="auto"/>
        </w:rPr>
      </w:pPr>
      <w:r>
        <w:rPr>
          <w:rFonts w:ascii="Arial" w:cs="Arial" w:eastAsia="Arial" w:hAnsi="Arial"/>
          <w:sz w:val="22"/>
          <w:szCs w:val="22"/>
          <w:color w:val="auto"/>
        </w:rPr>
        <w:t>RECKSON OPERATING PARTNERSHIP, L.P.</w:t>
      </w:r>
    </w:p>
    <w:p>
      <w:pPr>
        <w:jc w:val="center"/>
        <w:spacing w:after="0" w:line="231" w:lineRule="auto"/>
        <w:rPr>
          <w:sz w:val="20"/>
          <w:szCs w:val="20"/>
          <w:color w:val="auto"/>
        </w:rPr>
      </w:pPr>
      <w:r>
        <w:rPr>
          <w:rFonts w:ascii="Arial" w:cs="Arial" w:eastAsia="Arial" w:hAnsi="Arial"/>
          <w:sz w:val="22"/>
          <w:szCs w:val="22"/>
          <w:color w:val="auto"/>
        </w:rPr>
        <w:t>c/o SL Green Realty Corp.</w:t>
      </w:r>
    </w:p>
    <w:p>
      <w:pPr>
        <w:jc w:val="center"/>
        <w:spacing w:after="0" w:line="231" w:lineRule="auto"/>
        <w:rPr>
          <w:sz w:val="20"/>
          <w:szCs w:val="20"/>
          <w:color w:val="auto"/>
        </w:rPr>
      </w:pPr>
      <w:r>
        <w:rPr>
          <w:rFonts w:ascii="Arial" w:cs="Arial" w:eastAsia="Arial" w:hAnsi="Arial"/>
          <w:sz w:val="22"/>
          <w:szCs w:val="22"/>
          <w:color w:val="auto"/>
        </w:rPr>
        <w:t>420 Lexington Avenue</w:t>
      </w:r>
    </w:p>
    <w:p>
      <w:pPr>
        <w:jc w:val="center"/>
        <w:spacing w:after="0"/>
        <w:rPr>
          <w:sz w:val="20"/>
          <w:szCs w:val="20"/>
          <w:color w:val="auto"/>
        </w:rPr>
      </w:pPr>
      <w:r>
        <w:rPr>
          <w:rFonts w:ascii="Arial" w:cs="Arial" w:eastAsia="Arial" w:hAnsi="Arial"/>
          <w:sz w:val="22"/>
          <w:szCs w:val="22"/>
          <w:color w:val="auto"/>
        </w:rPr>
        <w:t>New York, New York 10170</w:t>
      </w:r>
    </w:p>
    <w:p>
      <w:pPr>
        <w:spacing w:after="0" w:line="200" w:lineRule="exact"/>
        <w:rPr>
          <w:sz w:val="24"/>
          <w:szCs w:val="24"/>
          <w:color w:val="auto"/>
        </w:rPr>
      </w:pPr>
    </w:p>
    <w:p>
      <w:pPr>
        <w:spacing w:after="0" w:line="258" w:lineRule="exact"/>
        <w:rPr>
          <w:sz w:val="24"/>
          <w:szCs w:val="24"/>
          <w:color w:val="auto"/>
        </w:rPr>
      </w:pPr>
    </w:p>
    <w:p>
      <w:pPr>
        <w:ind w:left="6340"/>
        <w:spacing w:after="0"/>
        <w:rPr>
          <w:sz w:val="20"/>
          <w:szCs w:val="20"/>
          <w:color w:val="auto"/>
        </w:rPr>
      </w:pPr>
      <w:r>
        <w:rPr>
          <w:rFonts w:ascii="Arial" w:cs="Arial" w:eastAsia="Arial" w:hAnsi="Arial"/>
          <w:sz w:val="22"/>
          <w:szCs w:val="22"/>
          <w:color w:val="auto"/>
        </w:rPr>
        <w:t>September 15, 2010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line="231" w:lineRule="auto"/>
        <w:rPr>
          <w:sz w:val="20"/>
          <w:szCs w:val="20"/>
          <w:color w:val="auto"/>
        </w:rPr>
      </w:pPr>
      <w:r>
        <w:rPr>
          <w:rFonts w:ascii="Arial" w:cs="Arial" w:eastAsia="Arial" w:hAnsi="Arial"/>
          <w:sz w:val="22"/>
          <w:szCs w:val="22"/>
          <w:color w:val="auto"/>
        </w:rPr>
        <w:t>Attn: Adam Turk</w:t>
      </w:r>
    </w:p>
    <w:tbl>
      <w:tblPr>
        <w:tblLayout w:type="fixed"/>
        <w:tblInd w:w="0" w:type="dxa"/>
        <w:tblCellMar>
          <w:top w:w="0" w:type="dxa"/>
          <w:left w:w="0" w:type="dxa"/>
          <w:bottom w:w="0" w:type="dxa"/>
          <w:right w:w="0" w:type="dxa"/>
        </w:tblCellMar>
      </w:tblPr>
      <w:tr>
        <w:trPr>
          <w:trHeight w:val="225"/>
        </w:trPr>
        <w:tc>
          <w:tcPr>
            <w:tcW w:w="2160" w:type="dxa"/>
            <w:vAlign w:val="bottom"/>
          </w:tcPr>
          <w:p>
            <w:pPr>
              <w:ind w:left="1620"/>
              <w:spacing w:after="0" w:line="225" w:lineRule="exact"/>
              <w:rPr>
                <w:sz w:val="20"/>
                <w:szCs w:val="20"/>
                <w:color w:val="auto"/>
              </w:rPr>
            </w:pPr>
            <w:r>
              <w:rPr>
                <w:rFonts w:ascii="Arial" w:cs="Arial" w:eastAsia="Arial" w:hAnsi="Arial"/>
                <w:sz w:val="22"/>
                <w:szCs w:val="22"/>
                <w:color w:val="auto"/>
              </w:rPr>
              <w:t>Re:</w:t>
            </w:r>
          </w:p>
        </w:tc>
        <w:tc>
          <w:tcPr>
            <w:tcW w:w="9260" w:type="dxa"/>
            <w:vAlign w:val="bottom"/>
            <w:gridSpan w:val="2"/>
          </w:tcPr>
          <w:p>
            <w:pPr>
              <w:ind w:left="140"/>
              <w:spacing w:after="0" w:line="225" w:lineRule="exact"/>
              <w:rPr>
                <w:sz w:val="20"/>
                <w:szCs w:val="20"/>
                <w:color w:val="auto"/>
              </w:rPr>
            </w:pPr>
            <w:r>
              <w:rPr>
                <w:rFonts w:ascii="Arial" w:cs="Arial" w:eastAsia="Arial" w:hAnsi="Arial"/>
                <w:sz w:val="22"/>
                <w:szCs w:val="22"/>
                <w:color w:val="auto"/>
                <w:w w:val="90"/>
              </w:rPr>
              <w:t>SL Green Realty Corp., SL Green Operating Partnership, L.P. and Reckson Operating Partnership, L.P.</w:t>
            </w:r>
          </w:p>
        </w:tc>
      </w:tr>
      <w:tr>
        <w:trPr>
          <w:trHeight w:val="265"/>
        </w:trPr>
        <w:tc>
          <w:tcPr>
            <w:tcW w:w="2160" w:type="dxa"/>
            <w:vAlign w:val="bottom"/>
          </w:tcPr>
          <w:p>
            <w:pPr>
              <w:spacing w:after="0"/>
              <w:rPr>
                <w:sz w:val="23"/>
                <w:szCs w:val="23"/>
                <w:color w:val="auto"/>
              </w:rPr>
            </w:pPr>
          </w:p>
        </w:tc>
        <w:tc>
          <w:tcPr>
            <w:tcW w:w="9260" w:type="dxa"/>
            <w:vAlign w:val="bottom"/>
            <w:gridSpan w:val="2"/>
          </w:tcPr>
          <w:p>
            <w:pPr>
              <w:ind w:left="140"/>
              <w:spacing w:after="0"/>
              <w:rPr>
                <w:sz w:val="20"/>
                <w:szCs w:val="20"/>
                <w:color w:val="auto"/>
              </w:rPr>
            </w:pPr>
            <w:r>
              <w:rPr>
                <w:rFonts w:ascii="Arial" w:cs="Arial" w:eastAsia="Arial" w:hAnsi="Arial"/>
                <w:sz w:val="22"/>
                <w:szCs w:val="22"/>
                <w:color w:val="auto"/>
              </w:rPr>
              <w:t>Registration Statement on Form S-4 (File No. 333-167793)</w:t>
            </w:r>
          </w:p>
        </w:tc>
      </w:tr>
      <w:tr>
        <w:trPr>
          <w:trHeight w:val="490"/>
        </w:trPr>
        <w:tc>
          <w:tcPr>
            <w:tcW w:w="2160" w:type="dxa"/>
            <w:vAlign w:val="bottom"/>
          </w:tcPr>
          <w:p>
            <w:pPr>
              <w:spacing w:after="0"/>
              <w:rPr>
                <w:sz w:val="20"/>
                <w:szCs w:val="20"/>
                <w:color w:val="auto"/>
              </w:rPr>
            </w:pPr>
            <w:r>
              <w:rPr>
                <w:rFonts w:ascii="Arial" w:cs="Arial" w:eastAsia="Arial" w:hAnsi="Arial"/>
                <w:sz w:val="22"/>
                <w:szCs w:val="22"/>
                <w:color w:val="auto"/>
                <w:w w:val="94"/>
              </w:rPr>
              <w:t>Ladies and Gentlemen:</w:t>
            </w:r>
          </w:p>
        </w:tc>
        <w:tc>
          <w:tcPr>
            <w:tcW w:w="140" w:type="dxa"/>
            <w:vAlign w:val="bottom"/>
          </w:tcPr>
          <w:p>
            <w:pPr>
              <w:spacing w:after="0"/>
              <w:rPr>
                <w:sz w:val="24"/>
                <w:szCs w:val="24"/>
                <w:color w:val="auto"/>
              </w:rPr>
            </w:pPr>
          </w:p>
        </w:tc>
        <w:tc>
          <w:tcPr>
            <w:tcW w:w="9120" w:type="dxa"/>
            <w:vAlign w:val="bottom"/>
            <w:tcBorders>
              <w:top w:val="single" w:sz="8" w:color="auto"/>
            </w:tcBorders>
          </w:tcPr>
          <w:p>
            <w:pPr>
              <w:spacing w:after="0"/>
              <w:rPr>
                <w:sz w:val="24"/>
                <w:szCs w:val="24"/>
                <w:color w:val="auto"/>
              </w:rPr>
            </w:pPr>
          </w:p>
        </w:tc>
      </w:tr>
    </w:tbl>
    <w:p>
      <w:pPr>
        <w:spacing w:after="0" w:line="212" w:lineRule="exact"/>
        <w:rPr>
          <w:sz w:val="24"/>
          <w:szCs w:val="24"/>
          <w:color w:val="auto"/>
        </w:rPr>
      </w:pPr>
    </w:p>
    <w:p>
      <w:pPr>
        <w:ind w:right="180" w:firstLine="648"/>
        <w:spacing w:after="0" w:line="236" w:lineRule="auto"/>
        <w:rPr>
          <w:sz w:val="20"/>
          <w:szCs w:val="20"/>
          <w:color w:val="auto"/>
        </w:rPr>
      </w:pPr>
      <w:r>
        <w:rPr>
          <w:rFonts w:ascii="Arial" w:cs="Arial" w:eastAsia="Arial" w:hAnsi="Arial"/>
          <w:sz w:val="22"/>
          <w:szCs w:val="22"/>
          <w:color w:val="auto"/>
        </w:rPr>
        <w:t>SL Green Realty Corp., SL Green Operating Partnership, L.P. and Reckson Operating Partnership, L.P. (the “Registrants”) hereby request, pursuant to Rule 461(a) under the Securities Act of 1933, as amended, that the effective date of the Registrant’s registration statement (the “Registration Statement”) on Form S-4 (File No. 333-167793) be accelerated by the Securities and Exchange Commission (the “Commission”) to 2:00 p.m., Eastern Time, on Friday, September 17, 2010, or as soon thereafter as practicable.</w:t>
      </w:r>
    </w:p>
    <w:p>
      <w:pPr>
        <w:spacing w:after="0" w:line="215" w:lineRule="exact"/>
        <w:rPr>
          <w:sz w:val="24"/>
          <w:szCs w:val="24"/>
          <w:color w:val="auto"/>
        </w:rPr>
      </w:pPr>
    </w:p>
    <w:p>
      <w:pPr>
        <w:jc w:val="both"/>
        <w:ind w:right="460" w:firstLine="648"/>
        <w:spacing w:after="0" w:line="328" w:lineRule="auto"/>
        <w:rPr>
          <w:sz w:val="20"/>
          <w:szCs w:val="20"/>
          <w:color w:val="auto"/>
        </w:rPr>
      </w:pPr>
      <w:r>
        <w:rPr>
          <w:rFonts w:ascii="Arial" w:cs="Arial" w:eastAsia="Arial" w:hAnsi="Arial"/>
          <w:sz w:val="19"/>
          <w:szCs w:val="19"/>
          <w:color w:val="auto"/>
        </w:rPr>
        <w:t>We request that we be notified of such effectiveness by a telephone call to David Goldschmidt of Skadden, Arps, Slate, Meagher &amp; Flom LLP, counsel for the Registrants, at (212) 735-3574 and that such effectiveness also be confirmed in writing.</w:t>
      </w:r>
    </w:p>
    <w:p>
      <w:pPr>
        <w:spacing w:after="0" w:line="132" w:lineRule="exact"/>
        <w:rPr>
          <w:sz w:val="24"/>
          <w:szCs w:val="24"/>
          <w:color w:val="auto"/>
        </w:rPr>
      </w:pPr>
    </w:p>
    <w:p>
      <w:pPr>
        <w:ind w:left="660"/>
        <w:spacing w:after="0"/>
        <w:rPr>
          <w:sz w:val="20"/>
          <w:szCs w:val="20"/>
          <w:color w:val="auto"/>
        </w:rPr>
      </w:pPr>
      <w:r>
        <w:rPr>
          <w:rFonts w:ascii="Arial" w:cs="Arial" w:eastAsia="Arial" w:hAnsi="Arial"/>
          <w:sz w:val="22"/>
          <w:szCs w:val="22"/>
          <w:color w:val="auto"/>
        </w:rPr>
        <w:t>The Registrants hereby acknowledge:</w:t>
      </w:r>
    </w:p>
    <w:p>
      <w:pPr>
        <w:spacing w:after="0" w:line="233" w:lineRule="exact"/>
        <w:rPr>
          <w:sz w:val="24"/>
          <w:szCs w:val="24"/>
          <w:color w:val="auto"/>
        </w:rPr>
      </w:pPr>
    </w:p>
    <w:p>
      <w:pPr>
        <w:ind w:left="660" w:right="140" w:hanging="328"/>
        <w:spacing w:after="0" w:line="25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should the Commission or the staff, acting pursuant to delegated authority, declare the filing effective, it does not foreclose the Commission from taking any action with respect to the filing;</w:t>
      </w:r>
    </w:p>
    <w:p>
      <w:pPr>
        <w:spacing w:after="0" w:line="200" w:lineRule="exact"/>
        <w:rPr>
          <w:rFonts w:ascii="Arial" w:cs="Arial" w:eastAsia="Arial" w:hAnsi="Arial"/>
          <w:sz w:val="18"/>
          <w:szCs w:val="18"/>
          <w:color w:val="auto"/>
        </w:rPr>
      </w:pPr>
    </w:p>
    <w:p>
      <w:pPr>
        <w:ind w:left="660" w:right="260" w:hanging="328"/>
        <w:spacing w:after="0" w:line="32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9"/>
          <w:szCs w:val="19"/>
          <w:color w:val="auto"/>
        </w:rPr>
        <w:t>the action of the Commission or the staff, acting pursuant to delegated authority, in declaring the filing effective, does not relieve the Registrants from their full responsibility for the adequacy and accuracy of the disclosure in the filing; and</w:t>
      </w:r>
    </w:p>
    <w:p>
      <w:pPr>
        <w:spacing w:after="0" w:line="132" w:lineRule="exact"/>
        <w:rPr>
          <w:rFonts w:ascii="Arial" w:cs="Arial" w:eastAsia="Arial" w:hAnsi="Arial"/>
          <w:sz w:val="16"/>
          <w:szCs w:val="16"/>
          <w:color w:val="auto"/>
        </w:rPr>
      </w:pPr>
    </w:p>
    <w:p>
      <w:pPr>
        <w:ind w:left="660" w:right="220" w:hanging="328"/>
        <w:spacing w:after="0" w:line="25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color w:val="auto"/>
        </w:rPr>
        <w:t>the Registrants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 w:name="page2"/>
    <w:bookmarkEnd w:id="1"/>
    <w:p>
      <w:pPr>
        <w:ind w:left="5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7620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5540"/>
        <w:spacing w:after="0"/>
        <w:tabs>
          <w:tab w:leader="none" w:pos="6100" w:val="left"/>
        </w:tabs>
        <w:rPr>
          <w:sz w:val="20"/>
          <w:szCs w:val="20"/>
          <w:color w:val="auto"/>
        </w:rPr>
      </w:pPr>
      <w:r>
        <w:rPr>
          <w:rFonts w:ascii="Arial" w:cs="Arial" w:eastAsia="Arial" w:hAnsi="Arial"/>
          <w:sz w:val="22"/>
          <w:szCs w:val="22"/>
          <w:color w:val="auto"/>
        </w:rPr>
        <w:t>By:</w:t>
        <w:tab/>
        <w:t>Andrew S. Levine</w:t>
      </w:r>
    </w:p>
    <w:p>
      <w:pPr>
        <w:ind w:left="5540"/>
        <w:spacing w:after="0"/>
        <w:rPr>
          <w:sz w:val="20"/>
          <w:szCs w:val="20"/>
          <w:color w:val="auto"/>
        </w:rPr>
      </w:pPr>
      <w:r>
        <w:rPr>
          <w:rFonts w:ascii="Arial" w:cs="Arial" w:eastAsia="Arial" w:hAnsi="Arial"/>
          <w:sz w:val="19"/>
          <w:szCs w:val="19"/>
          <w:color w:val="auto"/>
        </w:rPr>
        <w:t>Title: Executive Vice President, Chief Legal Officer,</w:t>
      </w:r>
    </w:p>
    <w:p>
      <w:pPr>
        <w:spacing w:after="0" w:line="25"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954405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140"/>
      </w:cols>
      <w:pgMar w:left="1440" w:top="7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2019-12-10T15:52:20Z</dcterms:created>
  <dcterms:modified xsi:type="dcterms:W3CDTF">2019-12-10T15:52:20Z</dcterms:modified>
</cp:coreProperties>
</file>